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201F" w:rsidRPr="005F003F" w:rsidRDefault="007C201F" w:rsidP="007C201F">
      <w:pPr>
        <w:keepNext/>
        <w:jc w:val="both"/>
        <w:outlineLvl w:val="0"/>
        <w:rPr>
          <w:rFonts w:ascii="Arial Narrow" w:hAnsi="Arial Narrow" w:cs="Arial"/>
          <w:b/>
          <w:bCs/>
          <w:color w:val="000080"/>
          <w:kern w:val="32"/>
          <w:sz w:val="40"/>
          <w:szCs w:val="34"/>
        </w:rPr>
      </w:pPr>
      <w:r w:rsidRPr="00F66AEE">
        <w:rPr>
          <w:rFonts w:ascii="Arial Narrow" w:hAnsi="Arial Narrow" w:cs="Arial"/>
          <w:b/>
          <w:bCs/>
          <w:color w:val="000080"/>
          <w:kern w:val="32"/>
          <w:sz w:val="40"/>
          <w:szCs w:val="34"/>
        </w:rPr>
        <w:t>ΠΡΟΫΠΟΛΟΓΙΣΜΟΣ</w:t>
      </w:r>
      <w:r w:rsidRPr="005F003F">
        <w:rPr>
          <w:rFonts w:ascii="Arial Narrow" w:hAnsi="Arial Narrow" w:cs="Arial"/>
          <w:b/>
          <w:bCs/>
          <w:color w:val="000080"/>
          <w:kern w:val="32"/>
          <w:sz w:val="40"/>
          <w:szCs w:val="34"/>
        </w:rPr>
        <w:t xml:space="preserve"> </w:t>
      </w:r>
      <w:r>
        <w:rPr>
          <w:rFonts w:ascii="Arial Narrow" w:hAnsi="Arial Narrow" w:cs="Arial"/>
          <w:b/>
          <w:bCs/>
          <w:color w:val="000080"/>
          <w:kern w:val="32"/>
          <w:sz w:val="40"/>
          <w:szCs w:val="34"/>
        </w:rPr>
        <w:t>ΓΕΝΙΚΗΣ ΚΥΒΕΡΝΗΣΗΣ</w:t>
      </w:r>
    </w:p>
    <w:p w:rsidR="00DF3FC8" w:rsidRDefault="00DF3FC8" w:rsidP="00DF3FC8">
      <w:pPr>
        <w:jc w:val="both"/>
        <w:rPr>
          <w:b/>
          <w:sz w:val="22"/>
          <w:szCs w:val="22"/>
        </w:rPr>
      </w:pPr>
    </w:p>
    <w:p w:rsidR="00F47005" w:rsidRPr="00301426" w:rsidRDefault="00F47005" w:rsidP="00DF3FC8">
      <w:pPr>
        <w:jc w:val="both"/>
        <w:rPr>
          <w:b/>
          <w:sz w:val="22"/>
          <w:szCs w:val="22"/>
        </w:rPr>
      </w:pPr>
    </w:p>
    <w:p w:rsidR="004B0A49" w:rsidRPr="00301426" w:rsidRDefault="004B0A49" w:rsidP="00DF3FC8">
      <w:pPr>
        <w:jc w:val="both"/>
        <w:rPr>
          <w:b/>
          <w:sz w:val="22"/>
          <w:szCs w:val="22"/>
        </w:rPr>
      </w:pPr>
    </w:p>
    <w:p w:rsidR="00DF3FC8" w:rsidRPr="00124F5E" w:rsidRDefault="00DF3FC8" w:rsidP="00DF3FC8">
      <w:pPr>
        <w:shd w:val="clear" w:color="auto" w:fill="595959"/>
        <w:jc w:val="both"/>
        <w:rPr>
          <w:rFonts w:ascii="Arial Narrow" w:hAnsi="Arial Narrow"/>
          <w:b/>
          <w:color w:val="FFFFFF"/>
          <w:sz w:val="26"/>
          <w:szCs w:val="26"/>
        </w:rPr>
      </w:pPr>
      <w:r w:rsidRPr="00124F5E">
        <w:rPr>
          <w:rFonts w:ascii="Arial Narrow" w:hAnsi="Arial Narrow"/>
          <w:b/>
          <w:color w:val="FFFFFF"/>
          <w:sz w:val="26"/>
          <w:szCs w:val="26"/>
        </w:rPr>
        <w:t>1</w:t>
      </w:r>
      <w:r w:rsidRPr="009630FD">
        <w:rPr>
          <w:rFonts w:ascii="Arial Narrow" w:hAnsi="Arial Narrow"/>
          <w:b/>
          <w:color w:val="FFFFFF"/>
          <w:sz w:val="26"/>
          <w:szCs w:val="26"/>
        </w:rPr>
        <w:t>.</w:t>
      </w:r>
      <w:r w:rsidRPr="009630FD">
        <w:rPr>
          <w:rFonts w:ascii="Arial Narrow" w:hAnsi="Arial Narrow"/>
          <w:b/>
          <w:color w:val="FFFFFF"/>
          <w:sz w:val="26"/>
          <w:szCs w:val="26"/>
        </w:rPr>
        <w:tab/>
      </w:r>
      <w:r w:rsidR="000565E0">
        <w:rPr>
          <w:rFonts w:ascii="Arial Narrow" w:hAnsi="Arial Narrow"/>
          <w:b/>
          <w:color w:val="FFFFFF"/>
          <w:sz w:val="26"/>
          <w:szCs w:val="26"/>
        </w:rPr>
        <w:t>Βασικά μεγέθη Προϋπολογισμού Γενικής Κυβέρνησης 2020</w:t>
      </w:r>
    </w:p>
    <w:p w:rsidR="00DF3FC8" w:rsidRDefault="00DF3FC8" w:rsidP="00DF3FC8">
      <w:pPr>
        <w:jc w:val="both"/>
        <w:rPr>
          <w:sz w:val="22"/>
          <w:szCs w:val="22"/>
        </w:rPr>
      </w:pPr>
    </w:p>
    <w:p w:rsidR="00E71B1B" w:rsidRPr="001018C6" w:rsidRDefault="00E71B1B" w:rsidP="00E71B1B">
      <w:pPr>
        <w:contextualSpacing/>
        <w:jc w:val="both"/>
        <w:rPr>
          <w:sz w:val="22"/>
        </w:rPr>
      </w:pPr>
      <w:r w:rsidRPr="001018C6">
        <w:rPr>
          <w:sz w:val="22"/>
        </w:rPr>
        <w:t>Το έτος 2019, το πρωτογενές αποτέλεσμα της Γενικής Κυβέρνησης σύμφωνα με τη μεθοδολογία του Ευρωπαϊκού Συστήματος Λογαριασμών (ESA) διαμορφώθηκε σε πλεόνασμα ύψους 8.3</w:t>
      </w:r>
      <w:r w:rsidR="00D85284">
        <w:rPr>
          <w:sz w:val="22"/>
        </w:rPr>
        <w:t>04</w:t>
      </w:r>
      <w:r w:rsidRPr="001018C6">
        <w:rPr>
          <w:sz w:val="22"/>
        </w:rPr>
        <w:t xml:space="preserve"> εκατ. ευρώ (4,5% του ΑΕΠ), ενώ το πρωτογενές αποτέλεσμα της Γενικής Κυβέρνησης σε όρους </w:t>
      </w:r>
      <w:r w:rsidR="00A90E34">
        <w:rPr>
          <w:sz w:val="22"/>
        </w:rPr>
        <w:t>ε</w:t>
      </w:r>
      <w:r w:rsidRPr="001018C6">
        <w:rPr>
          <w:sz w:val="22"/>
        </w:rPr>
        <w:t xml:space="preserve">νισχυμένης </w:t>
      </w:r>
      <w:r w:rsidR="00A90E34">
        <w:rPr>
          <w:sz w:val="22"/>
        </w:rPr>
        <w:t>ε</w:t>
      </w:r>
      <w:r w:rsidRPr="001018C6">
        <w:rPr>
          <w:sz w:val="22"/>
        </w:rPr>
        <w:t>ποπτείας, διαμορφώθηκε σε πλεόνασμα ύψους 6.6</w:t>
      </w:r>
      <w:r w:rsidR="00D85284">
        <w:rPr>
          <w:sz w:val="22"/>
        </w:rPr>
        <w:t>13</w:t>
      </w:r>
      <w:r w:rsidRPr="001018C6">
        <w:rPr>
          <w:sz w:val="22"/>
        </w:rPr>
        <w:t xml:space="preserve"> εκατ. ευρώ ή 3,6</w:t>
      </w:r>
      <w:r w:rsidR="00D85284">
        <w:rPr>
          <w:sz w:val="22"/>
        </w:rPr>
        <w:t>1</w:t>
      </w:r>
      <w:r w:rsidRPr="001018C6">
        <w:rPr>
          <w:sz w:val="22"/>
        </w:rPr>
        <w:t>% του ΑΕΠ, μόλις 0,1</w:t>
      </w:r>
      <w:r w:rsidR="00D85284">
        <w:rPr>
          <w:sz w:val="22"/>
        </w:rPr>
        <w:t>1</w:t>
      </w:r>
      <w:r w:rsidRPr="001018C6">
        <w:rPr>
          <w:sz w:val="22"/>
        </w:rPr>
        <w:t>% του ΑΕΠ πάνω από τον στόχο (3,5% του ΑΕΠ).</w:t>
      </w:r>
    </w:p>
    <w:p w:rsidR="00E71B1B" w:rsidRPr="001018C6" w:rsidRDefault="00E71B1B" w:rsidP="00E71B1B">
      <w:pPr>
        <w:contextualSpacing/>
        <w:jc w:val="both"/>
        <w:rPr>
          <w:sz w:val="22"/>
        </w:rPr>
      </w:pPr>
    </w:p>
    <w:p w:rsidR="00E71B1B" w:rsidRPr="001018C6" w:rsidRDefault="00E71B1B" w:rsidP="00E71B1B">
      <w:pPr>
        <w:contextualSpacing/>
        <w:jc w:val="both"/>
        <w:rPr>
          <w:sz w:val="22"/>
        </w:rPr>
      </w:pPr>
      <w:r w:rsidRPr="001018C6">
        <w:rPr>
          <w:sz w:val="22"/>
        </w:rPr>
        <w:t>Στ</w:t>
      </w:r>
      <w:r w:rsidR="00A90E34">
        <w:rPr>
          <w:sz w:val="22"/>
        </w:rPr>
        <w:t xml:space="preserve">ην εισηγητική έκθεση του </w:t>
      </w:r>
      <w:r w:rsidRPr="001018C6">
        <w:rPr>
          <w:sz w:val="22"/>
        </w:rPr>
        <w:t xml:space="preserve">Προϋπολογισμού </w:t>
      </w:r>
      <w:r w:rsidR="00A90E34">
        <w:rPr>
          <w:sz w:val="22"/>
        </w:rPr>
        <w:t>του</w:t>
      </w:r>
      <w:r w:rsidRPr="001018C6">
        <w:rPr>
          <w:sz w:val="22"/>
        </w:rPr>
        <w:t xml:space="preserve"> 2020, το πρωτογενές αποτέλεσμα της Γενικής Κ</w:t>
      </w:r>
      <w:r w:rsidRPr="001018C6">
        <w:rPr>
          <w:sz w:val="22"/>
        </w:rPr>
        <w:t>υ</w:t>
      </w:r>
      <w:r w:rsidRPr="001018C6">
        <w:rPr>
          <w:sz w:val="22"/>
        </w:rPr>
        <w:t xml:space="preserve">βέρνησης σε όρους </w:t>
      </w:r>
      <w:r w:rsidR="00A90E34">
        <w:rPr>
          <w:sz w:val="22"/>
        </w:rPr>
        <w:t>ε</w:t>
      </w:r>
      <w:r w:rsidRPr="001018C6">
        <w:rPr>
          <w:sz w:val="22"/>
        </w:rPr>
        <w:t xml:space="preserve">νισχυμένης </w:t>
      </w:r>
      <w:r w:rsidR="00A90E34">
        <w:rPr>
          <w:sz w:val="22"/>
        </w:rPr>
        <w:t>ε</w:t>
      </w:r>
      <w:r w:rsidRPr="001018C6">
        <w:rPr>
          <w:sz w:val="22"/>
        </w:rPr>
        <w:t xml:space="preserve">ποπτείας, είχε εκτιμηθεί ότι θα διαμορφωθεί </w:t>
      </w:r>
      <w:r w:rsidR="00A90E34">
        <w:rPr>
          <w:sz w:val="22"/>
        </w:rPr>
        <w:t xml:space="preserve">για το 2020 </w:t>
      </w:r>
      <w:r w:rsidRPr="001018C6">
        <w:rPr>
          <w:sz w:val="22"/>
        </w:rPr>
        <w:t>σε πλεόν</w:t>
      </w:r>
      <w:r w:rsidRPr="001018C6">
        <w:rPr>
          <w:sz w:val="22"/>
        </w:rPr>
        <w:t>α</w:t>
      </w:r>
      <w:r w:rsidRPr="001018C6">
        <w:rPr>
          <w:sz w:val="22"/>
        </w:rPr>
        <w:t xml:space="preserve">σμα ύψους 7.070 εκατ. ευρώ ή 3,58% του ΑΕΠ, ενώ με βάση τη μεθοδολογία ESA είχε εκτιμηθεί πλεόνασμα ύψους 7.488 εκατ. ευρώ ή 3,8% του ΑΕΠ. </w:t>
      </w:r>
    </w:p>
    <w:p w:rsidR="00E71B1B" w:rsidRPr="001018C6" w:rsidRDefault="00E71B1B" w:rsidP="00E71B1B">
      <w:pPr>
        <w:contextualSpacing/>
        <w:jc w:val="both"/>
        <w:rPr>
          <w:sz w:val="22"/>
        </w:rPr>
      </w:pPr>
    </w:p>
    <w:p w:rsidR="00E71B1B" w:rsidRPr="001018C6" w:rsidRDefault="00E71B1B" w:rsidP="00E71B1B">
      <w:pPr>
        <w:contextualSpacing/>
        <w:jc w:val="both"/>
        <w:rPr>
          <w:sz w:val="22"/>
        </w:rPr>
      </w:pPr>
      <w:r w:rsidRPr="001018C6">
        <w:rPr>
          <w:sz w:val="22"/>
        </w:rPr>
        <w:t xml:space="preserve">Σύμφωνα με τα στοιχεία της εκτέλεσης του Προϋπολογισμού, το πρωτογενές αποτέλεσμα της Γενικής Κυβέρνησης για το έτος 2020 εκτιμάται ότι σε όρους </w:t>
      </w:r>
      <w:r w:rsidR="00A90E34">
        <w:rPr>
          <w:sz w:val="22"/>
        </w:rPr>
        <w:t>ε</w:t>
      </w:r>
      <w:r w:rsidRPr="001018C6">
        <w:rPr>
          <w:sz w:val="22"/>
        </w:rPr>
        <w:t xml:space="preserve">νισχυμένης </w:t>
      </w:r>
      <w:r w:rsidR="00A90E34">
        <w:rPr>
          <w:sz w:val="22"/>
        </w:rPr>
        <w:t>ε</w:t>
      </w:r>
      <w:r w:rsidRPr="001018C6">
        <w:rPr>
          <w:sz w:val="22"/>
        </w:rPr>
        <w:t>ποπτείας θα διαμορφωθεί σε έ</w:t>
      </w:r>
      <w:r w:rsidRPr="001018C6">
        <w:rPr>
          <w:sz w:val="22"/>
        </w:rPr>
        <w:t>λ</w:t>
      </w:r>
      <w:r w:rsidRPr="001018C6">
        <w:rPr>
          <w:sz w:val="22"/>
        </w:rPr>
        <w:t xml:space="preserve">λειμμα ύψους 11.760 εκατ. ευρώ ή 7,22% του ΑΕΠ. Σε όρους ESA εκτιμάται ότι θα διαμορφωθεί σε έλλειμμα ύψους 11.141 εκατ. ευρώ ή 6,8% του ΑΕΠ. </w:t>
      </w:r>
      <w:r w:rsidR="00CA653E">
        <w:rPr>
          <w:sz w:val="22"/>
        </w:rPr>
        <w:t xml:space="preserve">Το σύνολο των εσόδων Γενικής Κυβέρνησης σε ενοποιημένη βάση αναμένεται να ανέλθει σε 81.426 εκατ. ευρώ το 2020, έναντι 89.827 εκατ. ευρώ το 2019, παρουσιάζοντας μείωση κατά 9,4%. Το σύνολο των δαπανών Γενικής Κυβέρνησης αναμένεται να ανέλθει σε 97.537 εκατ. ευρώ το 2020, έναντι 87.030 εκατ. ευρώ το 2019, παρουσιάζοντας αύξηση 12,1%. </w:t>
      </w:r>
      <w:r w:rsidRPr="001018C6">
        <w:rPr>
          <w:sz w:val="22"/>
        </w:rPr>
        <w:t xml:space="preserve">Σημειώνεται ότι παρά το γεγονός ότι προσεγγίζουμε στο τέλος του έτους οι εκτιμήσεις αυτές εξακολουθούν να εμπεριέχουν στοιχείο </w:t>
      </w:r>
      <w:r w:rsidR="00A90E34">
        <w:rPr>
          <w:sz w:val="22"/>
        </w:rPr>
        <w:t>επισφάλειας</w:t>
      </w:r>
      <w:r w:rsidRPr="001018C6">
        <w:rPr>
          <w:sz w:val="22"/>
        </w:rPr>
        <w:t xml:space="preserve"> ως συνέπεια της αβεβαιότητας για την εξέλιξη της πανδημίας.</w:t>
      </w:r>
    </w:p>
    <w:p w:rsidR="00E71B1B" w:rsidRDefault="00E71B1B" w:rsidP="00E71B1B">
      <w:pPr>
        <w:contextualSpacing/>
        <w:jc w:val="both"/>
        <w:rPr>
          <w:sz w:val="22"/>
        </w:rPr>
      </w:pPr>
    </w:p>
    <w:tbl>
      <w:tblPr>
        <w:tblW w:w="9002" w:type="dxa"/>
        <w:tblInd w:w="9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280"/>
        <w:gridCol w:w="5746"/>
        <w:gridCol w:w="992"/>
        <w:gridCol w:w="1068"/>
        <w:gridCol w:w="916"/>
      </w:tblGrid>
      <w:tr w:rsidR="0012187A" w:rsidRPr="007E66A1" w:rsidTr="00A90E34">
        <w:trPr>
          <w:trHeight w:val="20"/>
        </w:trPr>
        <w:tc>
          <w:tcPr>
            <w:tcW w:w="9002" w:type="dxa"/>
            <w:gridSpan w:val="5"/>
            <w:shd w:val="clear" w:color="auto" w:fill="404040" w:themeFill="text1" w:themeFillTint="BF"/>
            <w:vAlign w:val="center"/>
            <w:hideMark/>
          </w:tcPr>
          <w:p w:rsidR="0012187A" w:rsidRPr="00FD2A8D" w:rsidRDefault="0012187A" w:rsidP="00A90E34">
            <w:pPr>
              <w:spacing w:before="120"/>
              <w:jc w:val="center"/>
              <w:rPr>
                <w:rFonts w:ascii="Arial Narrow" w:hAnsi="Arial Narrow"/>
                <w:b/>
                <w:bCs/>
                <w:color w:val="FFFFFF" w:themeColor="background1"/>
              </w:rPr>
            </w:pPr>
            <w:bookmarkStart w:id="0" w:name="RANGE!A1:E22"/>
            <w:r w:rsidRPr="007E66A1">
              <w:rPr>
                <w:rFonts w:ascii="Arial Narrow" w:hAnsi="Arial Narrow"/>
                <w:b/>
                <w:bCs/>
                <w:color w:val="FFFFFF" w:themeColor="background1"/>
              </w:rPr>
              <w:t xml:space="preserve">Πίνακας 3.1  Αποτελέσματα </w:t>
            </w:r>
            <w:r>
              <w:rPr>
                <w:rFonts w:ascii="Arial Narrow" w:hAnsi="Arial Narrow"/>
                <w:b/>
                <w:bCs/>
                <w:color w:val="FFFFFF" w:themeColor="background1"/>
              </w:rPr>
              <w:t>Γενικής Κυβέρνησης περιόδου 2019 – 2021</w:t>
            </w:r>
          </w:p>
          <w:p w:rsidR="0012187A" w:rsidRPr="007E66A1" w:rsidRDefault="0012187A" w:rsidP="00A90E34">
            <w:pPr>
              <w:spacing w:after="120"/>
              <w:jc w:val="center"/>
              <w:rPr>
                <w:rFonts w:ascii="Arial Narrow" w:hAnsi="Arial Narrow"/>
                <w:b/>
                <w:bCs/>
                <w:color w:val="FFFFFF" w:themeColor="background1"/>
              </w:rPr>
            </w:pPr>
            <w:r w:rsidRPr="007E66A1">
              <w:rPr>
                <w:rFonts w:ascii="Arial Narrow" w:hAnsi="Arial Narrow"/>
                <w:b/>
                <w:bCs/>
                <w:color w:val="FFFFFF" w:themeColor="background1"/>
              </w:rPr>
              <w:t>(σε εκατ. ευρώ)</w:t>
            </w:r>
            <w:bookmarkEnd w:id="0"/>
          </w:p>
        </w:tc>
      </w:tr>
      <w:tr w:rsidR="0012187A" w:rsidRPr="007E66A1" w:rsidTr="00A90E34">
        <w:trPr>
          <w:trHeight w:val="20"/>
        </w:trPr>
        <w:tc>
          <w:tcPr>
            <w:tcW w:w="280" w:type="dxa"/>
            <w:tcBorders>
              <w:bottom w:val="single" w:sz="4" w:space="0" w:color="auto"/>
            </w:tcBorders>
            <w:shd w:val="clear" w:color="auto" w:fill="auto"/>
            <w:vAlign w:val="center"/>
            <w:hideMark/>
          </w:tcPr>
          <w:p w:rsidR="0012187A" w:rsidRPr="007E66A1" w:rsidRDefault="0012187A" w:rsidP="00A90E34">
            <w:pPr>
              <w:jc w:val="right"/>
              <w:rPr>
                <w:rFonts w:ascii="Arial Narrow" w:hAnsi="Arial Narrow"/>
                <w:b/>
                <w:bCs/>
                <w:sz w:val="16"/>
                <w:szCs w:val="20"/>
              </w:rPr>
            </w:pPr>
            <w:r w:rsidRPr="007E66A1">
              <w:rPr>
                <w:rFonts w:ascii="Arial Narrow" w:hAnsi="Arial Narrow"/>
                <w:b/>
                <w:bCs/>
                <w:sz w:val="16"/>
                <w:szCs w:val="20"/>
              </w:rPr>
              <w:t> </w:t>
            </w:r>
          </w:p>
        </w:tc>
        <w:tc>
          <w:tcPr>
            <w:tcW w:w="5746" w:type="dxa"/>
            <w:tcBorders>
              <w:bottom w:val="single" w:sz="4" w:space="0" w:color="auto"/>
            </w:tcBorders>
            <w:shd w:val="clear" w:color="auto" w:fill="auto"/>
            <w:vAlign w:val="center"/>
            <w:hideMark/>
          </w:tcPr>
          <w:p w:rsidR="0012187A" w:rsidRPr="007E66A1" w:rsidRDefault="0012187A" w:rsidP="00A90E34">
            <w:pPr>
              <w:rPr>
                <w:rFonts w:ascii="Arial Narrow" w:hAnsi="Arial Narrow"/>
                <w:sz w:val="16"/>
                <w:szCs w:val="20"/>
              </w:rPr>
            </w:pPr>
            <w:r w:rsidRPr="007E66A1">
              <w:rPr>
                <w:rFonts w:ascii="Arial Narrow" w:hAnsi="Arial Narrow"/>
                <w:sz w:val="16"/>
                <w:szCs w:val="20"/>
              </w:rPr>
              <w:t> </w:t>
            </w:r>
          </w:p>
        </w:tc>
        <w:tc>
          <w:tcPr>
            <w:tcW w:w="992" w:type="dxa"/>
            <w:tcBorders>
              <w:bottom w:val="single" w:sz="4" w:space="0" w:color="auto"/>
            </w:tcBorders>
            <w:shd w:val="clear" w:color="auto" w:fill="auto"/>
            <w:vAlign w:val="center"/>
            <w:hideMark/>
          </w:tcPr>
          <w:p w:rsidR="0012187A" w:rsidRPr="007E66A1" w:rsidRDefault="0012187A" w:rsidP="00A90E34">
            <w:pPr>
              <w:jc w:val="center"/>
              <w:rPr>
                <w:rFonts w:ascii="Arial Narrow" w:hAnsi="Arial Narrow"/>
                <w:sz w:val="16"/>
                <w:szCs w:val="20"/>
              </w:rPr>
            </w:pPr>
            <w:r w:rsidRPr="007E66A1">
              <w:rPr>
                <w:rFonts w:ascii="Arial Narrow" w:hAnsi="Arial Narrow"/>
                <w:sz w:val="16"/>
                <w:szCs w:val="20"/>
              </w:rPr>
              <w:t> </w:t>
            </w:r>
          </w:p>
        </w:tc>
        <w:tc>
          <w:tcPr>
            <w:tcW w:w="1068" w:type="dxa"/>
            <w:tcBorders>
              <w:bottom w:val="single" w:sz="4" w:space="0" w:color="auto"/>
            </w:tcBorders>
            <w:shd w:val="clear" w:color="auto" w:fill="auto"/>
            <w:vAlign w:val="center"/>
            <w:hideMark/>
          </w:tcPr>
          <w:p w:rsidR="0012187A" w:rsidRPr="007E66A1" w:rsidRDefault="0012187A" w:rsidP="00A90E34">
            <w:pPr>
              <w:jc w:val="center"/>
              <w:rPr>
                <w:rFonts w:ascii="Arial Narrow" w:hAnsi="Arial Narrow"/>
                <w:sz w:val="16"/>
                <w:szCs w:val="20"/>
              </w:rPr>
            </w:pPr>
            <w:r w:rsidRPr="007E66A1">
              <w:rPr>
                <w:rFonts w:ascii="Arial Narrow" w:hAnsi="Arial Narrow"/>
                <w:sz w:val="16"/>
                <w:szCs w:val="20"/>
              </w:rPr>
              <w:t> </w:t>
            </w:r>
          </w:p>
        </w:tc>
        <w:tc>
          <w:tcPr>
            <w:tcW w:w="916" w:type="dxa"/>
            <w:tcBorders>
              <w:bottom w:val="single" w:sz="4" w:space="0" w:color="auto"/>
            </w:tcBorders>
            <w:shd w:val="clear" w:color="auto" w:fill="auto"/>
            <w:vAlign w:val="center"/>
            <w:hideMark/>
          </w:tcPr>
          <w:p w:rsidR="0012187A" w:rsidRPr="007E66A1" w:rsidRDefault="0012187A" w:rsidP="00A90E34">
            <w:pPr>
              <w:jc w:val="center"/>
              <w:rPr>
                <w:rFonts w:ascii="Arial Narrow" w:hAnsi="Arial Narrow"/>
                <w:sz w:val="16"/>
                <w:szCs w:val="20"/>
              </w:rPr>
            </w:pPr>
            <w:r w:rsidRPr="007E66A1">
              <w:rPr>
                <w:rFonts w:ascii="Arial Narrow" w:hAnsi="Arial Narrow"/>
                <w:sz w:val="16"/>
                <w:szCs w:val="20"/>
              </w:rPr>
              <w:t> </w:t>
            </w:r>
          </w:p>
        </w:tc>
      </w:tr>
      <w:tr w:rsidR="0012187A" w:rsidRPr="007E66A1" w:rsidTr="00A90E34">
        <w:trPr>
          <w:trHeight w:val="340"/>
        </w:trPr>
        <w:tc>
          <w:tcPr>
            <w:tcW w:w="6026" w:type="dxa"/>
            <w:gridSpan w:val="2"/>
            <w:tcBorders>
              <w:top w:val="single" w:sz="4" w:space="0" w:color="auto"/>
              <w:bottom w:val="single" w:sz="4" w:space="0" w:color="auto"/>
              <w:right w:val="single" w:sz="4" w:space="0" w:color="auto"/>
            </w:tcBorders>
            <w:shd w:val="clear" w:color="auto" w:fill="auto"/>
            <w:vAlign w:val="center"/>
            <w:hideMark/>
          </w:tcPr>
          <w:p w:rsidR="0012187A" w:rsidRPr="007E66A1" w:rsidRDefault="0012187A" w:rsidP="00A90E34">
            <w:pPr>
              <w:jc w:val="center"/>
              <w:rPr>
                <w:rFonts w:ascii="Arial Narrow" w:hAnsi="Arial Narrow"/>
                <w:b/>
                <w:bCs/>
                <w:sz w:val="16"/>
                <w:szCs w:val="16"/>
              </w:rPr>
            </w:pPr>
            <w:r w:rsidRPr="007E66A1">
              <w:rPr>
                <w:rFonts w:ascii="Arial Narrow" w:hAnsi="Arial Narrow"/>
                <w:b/>
                <w:bCs/>
                <w:sz w:val="16"/>
                <w:szCs w:val="16"/>
              </w:rPr>
              <w:t xml:space="preserve">Γενική Κυβέρνηση κατά </w:t>
            </w:r>
            <w:r w:rsidRPr="007E66A1">
              <w:rPr>
                <w:rFonts w:ascii="Arial Narrow" w:hAnsi="Arial Narrow"/>
                <w:b/>
                <w:bCs/>
                <w:sz w:val="16"/>
                <w:szCs w:val="16"/>
                <w:lang w:val="en-GB"/>
              </w:rPr>
              <w:t>ESA</w:t>
            </w:r>
            <w:r w:rsidRPr="007E66A1">
              <w:rPr>
                <w:rFonts w:ascii="Arial Narrow" w:hAnsi="Arial Narrow"/>
                <w:b/>
                <w:bCs/>
                <w:sz w:val="16"/>
                <w:szCs w:val="16"/>
              </w:rPr>
              <w:t xml:space="preserve"> ανά υποτομέα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87A" w:rsidRPr="00957685" w:rsidRDefault="0012187A" w:rsidP="00A90E34">
            <w:pPr>
              <w:jc w:val="center"/>
              <w:rPr>
                <w:rFonts w:ascii="Arial Narrow" w:hAnsi="Arial Narrow"/>
                <w:b/>
                <w:bCs/>
                <w:sz w:val="16"/>
                <w:szCs w:val="16"/>
              </w:rPr>
            </w:pPr>
            <w:r>
              <w:rPr>
                <w:rFonts w:ascii="Arial Narrow" w:hAnsi="Arial Narrow"/>
                <w:b/>
                <w:bCs/>
                <w:sz w:val="16"/>
                <w:szCs w:val="16"/>
              </w:rPr>
              <w:t>2019</w:t>
            </w:r>
          </w:p>
          <w:p w:rsidR="0012187A" w:rsidRPr="009D0CE8" w:rsidRDefault="0012187A" w:rsidP="00A90E34">
            <w:pPr>
              <w:jc w:val="center"/>
              <w:rPr>
                <w:rFonts w:ascii="Arial Narrow" w:hAnsi="Arial Narrow"/>
                <w:b/>
                <w:bCs/>
                <w:sz w:val="16"/>
                <w:szCs w:val="16"/>
              </w:rPr>
            </w:pPr>
            <w:r>
              <w:rPr>
                <w:rFonts w:ascii="Arial Narrow" w:hAnsi="Arial Narrow"/>
                <w:b/>
                <w:bCs/>
                <w:sz w:val="16"/>
                <w:szCs w:val="16"/>
              </w:rPr>
              <w:t>Πραγματ/σεις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87A" w:rsidRPr="00957685" w:rsidRDefault="0012187A" w:rsidP="00A90E34">
            <w:pPr>
              <w:jc w:val="center"/>
              <w:rPr>
                <w:rFonts w:ascii="Arial Narrow" w:hAnsi="Arial Narrow"/>
                <w:b/>
                <w:bCs/>
                <w:sz w:val="16"/>
                <w:szCs w:val="16"/>
              </w:rPr>
            </w:pPr>
            <w:r>
              <w:rPr>
                <w:rFonts w:ascii="Arial Narrow" w:hAnsi="Arial Narrow"/>
                <w:b/>
                <w:bCs/>
                <w:sz w:val="16"/>
                <w:szCs w:val="16"/>
              </w:rPr>
              <w:t>2020</w:t>
            </w:r>
          </w:p>
          <w:p w:rsidR="0012187A" w:rsidRPr="007E66A1" w:rsidRDefault="0012187A" w:rsidP="00A90E34">
            <w:pPr>
              <w:jc w:val="center"/>
              <w:rPr>
                <w:rFonts w:ascii="Arial Narrow" w:hAnsi="Arial Narrow"/>
                <w:b/>
                <w:bCs/>
                <w:sz w:val="16"/>
                <w:szCs w:val="16"/>
              </w:rPr>
            </w:pPr>
            <w:r w:rsidRPr="007E66A1">
              <w:rPr>
                <w:rFonts w:ascii="Arial Narrow" w:hAnsi="Arial Narrow"/>
                <w:b/>
                <w:bCs/>
                <w:sz w:val="16"/>
                <w:szCs w:val="16"/>
              </w:rPr>
              <w:t>Εκτίμηση</w:t>
            </w:r>
          </w:p>
        </w:tc>
        <w:tc>
          <w:tcPr>
            <w:tcW w:w="916" w:type="dxa"/>
            <w:tcBorders>
              <w:top w:val="single" w:sz="4" w:space="0" w:color="auto"/>
              <w:left w:val="single" w:sz="4" w:space="0" w:color="auto"/>
              <w:bottom w:val="single" w:sz="4" w:space="0" w:color="auto"/>
            </w:tcBorders>
            <w:shd w:val="clear" w:color="auto" w:fill="auto"/>
            <w:vAlign w:val="center"/>
            <w:hideMark/>
          </w:tcPr>
          <w:p w:rsidR="0012187A" w:rsidRPr="00957685" w:rsidRDefault="0012187A" w:rsidP="00A90E34">
            <w:pPr>
              <w:jc w:val="center"/>
              <w:rPr>
                <w:rFonts w:ascii="Arial Narrow" w:hAnsi="Arial Narrow"/>
                <w:b/>
                <w:bCs/>
                <w:sz w:val="16"/>
                <w:szCs w:val="16"/>
              </w:rPr>
            </w:pPr>
            <w:r>
              <w:rPr>
                <w:rFonts w:ascii="Arial Narrow" w:hAnsi="Arial Narrow"/>
                <w:b/>
                <w:bCs/>
                <w:sz w:val="16"/>
                <w:szCs w:val="16"/>
              </w:rPr>
              <w:t>2021</w:t>
            </w:r>
          </w:p>
          <w:p w:rsidR="0012187A" w:rsidRPr="007E66A1" w:rsidRDefault="0012187A" w:rsidP="00A90E34">
            <w:pPr>
              <w:jc w:val="center"/>
              <w:rPr>
                <w:rFonts w:ascii="Arial Narrow" w:hAnsi="Arial Narrow"/>
                <w:b/>
                <w:bCs/>
                <w:sz w:val="16"/>
                <w:szCs w:val="16"/>
              </w:rPr>
            </w:pPr>
            <w:r w:rsidRPr="007E66A1">
              <w:rPr>
                <w:rFonts w:ascii="Arial Narrow" w:hAnsi="Arial Narrow"/>
                <w:b/>
                <w:bCs/>
                <w:sz w:val="16"/>
                <w:szCs w:val="16"/>
              </w:rPr>
              <w:t>Πρόβλεψη</w:t>
            </w:r>
          </w:p>
        </w:tc>
      </w:tr>
      <w:tr w:rsidR="0012187A" w:rsidRPr="007E66A1" w:rsidTr="0012187A">
        <w:trPr>
          <w:trHeight w:val="283"/>
        </w:trPr>
        <w:tc>
          <w:tcPr>
            <w:tcW w:w="280" w:type="dxa"/>
            <w:tcBorders>
              <w:top w:val="single" w:sz="4" w:space="0" w:color="auto"/>
            </w:tcBorders>
            <w:shd w:val="clear" w:color="auto" w:fill="auto"/>
            <w:hideMark/>
          </w:tcPr>
          <w:p w:rsidR="0012187A" w:rsidRPr="007E66A1" w:rsidRDefault="0012187A" w:rsidP="00A90E34">
            <w:pPr>
              <w:jc w:val="right"/>
              <w:rPr>
                <w:rFonts w:ascii="Arial Narrow" w:hAnsi="Arial Narrow"/>
                <w:b/>
                <w:bCs/>
                <w:sz w:val="16"/>
                <w:szCs w:val="16"/>
              </w:rPr>
            </w:pPr>
            <w:r w:rsidRPr="007E66A1">
              <w:rPr>
                <w:rFonts w:ascii="Arial Narrow" w:hAnsi="Arial Narrow"/>
                <w:b/>
                <w:bCs/>
                <w:sz w:val="16"/>
                <w:szCs w:val="16"/>
              </w:rPr>
              <w:t>1.</w:t>
            </w:r>
          </w:p>
        </w:tc>
        <w:tc>
          <w:tcPr>
            <w:tcW w:w="5746" w:type="dxa"/>
            <w:tcBorders>
              <w:top w:val="single" w:sz="4" w:space="0" w:color="auto"/>
            </w:tcBorders>
            <w:shd w:val="clear" w:color="auto" w:fill="auto"/>
            <w:vAlign w:val="center"/>
            <w:hideMark/>
          </w:tcPr>
          <w:p w:rsidR="0012187A" w:rsidRDefault="0012187A" w:rsidP="00A90E34">
            <w:pPr>
              <w:rPr>
                <w:rFonts w:ascii="Arial Narrow" w:hAnsi="Arial Narrow"/>
                <w:sz w:val="16"/>
                <w:szCs w:val="16"/>
              </w:rPr>
            </w:pPr>
            <w:r w:rsidRPr="007E66A1">
              <w:rPr>
                <w:rFonts w:ascii="Arial Narrow" w:hAnsi="Arial Narrow"/>
                <w:sz w:val="16"/>
                <w:szCs w:val="16"/>
              </w:rPr>
              <w:t>Ισοζύγιο Κρατικού Προϋπολογισμού</w:t>
            </w:r>
          </w:p>
          <w:p w:rsidR="0012187A" w:rsidRPr="007E66A1" w:rsidRDefault="0012187A" w:rsidP="00A90E34">
            <w:pPr>
              <w:rPr>
                <w:rFonts w:ascii="Arial Narrow" w:hAnsi="Arial Narrow"/>
                <w:sz w:val="16"/>
                <w:szCs w:val="16"/>
              </w:rPr>
            </w:pPr>
            <w:r w:rsidRPr="007E66A1">
              <w:rPr>
                <w:rFonts w:ascii="Arial Narrow" w:hAnsi="Arial Narrow"/>
                <w:sz w:val="16"/>
                <w:szCs w:val="16"/>
              </w:rPr>
              <w:t>(</w:t>
            </w:r>
            <w:r>
              <w:rPr>
                <w:rFonts w:ascii="Arial Narrow" w:hAnsi="Arial Narrow"/>
                <w:sz w:val="16"/>
                <w:szCs w:val="16"/>
              </w:rPr>
              <w:t xml:space="preserve">Προεδρία της Ελληνικής Δημοκρατίας, Προεδρία της Κυβέρνησης, </w:t>
            </w:r>
            <w:r w:rsidRPr="007E66A1">
              <w:rPr>
                <w:rFonts w:ascii="Arial Narrow" w:hAnsi="Arial Narrow"/>
                <w:sz w:val="16"/>
                <w:szCs w:val="16"/>
              </w:rPr>
              <w:t>Βουλή, Υπουργεία, Περιφ</w:t>
            </w:r>
            <w:r w:rsidRPr="007E66A1">
              <w:rPr>
                <w:rFonts w:ascii="Arial Narrow" w:hAnsi="Arial Narrow"/>
                <w:sz w:val="16"/>
                <w:szCs w:val="16"/>
              </w:rPr>
              <w:t>ε</w:t>
            </w:r>
            <w:r w:rsidRPr="007E66A1">
              <w:rPr>
                <w:rFonts w:ascii="Arial Narrow" w:hAnsi="Arial Narrow"/>
                <w:sz w:val="16"/>
                <w:szCs w:val="16"/>
              </w:rPr>
              <w:t xml:space="preserve">ρειακές Υπηρεσίες Υπουργείων και Αποκεντρωμένες Διοικήσεις) </w:t>
            </w:r>
          </w:p>
        </w:tc>
        <w:tc>
          <w:tcPr>
            <w:tcW w:w="992" w:type="dxa"/>
            <w:tcBorders>
              <w:top w:val="single" w:sz="4" w:space="0" w:color="auto"/>
            </w:tcBorders>
            <w:shd w:val="clear" w:color="auto" w:fill="auto"/>
            <w:vAlign w:val="center"/>
            <w:hideMark/>
          </w:tcPr>
          <w:p w:rsidR="0012187A" w:rsidRDefault="0012187A" w:rsidP="0012187A">
            <w:pPr>
              <w:ind w:right="170"/>
              <w:jc w:val="right"/>
              <w:rPr>
                <w:rFonts w:ascii="Arial Narrow" w:hAnsi="Arial Narrow"/>
                <w:color w:val="000000"/>
                <w:sz w:val="16"/>
                <w:szCs w:val="16"/>
              </w:rPr>
            </w:pPr>
            <w:r>
              <w:rPr>
                <w:rFonts w:ascii="Arial Narrow" w:hAnsi="Arial Narrow"/>
                <w:color w:val="000000"/>
                <w:sz w:val="16"/>
                <w:szCs w:val="16"/>
              </w:rPr>
              <w:t>-2.367</w:t>
            </w:r>
          </w:p>
        </w:tc>
        <w:tc>
          <w:tcPr>
            <w:tcW w:w="1068" w:type="dxa"/>
            <w:tcBorders>
              <w:top w:val="single" w:sz="4" w:space="0" w:color="auto"/>
            </w:tcBorders>
            <w:shd w:val="clear" w:color="auto" w:fill="auto"/>
            <w:vAlign w:val="center"/>
            <w:hideMark/>
          </w:tcPr>
          <w:p w:rsidR="0012187A" w:rsidRDefault="0012187A" w:rsidP="0012187A">
            <w:pPr>
              <w:ind w:right="170"/>
              <w:jc w:val="right"/>
              <w:rPr>
                <w:rFonts w:ascii="Arial Narrow" w:hAnsi="Arial Narrow"/>
                <w:color w:val="000000"/>
                <w:sz w:val="16"/>
                <w:szCs w:val="16"/>
              </w:rPr>
            </w:pPr>
            <w:r>
              <w:rPr>
                <w:rFonts w:ascii="Arial Narrow" w:hAnsi="Arial Narrow"/>
                <w:color w:val="000000"/>
                <w:sz w:val="16"/>
                <w:szCs w:val="16"/>
              </w:rPr>
              <w:t>-20.228</w:t>
            </w:r>
          </w:p>
        </w:tc>
        <w:tc>
          <w:tcPr>
            <w:tcW w:w="916" w:type="dxa"/>
            <w:tcBorders>
              <w:top w:val="single" w:sz="4" w:space="0" w:color="auto"/>
            </w:tcBorders>
            <w:shd w:val="clear" w:color="auto" w:fill="auto"/>
            <w:vAlign w:val="center"/>
            <w:hideMark/>
          </w:tcPr>
          <w:p w:rsidR="0012187A" w:rsidRDefault="0012187A" w:rsidP="0012187A">
            <w:pPr>
              <w:ind w:right="170"/>
              <w:jc w:val="right"/>
              <w:rPr>
                <w:rFonts w:ascii="Arial Narrow" w:hAnsi="Arial Narrow"/>
                <w:color w:val="000000"/>
                <w:sz w:val="16"/>
                <w:szCs w:val="16"/>
              </w:rPr>
            </w:pPr>
            <w:r>
              <w:rPr>
                <w:rFonts w:ascii="Arial Narrow" w:hAnsi="Arial Narrow"/>
                <w:color w:val="000000"/>
                <w:sz w:val="16"/>
                <w:szCs w:val="16"/>
              </w:rPr>
              <w:t>-14.715</w:t>
            </w:r>
          </w:p>
        </w:tc>
      </w:tr>
      <w:tr w:rsidR="0012187A" w:rsidRPr="007E66A1" w:rsidTr="0012187A">
        <w:trPr>
          <w:trHeight w:val="283"/>
        </w:trPr>
        <w:tc>
          <w:tcPr>
            <w:tcW w:w="280" w:type="dxa"/>
            <w:shd w:val="clear" w:color="auto" w:fill="auto"/>
            <w:hideMark/>
          </w:tcPr>
          <w:p w:rsidR="0012187A" w:rsidRPr="007E66A1" w:rsidRDefault="0012187A" w:rsidP="00A90E34">
            <w:pPr>
              <w:jc w:val="right"/>
              <w:rPr>
                <w:rFonts w:ascii="Arial Narrow" w:hAnsi="Arial Narrow"/>
                <w:b/>
                <w:bCs/>
                <w:sz w:val="16"/>
                <w:szCs w:val="16"/>
              </w:rPr>
            </w:pPr>
            <w:r w:rsidRPr="007E66A1">
              <w:rPr>
                <w:rFonts w:ascii="Arial Narrow" w:hAnsi="Arial Narrow"/>
                <w:b/>
                <w:bCs/>
                <w:sz w:val="16"/>
                <w:szCs w:val="16"/>
              </w:rPr>
              <w:t>2.</w:t>
            </w:r>
          </w:p>
        </w:tc>
        <w:tc>
          <w:tcPr>
            <w:tcW w:w="5746" w:type="dxa"/>
            <w:shd w:val="clear" w:color="auto" w:fill="auto"/>
            <w:vAlign w:val="center"/>
            <w:hideMark/>
          </w:tcPr>
          <w:p w:rsidR="0012187A" w:rsidRDefault="0012187A" w:rsidP="00A90E34">
            <w:pPr>
              <w:rPr>
                <w:rFonts w:ascii="Arial Narrow" w:hAnsi="Arial Narrow"/>
                <w:sz w:val="16"/>
                <w:szCs w:val="16"/>
              </w:rPr>
            </w:pPr>
            <w:r w:rsidRPr="007E66A1">
              <w:rPr>
                <w:rFonts w:ascii="Arial Narrow" w:hAnsi="Arial Narrow"/>
                <w:sz w:val="16"/>
                <w:szCs w:val="16"/>
              </w:rPr>
              <w:t>Ισοζύγιο Κεντρικής Κυβέρνησης</w:t>
            </w:r>
          </w:p>
          <w:p w:rsidR="0012187A" w:rsidRPr="007E66A1" w:rsidRDefault="0012187A" w:rsidP="00A90E34">
            <w:pPr>
              <w:rPr>
                <w:rFonts w:ascii="Arial Narrow" w:hAnsi="Arial Narrow"/>
                <w:sz w:val="16"/>
                <w:szCs w:val="16"/>
              </w:rPr>
            </w:pPr>
            <w:r w:rsidRPr="007E66A1">
              <w:rPr>
                <w:rFonts w:ascii="Arial Narrow" w:hAnsi="Arial Narrow"/>
                <w:sz w:val="16"/>
                <w:szCs w:val="16"/>
              </w:rPr>
              <w:t>(Κράτος, ΝΠ, ΔΕΚΟ ταξινομημένες εντός της Γενικής</w:t>
            </w:r>
            <w:r>
              <w:rPr>
                <w:rFonts w:ascii="Arial Narrow" w:hAnsi="Arial Narrow"/>
                <w:sz w:val="16"/>
                <w:szCs w:val="16"/>
              </w:rPr>
              <w:t xml:space="preserve"> </w:t>
            </w:r>
            <w:r w:rsidRPr="007E66A1">
              <w:rPr>
                <w:rFonts w:ascii="Arial Narrow" w:hAnsi="Arial Narrow"/>
                <w:sz w:val="16"/>
                <w:szCs w:val="16"/>
              </w:rPr>
              <w:t>Κυβέρνησης και νοσοκομεία)</w:t>
            </w:r>
          </w:p>
        </w:tc>
        <w:tc>
          <w:tcPr>
            <w:tcW w:w="992" w:type="dxa"/>
            <w:shd w:val="clear" w:color="auto" w:fill="auto"/>
            <w:vAlign w:val="center"/>
            <w:hideMark/>
          </w:tcPr>
          <w:p w:rsidR="0012187A" w:rsidRDefault="0012187A" w:rsidP="0012187A">
            <w:pPr>
              <w:ind w:right="170"/>
              <w:jc w:val="right"/>
              <w:rPr>
                <w:rFonts w:ascii="Arial Narrow" w:hAnsi="Arial Narrow"/>
                <w:sz w:val="16"/>
                <w:szCs w:val="16"/>
              </w:rPr>
            </w:pPr>
            <w:r>
              <w:rPr>
                <w:rFonts w:ascii="Arial Narrow" w:hAnsi="Arial Narrow"/>
                <w:sz w:val="16"/>
                <w:szCs w:val="16"/>
              </w:rPr>
              <w:t>896</w:t>
            </w:r>
          </w:p>
        </w:tc>
        <w:tc>
          <w:tcPr>
            <w:tcW w:w="1068" w:type="dxa"/>
            <w:shd w:val="clear" w:color="auto" w:fill="auto"/>
            <w:vAlign w:val="center"/>
            <w:hideMark/>
          </w:tcPr>
          <w:p w:rsidR="0012187A" w:rsidRDefault="0012187A" w:rsidP="0012187A">
            <w:pPr>
              <w:ind w:right="170"/>
              <w:jc w:val="right"/>
              <w:rPr>
                <w:rFonts w:ascii="Arial Narrow" w:hAnsi="Arial Narrow"/>
                <w:sz w:val="16"/>
                <w:szCs w:val="16"/>
              </w:rPr>
            </w:pPr>
            <w:r>
              <w:rPr>
                <w:rFonts w:ascii="Arial Narrow" w:hAnsi="Arial Narrow"/>
                <w:sz w:val="16"/>
                <w:szCs w:val="16"/>
              </w:rPr>
              <w:t>-16.367</w:t>
            </w:r>
          </w:p>
        </w:tc>
        <w:tc>
          <w:tcPr>
            <w:tcW w:w="916" w:type="dxa"/>
            <w:shd w:val="clear" w:color="auto" w:fill="auto"/>
            <w:vAlign w:val="center"/>
            <w:hideMark/>
          </w:tcPr>
          <w:p w:rsidR="0012187A" w:rsidRDefault="0012187A" w:rsidP="0012187A">
            <w:pPr>
              <w:ind w:right="170"/>
              <w:jc w:val="right"/>
              <w:rPr>
                <w:rFonts w:ascii="Arial Narrow" w:hAnsi="Arial Narrow"/>
                <w:color w:val="000000"/>
                <w:sz w:val="16"/>
                <w:szCs w:val="16"/>
              </w:rPr>
            </w:pPr>
            <w:r>
              <w:rPr>
                <w:rFonts w:ascii="Arial Narrow" w:hAnsi="Arial Narrow"/>
                <w:color w:val="000000"/>
                <w:sz w:val="16"/>
                <w:szCs w:val="16"/>
              </w:rPr>
              <w:t>-12.266</w:t>
            </w:r>
          </w:p>
        </w:tc>
      </w:tr>
      <w:tr w:rsidR="0012187A" w:rsidRPr="007E66A1" w:rsidTr="0012187A">
        <w:trPr>
          <w:trHeight w:val="283"/>
        </w:trPr>
        <w:tc>
          <w:tcPr>
            <w:tcW w:w="280" w:type="dxa"/>
            <w:shd w:val="clear" w:color="auto" w:fill="auto"/>
            <w:vAlign w:val="center"/>
            <w:hideMark/>
          </w:tcPr>
          <w:p w:rsidR="0012187A" w:rsidRPr="007E66A1" w:rsidRDefault="0012187A" w:rsidP="00A90E34">
            <w:pPr>
              <w:jc w:val="right"/>
              <w:rPr>
                <w:rFonts w:ascii="Arial Narrow" w:hAnsi="Arial Narrow"/>
                <w:b/>
                <w:bCs/>
                <w:sz w:val="16"/>
                <w:szCs w:val="16"/>
              </w:rPr>
            </w:pPr>
            <w:r w:rsidRPr="007E66A1">
              <w:rPr>
                <w:rFonts w:ascii="Arial Narrow" w:hAnsi="Arial Narrow"/>
                <w:b/>
                <w:bCs/>
                <w:sz w:val="16"/>
                <w:szCs w:val="16"/>
              </w:rPr>
              <w:t>3.</w:t>
            </w:r>
          </w:p>
        </w:tc>
        <w:tc>
          <w:tcPr>
            <w:tcW w:w="5746" w:type="dxa"/>
            <w:shd w:val="clear" w:color="auto" w:fill="auto"/>
            <w:vAlign w:val="center"/>
            <w:hideMark/>
          </w:tcPr>
          <w:p w:rsidR="0012187A" w:rsidRPr="007E66A1" w:rsidRDefault="0012187A" w:rsidP="00A90E34">
            <w:pPr>
              <w:rPr>
                <w:rFonts w:ascii="Arial Narrow" w:hAnsi="Arial Narrow"/>
                <w:sz w:val="16"/>
                <w:szCs w:val="16"/>
              </w:rPr>
            </w:pPr>
            <w:r w:rsidRPr="007E66A1">
              <w:rPr>
                <w:rFonts w:ascii="Arial Narrow" w:hAnsi="Arial Narrow"/>
                <w:sz w:val="16"/>
                <w:szCs w:val="16"/>
              </w:rPr>
              <w:t>Ισοζύγιο Οργανισμών Τοπικής Αυτοδιοίκησης (ΟΤΑ)</w:t>
            </w:r>
          </w:p>
        </w:tc>
        <w:tc>
          <w:tcPr>
            <w:tcW w:w="992" w:type="dxa"/>
            <w:shd w:val="clear" w:color="auto" w:fill="auto"/>
            <w:vAlign w:val="center"/>
            <w:hideMark/>
          </w:tcPr>
          <w:p w:rsidR="0012187A" w:rsidRDefault="0012187A" w:rsidP="0012187A">
            <w:pPr>
              <w:ind w:right="170"/>
              <w:jc w:val="right"/>
              <w:rPr>
                <w:rFonts w:ascii="Arial Narrow" w:hAnsi="Arial Narrow"/>
                <w:color w:val="000000"/>
                <w:sz w:val="16"/>
                <w:szCs w:val="16"/>
              </w:rPr>
            </w:pPr>
            <w:r>
              <w:rPr>
                <w:rFonts w:ascii="Arial Narrow" w:hAnsi="Arial Narrow"/>
                <w:color w:val="000000"/>
                <w:sz w:val="16"/>
                <w:szCs w:val="16"/>
              </w:rPr>
              <w:t>88</w:t>
            </w:r>
          </w:p>
        </w:tc>
        <w:tc>
          <w:tcPr>
            <w:tcW w:w="1068" w:type="dxa"/>
            <w:shd w:val="clear" w:color="auto" w:fill="auto"/>
            <w:vAlign w:val="center"/>
            <w:hideMark/>
          </w:tcPr>
          <w:p w:rsidR="0012187A" w:rsidRDefault="0012187A" w:rsidP="0012187A">
            <w:pPr>
              <w:ind w:right="170"/>
              <w:jc w:val="right"/>
              <w:rPr>
                <w:rFonts w:ascii="Arial Narrow" w:hAnsi="Arial Narrow"/>
                <w:color w:val="000000"/>
                <w:sz w:val="16"/>
                <w:szCs w:val="16"/>
              </w:rPr>
            </w:pPr>
            <w:r>
              <w:rPr>
                <w:rFonts w:ascii="Arial Narrow" w:hAnsi="Arial Narrow"/>
                <w:color w:val="000000"/>
                <w:sz w:val="16"/>
                <w:szCs w:val="16"/>
              </w:rPr>
              <w:t>80</w:t>
            </w:r>
          </w:p>
        </w:tc>
        <w:tc>
          <w:tcPr>
            <w:tcW w:w="916" w:type="dxa"/>
            <w:shd w:val="clear" w:color="auto" w:fill="auto"/>
            <w:vAlign w:val="center"/>
            <w:hideMark/>
          </w:tcPr>
          <w:p w:rsidR="0012187A" w:rsidRDefault="0012187A" w:rsidP="0012187A">
            <w:pPr>
              <w:ind w:right="170"/>
              <w:jc w:val="right"/>
              <w:rPr>
                <w:rFonts w:ascii="Arial Narrow" w:hAnsi="Arial Narrow"/>
                <w:color w:val="000000"/>
                <w:sz w:val="16"/>
                <w:szCs w:val="16"/>
              </w:rPr>
            </w:pPr>
            <w:r>
              <w:rPr>
                <w:rFonts w:ascii="Arial Narrow" w:hAnsi="Arial Narrow"/>
                <w:color w:val="000000"/>
                <w:sz w:val="16"/>
                <w:szCs w:val="16"/>
              </w:rPr>
              <w:t>-4</w:t>
            </w:r>
          </w:p>
        </w:tc>
      </w:tr>
      <w:tr w:rsidR="0012187A" w:rsidRPr="007E66A1" w:rsidTr="0012187A">
        <w:trPr>
          <w:trHeight w:val="283"/>
        </w:trPr>
        <w:tc>
          <w:tcPr>
            <w:tcW w:w="280" w:type="dxa"/>
            <w:shd w:val="clear" w:color="auto" w:fill="auto"/>
            <w:vAlign w:val="center"/>
            <w:hideMark/>
          </w:tcPr>
          <w:p w:rsidR="0012187A" w:rsidRPr="007E66A1" w:rsidRDefault="0012187A" w:rsidP="00A90E34">
            <w:pPr>
              <w:jc w:val="right"/>
              <w:rPr>
                <w:rFonts w:ascii="Arial Narrow" w:hAnsi="Arial Narrow"/>
                <w:b/>
                <w:bCs/>
                <w:sz w:val="16"/>
                <w:szCs w:val="16"/>
              </w:rPr>
            </w:pPr>
            <w:r w:rsidRPr="007E66A1">
              <w:rPr>
                <w:rFonts w:ascii="Arial Narrow" w:hAnsi="Arial Narrow"/>
                <w:b/>
                <w:bCs/>
                <w:sz w:val="16"/>
                <w:szCs w:val="16"/>
              </w:rPr>
              <w:t>4.</w:t>
            </w:r>
          </w:p>
        </w:tc>
        <w:tc>
          <w:tcPr>
            <w:tcW w:w="5746" w:type="dxa"/>
            <w:shd w:val="clear" w:color="auto" w:fill="auto"/>
            <w:vAlign w:val="center"/>
            <w:hideMark/>
          </w:tcPr>
          <w:p w:rsidR="0012187A" w:rsidRPr="007E66A1" w:rsidRDefault="0012187A" w:rsidP="00A90E34">
            <w:pPr>
              <w:rPr>
                <w:rFonts w:ascii="Arial Narrow" w:hAnsi="Arial Narrow"/>
                <w:sz w:val="16"/>
                <w:szCs w:val="16"/>
              </w:rPr>
            </w:pPr>
            <w:r w:rsidRPr="007E66A1">
              <w:rPr>
                <w:rFonts w:ascii="Arial Narrow" w:hAnsi="Arial Narrow"/>
                <w:sz w:val="16"/>
                <w:szCs w:val="16"/>
              </w:rPr>
              <w:t>Ισοζύγιο Οργανισμών Κο</w:t>
            </w:r>
            <w:r>
              <w:rPr>
                <w:rFonts w:ascii="Arial Narrow" w:hAnsi="Arial Narrow"/>
                <w:sz w:val="16"/>
                <w:szCs w:val="16"/>
              </w:rPr>
              <w:t>ινωνικής Ασφάλισης (ΟΚΑ) εκτός ν</w:t>
            </w:r>
            <w:r w:rsidRPr="007E66A1">
              <w:rPr>
                <w:rFonts w:ascii="Arial Narrow" w:hAnsi="Arial Narrow"/>
                <w:sz w:val="16"/>
                <w:szCs w:val="16"/>
              </w:rPr>
              <w:t>οσοκομείων</w:t>
            </w:r>
          </w:p>
        </w:tc>
        <w:tc>
          <w:tcPr>
            <w:tcW w:w="992" w:type="dxa"/>
            <w:shd w:val="clear" w:color="auto" w:fill="auto"/>
            <w:vAlign w:val="center"/>
            <w:hideMark/>
          </w:tcPr>
          <w:p w:rsidR="0012187A" w:rsidRDefault="0012187A" w:rsidP="0012187A">
            <w:pPr>
              <w:ind w:right="170"/>
              <w:jc w:val="right"/>
              <w:rPr>
                <w:rFonts w:ascii="Arial Narrow" w:hAnsi="Arial Narrow"/>
                <w:color w:val="000000"/>
                <w:sz w:val="16"/>
                <w:szCs w:val="16"/>
              </w:rPr>
            </w:pPr>
            <w:r>
              <w:rPr>
                <w:rFonts w:ascii="Arial Narrow" w:hAnsi="Arial Narrow"/>
                <w:color w:val="000000"/>
                <w:sz w:val="16"/>
                <w:szCs w:val="16"/>
              </w:rPr>
              <w:t>1.813</w:t>
            </w:r>
          </w:p>
        </w:tc>
        <w:tc>
          <w:tcPr>
            <w:tcW w:w="1068" w:type="dxa"/>
            <w:shd w:val="clear" w:color="auto" w:fill="auto"/>
            <w:vAlign w:val="center"/>
            <w:hideMark/>
          </w:tcPr>
          <w:p w:rsidR="0012187A" w:rsidRDefault="0012187A" w:rsidP="0012187A">
            <w:pPr>
              <w:ind w:right="170"/>
              <w:jc w:val="right"/>
              <w:rPr>
                <w:rFonts w:ascii="Arial Narrow" w:hAnsi="Arial Narrow"/>
                <w:color w:val="000000"/>
                <w:sz w:val="16"/>
                <w:szCs w:val="16"/>
              </w:rPr>
            </w:pPr>
            <w:r>
              <w:rPr>
                <w:rFonts w:ascii="Arial Narrow" w:hAnsi="Arial Narrow"/>
                <w:color w:val="000000"/>
                <w:sz w:val="16"/>
                <w:szCs w:val="16"/>
              </w:rPr>
              <w:t>176</w:t>
            </w:r>
          </w:p>
        </w:tc>
        <w:tc>
          <w:tcPr>
            <w:tcW w:w="916" w:type="dxa"/>
            <w:shd w:val="clear" w:color="auto" w:fill="auto"/>
            <w:vAlign w:val="center"/>
            <w:hideMark/>
          </w:tcPr>
          <w:p w:rsidR="0012187A" w:rsidRDefault="0012187A" w:rsidP="0012187A">
            <w:pPr>
              <w:ind w:right="170"/>
              <w:jc w:val="right"/>
              <w:rPr>
                <w:rFonts w:ascii="Arial Narrow" w:hAnsi="Arial Narrow"/>
                <w:color w:val="000000"/>
                <w:sz w:val="16"/>
                <w:szCs w:val="16"/>
              </w:rPr>
            </w:pPr>
            <w:r>
              <w:rPr>
                <w:rFonts w:ascii="Arial Narrow" w:hAnsi="Arial Narrow"/>
                <w:color w:val="000000"/>
                <w:sz w:val="16"/>
                <w:szCs w:val="16"/>
              </w:rPr>
              <w:t>754</w:t>
            </w:r>
          </w:p>
        </w:tc>
      </w:tr>
      <w:tr w:rsidR="0012187A" w:rsidRPr="007E66A1" w:rsidTr="0012187A">
        <w:trPr>
          <w:trHeight w:val="283"/>
        </w:trPr>
        <w:tc>
          <w:tcPr>
            <w:tcW w:w="280" w:type="dxa"/>
            <w:shd w:val="clear" w:color="auto" w:fill="BFBFBF" w:themeFill="background1" w:themeFillShade="BF"/>
            <w:vAlign w:val="center"/>
            <w:hideMark/>
          </w:tcPr>
          <w:p w:rsidR="0012187A" w:rsidRPr="007E66A1" w:rsidRDefault="0012187A" w:rsidP="00A90E34">
            <w:pPr>
              <w:spacing w:before="60" w:after="60"/>
              <w:jc w:val="right"/>
              <w:rPr>
                <w:rFonts w:ascii="Arial Narrow" w:hAnsi="Arial Narrow"/>
                <w:b/>
                <w:bCs/>
                <w:sz w:val="16"/>
                <w:szCs w:val="16"/>
              </w:rPr>
            </w:pPr>
            <w:r w:rsidRPr="007E66A1">
              <w:rPr>
                <w:rFonts w:ascii="Arial Narrow" w:hAnsi="Arial Narrow"/>
                <w:b/>
                <w:bCs/>
                <w:sz w:val="16"/>
                <w:szCs w:val="16"/>
              </w:rPr>
              <w:t>5.</w:t>
            </w:r>
          </w:p>
        </w:tc>
        <w:tc>
          <w:tcPr>
            <w:tcW w:w="5746" w:type="dxa"/>
            <w:shd w:val="clear" w:color="auto" w:fill="BFBFBF" w:themeFill="background1" w:themeFillShade="BF"/>
            <w:vAlign w:val="center"/>
            <w:hideMark/>
          </w:tcPr>
          <w:p w:rsidR="0012187A" w:rsidRPr="007E66A1" w:rsidRDefault="0012187A" w:rsidP="00A90E34">
            <w:pPr>
              <w:spacing w:before="60" w:after="60"/>
              <w:rPr>
                <w:rFonts w:ascii="Arial Narrow" w:hAnsi="Arial Narrow"/>
                <w:b/>
                <w:bCs/>
                <w:sz w:val="16"/>
                <w:szCs w:val="16"/>
              </w:rPr>
            </w:pPr>
            <w:r w:rsidRPr="007E66A1">
              <w:rPr>
                <w:rFonts w:ascii="Arial Narrow" w:hAnsi="Arial Narrow"/>
                <w:b/>
                <w:bCs/>
                <w:sz w:val="16"/>
                <w:szCs w:val="16"/>
              </w:rPr>
              <w:t xml:space="preserve">Ισοζύγιο Γενικής Κυβέρνησης </w:t>
            </w:r>
            <w:r>
              <w:rPr>
                <w:rFonts w:ascii="Arial Narrow" w:hAnsi="Arial Narrow"/>
                <w:b/>
                <w:bCs/>
                <w:sz w:val="16"/>
                <w:szCs w:val="16"/>
              </w:rPr>
              <w:t xml:space="preserve">σύμφωνα με τη μεθοδολογία </w:t>
            </w:r>
            <w:r>
              <w:rPr>
                <w:rFonts w:ascii="Arial Narrow" w:hAnsi="Arial Narrow"/>
                <w:b/>
                <w:bCs/>
                <w:sz w:val="16"/>
                <w:szCs w:val="16"/>
                <w:lang w:val="en-US"/>
              </w:rPr>
              <w:t>ESA</w:t>
            </w:r>
            <w:r w:rsidRPr="00F4321F">
              <w:rPr>
                <w:rFonts w:ascii="Arial Narrow" w:hAnsi="Arial Narrow"/>
                <w:b/>
                <w:bCs/>
                <w:sz w:val="16"/>
                <w:szCs w:val="16"/>
              </w:rPr>
              <w:t xml:space="preserve"> </w:t>
            </w:r>
            <w:r w:rsidRPr="007E66A1">
              <w:rPr>
                <w:rFonts w:ascii="Arial Narrow" w:hAnsi="Arial Narrow"/>
                <w:b/>
                <w:bCs/>
                <w:sz w:val="16"/>
                <w:szCs w:val="16"/>
              </w:rPr>
              <w:t>(2+3+4)</w:t>
            </w:r>
          </w:p>
        </w:tc>
        <w:tc>
          <w:tcPr>
            <w:tcW w:w="992" w:type="dxa"/>
            <w:shd w:val="clear" w:color="auto" w:fill="BFBFBF" w:themeFill="background1" w:themeFillShade="BF"/>
            <w:vAlign w:val="center"/>
            <w:hideMark/>
          </w:tcPr>
          <w:p w:rsidR="0012187A" w:rsidRDefault="0012187A" w:rsidP="0012187A">
            <w:pPr>
              <w:ind w:right="170"/>
              <w:jc w:val="right"/>
              <w:rPr>
                <w:rFonts w:ascii="Arial Narrow" w:hAnsi="Arial Narrow"/>
                <w:b/>
                <w:bCs/>
                <w:sz w:val="16"/>
                <w:szCs w:val="16"/>
              </w:rPr>
            </w:pPr>
            <w:r>
              <w:rPr>
                <w:rFonts w:ascii="Arial Narrow" w:hAnsi="Arial Narrow"/>
                <w:b/>
                <w:bCs/>
                <w:sz w:val="16"/>
                <w:szCs w:val="16"/>
              </w:rPr>
              <w:t>2.797</w:t>
            </w:r>
          </w:p>
        </w:tc>
        <w:tc>
          <w:tcPr>
            <w:tcW w:w="1068" w:type="dxa"/>
            <w:shd w:val="clear" w:color="auto" w:fill="BFBFBF" w:themeFill="background1" w:themeFillShade="BF"/>
            <w:vAlign w:val="center"/>
            <w:hideMark/>
          </w:tcPr>
          <w:p w:rsidR="0012187A" w:rsidRDefault="0012187A" w:rsidP="0012187A">
            <w:pPr>
              <w:ind w:right="170"/>
              <w:jc w:val="right"/>
              <w:rPr>
                <w:rFonts w:ascii="Arial Narrow" w:hAnsi="Arial Narrow"/>
                <w:b/>
                <w:bCs/>
                <w:sz w:val="16"/>
                <w:szCs w:val="16"/>
              </w:rPr>
            </w:pPr>
            <w:r>
              <w:rPr>
                <w:rFonts w:ascii="Arial Narrow" w:hAnsi="Arial Narrow"/>
                <w:b/>
                <w:bCs/>
                <w:sz w:val="16"/>
                <w:szCs w:val="16"/>
              </w:rPr>
              <w:t>-16.111</w:t>
            </w:r>
          </w:p>
        </w:tc>
        <w:tc>
          <w:tcPr>
            <w:tcW w:w="916" w:type="dxa"/>
            <w:shd w:val="clear" w:color="auto" w:fill="BFBFBF" w:themeFill="background1" w:themeFillShade="BF"/>
            <w:vAlign w:val="center"/>
            <w:hideMark/>
          </w:tcPr>
          <w:p w:rsidR="0012187A" w:rsidRDefault="0012187A" w:rsidP="0012187A">
            <w:pPr>
              <w:ind w:right="170"/>
              <w:jc w:val="right"/>
              <w:rPr>
                <w:rFonts w:ascii="Arial Narrow" w:hAnsi="Arial Narrow"/>
                <w:b/>
                <w:bCs/>
                <w:sz w:val="16"/>
                <w:szCs w:val="16"/>
              </w:rPr>
            </w:pPr>
            <w:r>
              <w:rPr>
                <w:rFonts w:ascii="Arial Narrow" w:hAnsi="Arial Narrow"/>
                <w:b/>
                <w:bCs/>
                <w:sz w:val="16"/>
                <w:szCs w:val="16"/>
              </w:rPr>
              <w:t>-11.516</w:t>
            </w:r>
          </w:p>
        </w:tc>
      </w:tr>
      <w:tr w:rsidR="0012187A" w:rsidRPr="007E66A1" w:rsidTr="0012187A">
        <w:trPr>
          <w:trHeight w:val="283"/>
        </w:trPr>
        <w:tc>
          <w:tcPr>
            <w:tcW w:w="280" w:type="dxa"/>
            <w:shd w:val="clear" w:color="auto" w:fill="auto"/>
            <w:vAlign w:val="center"/>
            <w:hideMark/>
          </w:tcPr>
          <w:p w:rsidR="0012187A" w:rsidRPr="007E66A1" w:rsidRDefault="0012187A" w:rsidP="00A90E34">
            <w:pPr>
              <w:jc w:val="right"/>
              <w:rPr>
                <w:rFonts w:ascii="Arial Narrow" w:hAnsi="Arial Narrow"/>
                <w:b/>
                <w:bCs/>
                <w:sz w:val="16"/>
                <w:szCs w:val="16"/>
              </w:rPr>
            </w:pPr>
          </w:p>
        </w:tc>
        <w:tc>
          <w:tcPr>
            <w:tcW w:w="5746" w:type="dxa"/>
            <w:shd w:val="clear" w:color="auto" w:fill="auto"/>
            <w:vAlign w:val="center"/>
            <w:hideMark/>
          </w:tcPr>
          <w:p w:rsidR="0012187A" w:rsidRPr="007E66A1" w:rsidRDefault="0012187A" w:rsidP="00A90E34">
            <w:pPr>
              <w:rPr>
                <w:rFonts w:ascii="Arial Narrow" w:hAnsi="Arial Narrow"/>
                <w:i/>
                <w:iCs/>
                <w:sz w:val="16"/>
                <w:szCs w:val="16"/>
              </w:rPr>
            </w:pPr>
            <w:r w:rsidRPr="007E66A1">
              <w:rPr>
                <w:rFonts w:ascii="Arial Narrow" w:hAnsi="Arial Narrow"/>
                <w:i/>
                <w:iCs/>
                <w:sz w:val="16"/>
                <w:szCs w:val="16"/>
              </w:rPr>
              <w:t>% του ΑΕΠ</w:t>
            </w:r>
          </w:p>
        </w:tc>
        <w:tc>
          <w:tcPr>
            <w:tcW w:w="992" w:type="dxa"/>
            <w:shd w:val="clear" w:color="auto" w:fill="auto"/>
            <w:vAlign w:val="center"/>
            <w:hideMark/>
          </w:tcPr>
          <w:p w:rsidR="0012187A" w:rsidRDefault="0012187A" w:rsidP="0012187A">
            <w:pPr>
              <w:ind w:right="170"/>
              <w:jc w:val="right"/>
              <w:rPr>
                <w:rFonts w:ascii="Arial Narrow" w:hAnsi="Arial Narrow"/>
                <w:i/>
                <w:iCs/>
                <w:sz w:val="16"/>
                <w:szCs w:val="16"/>
              </w:rPr>
            </w:pPr>
            <w:r>
              <w:rPr>
                <w:rFonts w:ascii="Arial Narrow" w:hAnsi="Arial Narrow"/>
                <w:i/>
                <w:iCs/>
                <w:sz w:val="16"/>
                <w:szCs w:val="16"/>
              </w:rPr>
              <w:t>1,5%</w:t>
            </w:r>
          </w:p>
        </w:tc>
        <w:tc>
          <w:tcPr>
            <w:tcW w:w="1068" w:type="dxa"/>
            <w:shd w:val="clear" w:color="auto" w:fill="auto"/>
            <w:vAlign w:val="center"/>
            <w:hideMark/>
          </w:tcPr>
          <w:p w:rsidR="0012187A" w:rsidRDefault="0012187A" w:rsidP="0012187A">
            <w:pPr>
              <w:ind w:right="170"/>
              <w:jc w:val="right"/>
              <w:rPr>
                <w:rFonts w:ascii="Arial Narrow" w:hAnsi="Arial Narrow"/>
                <w:i/>
                <w:iCs/>
                <w:sz w:val="16"/>
                <w:szCs w:val="16"/>
              </w:rPr>
            </w:pPr>
            <w:r>
              <w:rPr>
                <w:rFonts w:ascii="Arial Narrow" w:hAnsi="Arial Narrow"/>
                <w:i/>
                <w:iCs/>
                <w:sz w:val="16"/>
                <w:szCs w:val="16"/>
              </w:rPr>
              <w:t>-9,9%</w:t>
            </w:r>
          </w:p>
        </w:tc>
        <w:tc>
          <w:tcPr>
            <w:tcW w:w="916" w:type="dxa"/>
            <w:shd w:val="clear" w:color="auto" w:fill="auto"/>
            <w:vAlign w:val="center"/>
            <w:hideMark/>
          </w:tcPr>
          <w:p w:rsidR="0012187A" w:rsidRDefault="0012187A" w:rsidP="0012187A">
            <w:pPr>
              <w:ind w:right="170"/>
              <w:jc w:val="right"/>
              <w:rPr>
                <w:rFonts w:ascii="Arial Narrow" w:hAnsi="Arial Narrow"/>
                <w:i/>
                <w:iCs/>
                <w:sz w:val="16"/>
                <w:szCs w:val="16"/>
              </w:rPr>
            </w:pPr>
            <w:r>
              <w:rPr>
                <w:rFonts w:ascii="Arial Narrow" w:hAnsi="Arial Narrow"/>
                <w:i/>
                <w:iCs/>
                <w:sz w:val="16"/>
                <w:szCs w:val="16"/>
              </w:rPr>
              <w:t>-6,7%</w:t>
            </w:r>
          </w:p>
        </w:tc>
      </w:tr>
      <w:tr w:rsidR="0012187A" w:rsidRPr="007E66A1" w:rsidTr="0012187A">
        <w:trPr>
          <w:trHeight w:val="283"/>
        </w:trPr>
        <w:tc>
          <w:tcPr>
            <w:tcW w:w="280" w:type="dxa"/>
            <w:shd w:val="clear" w:color="auto" w:fill="auto"/>
            <w:vAlign w:val="center"/>
            <w:hideMark/>
          </w:tcPr>
          <w:p w:rsidR="0012187A" w:rsidRPr="007E66A1" w:rsidRDefault="0012187A" w:rsidP="00A90E34">
            <w:pPr>
              <w:jc w:val="right"/>
              <w:rPr>
                <w:rFonts w:ascii="Arial Narrow" w:hAnsi="Arial Narrow"/>
                <w:b/>
                <w:bCs/>
                <w:sz w:val="16"/>
                <w:szCs w:val="16"/>
              </w:rPr>
            </w:pPr>
            <w:r w:rsidRPr="007E66A1">
              <w:rPr>
                <w:rFonts w:ascii="Arial Narrow" w:hAnsi="Arial Narrow"/>
                <w:b/>
                <w:bCs/>
                <w:sz w:val="16"/>
                <w:szCs w:val="16"/>
              </w:rPr>
              <w:t>6.</w:t>
            </w:r>
          </w:p>
        </w:tc>
        <w:tc>
          <w:tcPr>
            <w:tcW w:w="5746" w:type="dxa"/>
            <w:shd w:val="clear" w:color="auto" w:fill="auto"/>
            <w:vAlign w:val="center"/>
            <w:hideMark/>
          </w:tcPr>
          <w:p w:rsidR="0012187A" w:rsidRPr="007E66A1" w:rsidRDefault="0012187A" w:rsidP="00A90E34">
            <w:pPr>
              <w:rPr>
                <w:rFonts w:ascii="Arial Narrow" w:hAnsi="Arial Narrow"/>
                <w:sz w:val="16"/>
                <w:szCs w:val="16"/>
              </w:rPr>
            </w:pPr>
            <w:r w:rsidRPr="007E66A1">
              <w:rPr>
                <w:rFonts w:ascii="Arial Narrow" w:hAnsi="Arial Narrow"/>
                <w:sz w:val="16"/>
                <w:szCs w:val="16"/>
              </w:rPr>
              <w:t>Ενοποιημένοι τόκοι Γενικής Κυβέρνησης</w:t>
            </w:r>
          </w:p>
        </w:tc>
        <w:tc>
          <w:tcPr>
            <w:tcW w:w="992" w:type="dxa"/>
            <w:shd w:val="clear" w:color="auto" w:fill="auto"/>
            <w:vAlign w:val="center"/>
            <w:hideMark/>
          </w:tcPr>
          <w:p w:rsidR="0012187A" w:rsidRDefault="0012187A" w:rsidP="0012187A">
            <w:pPr>
              <w:ind w:right="170"/>
              <w:jc w:val="right"/>
              <w:rPr>
                <w:rFonts w:ascii="Arial Narrow" w:hAnsi="Arial Narrow"/>
                <w:sz w:val="16"/>
                <w:szCs w:val="16"/>
              </w:rPr>
            </w:pPr>
            <w:r>
              <w:rPr>
                <w:rFonts w:ascii="Arial Narrow" w:hAnsi="Arial Narrow"/>
                <w:sz w:val="16"/>
                <w:szCs w:val="16"/>
              </w:rPr>
              <w:t>5.507</w:t>
            </w:r>
          </w:p>
        </w:tc>
        <w:tc>
          <w:tcPr>
            <w:tcW w:w="1068" w:type="dxa"/>
            <w:shd w:val="clear" w:color="auto" w:fill="auto"/>
            <w:vAlign w:val="center"/>
            <w:hideMark/>
          </w:tcPr>
          <w:p w:rsidR="0012187A" w:rsidRDefault="0012187A" w:rsidP="0012187A">
            <w:pPr>
              <w:ind w:right="170"/>
              <w:jc w:val="right"/>
              <w:rPr>
                <w:rFonts w:ascii="Arial Narrow" w:hAnsi="Arial Narrow"/>
                <w:sz w:val="16"/>
                <w:szCs w:val="16"/>
              </w:rPr>
            </w:pPr>
            <w:r>
              <w:rPr>
                <w:rFonts w:ascii="Arial Narrow" w:hAnsi="Arial Narrow"/>
                <w:sz w:val="16"/>
                <w:szCs w:val="16"/>
              </w:rPr>
              <w:t>4.970</w:t>
            </w:r>
          </w:p>
        </w:tc>
        <w:tc>
          <w:tcPr>
            <w:tcW w:w="916" w:type="dxa"/>
            <w:shd w:val="clear" w:color="auto" w:fill="auto"/>
            <w:vAlign w:val="center"/>
            <w:hideMark/>
          </w:tcPr>
          <w:p w:rsidR="0012187A" w:rsidRDefault="0012187A" w:rsidP="0012187A">
            <w:pPr>
              <w:ind w:right="170"/>
              <w:jc w:val="right"/>
              <w:rPr>
                <w:rFonts w:ascii="Arial Narrow" w:hAnsi="Arial Narrow"/>
                <w:color w:val="000000"/>
                <w:sz w:val="16"/>
                <w:szCs w:val="16"/>
              </w:rPr>
            </w:pPr>
            <w:r>
              <w:rPr>
                <w:rFonts w:ascii="Arial Narrow" w:hAnsi="Arial Narrow"/>
                <w:color w:val="000000"/>
                <w:sz w:val="16"/>
                <w:szCs w:val="16"/>
              </w:rPr>
              <w:t>4.925</w:t>
            </w:r>
          </w:p>
        </w:tc>
      </w:tr>
      <w:tr w:rsidR="0012187A" w:rsidRPr="007E66A1" w:rsidTr="0012187A">
        <w:trPr>
          <w:trHeight w:val="283"/>
        </w:trPr>
        <w:tc>
          <w:tcPr>
            <w:tcW w:w="280" w:type="dxa"/>
            <w:shd w:val="clear" w:color="auto" w:fill="auto"/>
            <w:vAlign w:val="center"/>
            <w:hideMark/>
          </w:tcPr>
          <w:p w:rsidR="0012187A" w:rsidRPr="007E66A1" w:rsidRDefault="0012187A" w:rsidP="00A90E34">
            <w:pPr>
              <w:jc w:val="right"/>
              <w:rPr>
                <w:rFonts w:ascii="Arial Narrow" w:hAnsi="Arial Narrow"/>
                <w:b/>
                <w:bCs/>
                <w:sz w:val="16"/>
                <w:szCs w:val="16"/>
              </w:rPr>
            </w:pPr>
          </w:p>
        </w:tc>
        <w:tc>
          <w:tcPr>
            <w:tcW w:w="5746" w:type="dxa"/>
            <w:shd w:val="clear" w:color="auto" w:fill="auto"/>
            <w:vAlign w:val="center"/>
            <w:hideMark/>
          </w:tcPr>
          <w:p w:rsidR="0012187A" w:rsidRPr="007E66A1" w:rsidRDefault="0012187A" w:rsidP="00A90E34">
            <w:pPr>
              <w:rPr>
                <w:rFonts w:ascii="Arial Narrow" w:hAnsi="Arial Narrow"/>
                <w:i/>
                <w:iCs/>
                <w:sz w:val="16"/>
                <w:szCs w:val="16"/>
              </w:rPr>
            </w:pPr>
            <w:r w:rsidRPr="007E66A1">
              <w:rPr>
                <w:rFonts w:ascii="Arial Narrow" w:hAnsi="Arial Narrow"/>
                <w:i/>
                <w:iCs/>
                <w:sz w:val="16"/>
                <w:szCs w:val="16"/>
              </w:rPr>
              <w:t>% του ΑΕΠ</w:t>
            </w:r>
          </w:p>
        </w:tc>
        <w:tc>
          <w:tcPr>
            <w:tcW w:w="992" w:type="dxa"/>
            <w:shd w:val="clear" w:color="auto" w:fill="auto"/>
            <w:vAlign w:val="center"/>
            <w:hideMark/>
          </w:tcPr>
          <w:p w:rsidR="0012187A" w:rsidRDefault="0012187A" w:rsidP="0012187A">
            <w:pPr>
              <w:ind w:right="170"/>
              <w:jc w:val="right"/>
              <w:rPr>
                <w:rFonts w:ascii="Arial Narrow" w:hAnsi="Arial Narrow"/>
                <w:i/>
                <w:iCs/>
                <w:sz w:val="16"/>
                <w:szCs w:val="16"/>
              </w:rPr>
            </w:pPr>
            <w:r>
              <w:rPr>
                <w:rFonts w:ascii="Arial Narrow" w:hAnsi="Arial Narrow"/>
                <w:i/>
                <w:iCs/>
                <w:sz w:val="16"/>
                <w:szCs w:val="16"/>
              </w:rPr>
              <w:t>3,0%</w:t>
            </w:r>
          </w:p>
        </w:tc>
        <w:tc>
          <w:tcPr>
            <w:tcW w:w="1068" w:type="dxa"/>
            <w:shd w:val="clear" w:color="auto" w:fill="auto"/>
            <w:vAlign w:val="center"/>
            <w:hideMark/>
          </w:tcPr>
          <w:p w:rsidR="0012187A" w:rsidRDefault="0012187A" w:rsidP="0012187A">
            <w:pPr>
              <w:ind w:right="170"/>
              <w:jc w:val="right"/>
              <w:rPr>
                <w:rFonts w:ascii="Arial Narrow" w:hAnsi="Arial Narrow"/>
                <w:i/>
                <w:iCs/>
                <w:sz w:val="16"/>
                <w:szCs w:val="16"/>
              </w:rPr>
            </w:pPr>
            <w:r>
              <w:rPr>
                <w:rFonts w:ascii="Arial Narrow" w:hAnsi="Arial Narrow"/>
                <w:i/>
                <w:iCs/>
                <w:sz w:val="16"/>
                <w:szCs w:val="16"/>
              </w:rPr>
              <w:t>3,1%</w:t>
            </w:r>
          </w:p>
        </w:tc>
        <w:tc>
          <w:tcPr>
            <w:tcW w:w="916" w:type="dxa"/>
            <w:shd w:val="clear" w:color="auto" w:fill="auto"/>
            <w:vAlign w:val="center"/>
            <w:hideMark/>
          </w:tcPr>
          <w:p w:rsidR="0012187A" w:rsidRDefault="0012187A" w:rsidP="0012187A">
            <w:pPr>
              <w:ind w:right="170"/>
              <w:jc w:val="right"/>
              <w:rPr>
                <w:rFonts w:ascii="Arial Narrow" w:hAnsi="Arial Narrow"/>
                <w:i/>
                <w:iCs/>
                <w:sz w:val="16"/>
                <w:szCs w:val="16"/>
              </w:rPr>
            </w:pPr>
            <w:r>
              <w:rPr>
                <w:rFonts w:ascii="Arial Narrow" w:hAnsi="Arial Narrow"/>
                <w:i/>
                <w:iCs/>
                <w:sz w:val="16"/>
                <w:szCs w:val="16"/>
              </w:rPr>
              <w:t>2,9%</w:t>
            </w:r>
          </w:p>
        </w:tc>
      </w:tr>
      <w:tr w:rsidR="0012187A" w:rsidRPr="007E66A1" w:rsidTr="0012187A">
        <w:trPr>
          <w:trHeight w:val="283"/>
        </w:trPr>
        <w:tc>
          <w:tcPr>
            <w:tcW w:w="280" w:type="dxa"/>
            <w:shd w:val="clear" w:color="auto" w:fill="BFBFBF" w:themeFill="background1" w:themeFillShade="BF"/>
            <w:vAlign w:val="center"/>
            <w:hideMark/>
          </w:tcPr>
          <w:p w:rsidR="0012187A" w:rsidRPr="007E66A1" w:rsidRDefault="0012187A" w:rsidP="00A90E34">
            <w:pPr>
              <w:spacing w:before="60" w:after="60"/>
              <w:jc w:val="right"/>
              <w:rPr>
                <w:rFonts w:ascii="Arial Narrow" w:hAnsi="Arial Narrow"/>
                <w:b/>
                <w:bCs/>
                <w:sz w:val="16"/>
                <w:szCs w:val="16"/>
              </w:rPr>
            </w:pPr>
            <w:r w:rsidRPr="007E66A1">
              <w:rPr>
                <w:rFonts w:ascii="Arial Narrow" w:hAnsi="Arial Narrow"/>
                <w:b/>
                <w:bCs/>
                <w:sz w:val="16"/>
                <w:szCs w:val="16"/>
              </w:rPr>
              <w:t>7.</w:t>
            </w:r>
          </w:p>
        </w:tc>
        <w:tc>
          <w:tcPr>
            <w:tcW w:w="5746" w:type="dxa"/>
            <w:shd w:val="clear" w:color="auto" w:fill="BFBFBF" w:themeFill="background1" w:themeFillShade="BF"/>
            <w:vAlign w:val="center"/>
            <w:hideMark/>
          </w:tcPr>
          <w:p w:rsidR="0012187A" w:rsidRPr="007E66A1" w:rsidRDefault="0012187A" w:rsidP="00A90E34">
            <w:pPr>
              <w:spacing w:before="60" w:after="60"/>
              <w:rPr>
                <w:rFonts w:ascii="Arial Narrow" w:hAnsi="Arial Narrow"/>
                <w:b/>
                <w:bCs/>
                <w:sz w:val="16"/>
                <w:szCs w:val="16"/>
              </w:rPr>
            </w:pPr>
            <w:r w:rsidRPr="007E66A1">
              <w:rPr>
                <w:rFonts w:ascii="Arial Narrow" w:hAnsi="Arial Narrow"/>
                <w:b/>
                <w:bCs/>
                <w:sz w:val="16"/>
                <w:szCs w:val="16"/>
              </w:rPr>
              <w:t xml:space="preserve">Πρωτογενές αποτέλεσμα Γενικής Κυβέρνησης σύμφωνα με τη μεθοδολογία </w:t>
            </w:r>
            <w:r w:rsidRPr="007E66A1">
              <w:rPr>
                <w:rFonts w:ascii="Arial Narrow" w:hAnsi="Arial Narrow"/>
                <w:b/>
                <w:bCs/>
                <w:sz w:val="16"/>
                <w:szCs w:val="16"/>
                <w:lang w:val="en-US"/>
              </w:rPr>
              <w:t>ESA</w:t>
            </w:r>
            <w:r w:rsidRPr="007E66A1">
              <w:rPr>
                <w:rFonts w:ascii="Arial Narrow" w:hAnsi="Arial Narrow"/>
                <w:b/>
                <w:bCs/>
                <w:sz w:val="16"/>
                <w:szCs w:val="16"/>
              </w:rPr>
              <w:t xml:space="preserve"> (5+6)</w:t>
            </w:r>
          </w:p>
        </w:tc>
        <w:tc>
          <w:tcPr>
            <w:tcW w:w="992" w:type="dxa"/>
            <w:shd w:val="clear" w:color="auto" w:fill="BFBFBF" w:themeFill="background1" w:themeFillShade="BF"/>
            <w:vAlign w:val="center"/>
            <w:hideMark/>
          </w:tcPr>
          <w:p w:rsidR="0012187A" w:rsidRDefault="0012187A" w:rsidP="0012187A">
            <w:pPr>
              <w:ind w:right="170"/>
              <w:jc w:val="right"/>
              <w:rPr>
                <w:rFonts w:ascii="Arial Narrow" w:hAnsi="Arial Narrow"/>
                <w:b/>
                <w:bCs/>
                <w:sz w:val="16"/>
                <w:szCs w:val="16"/>
              </w:rPr>
            </w:pPr>
            <w:r>
              <w:rPr>
                <w:rFonts w:ascii="Arial Narrow" w:hAnsi="Arial Narrow"/>
                <w:b/>
                <w:bCs/>
                <w:sz w:val="16"/>
                <w:szCs w:val="16"/>
              </w:rPr>
              <w:t>8.304</w:t>
            </w:r>
          </w:p>
        </w:tc>
        <w:tc>
          <w:tcPr>
            <w:tcW w:w="1068" w:type="dxa"/>
            <w:shd w:val="clear" w:color="auto" w:fill="BFBFBF" w:themeFill="background1" w:themeFillShade="BF"/>
            <w:vAlign w:val="center"/>
            <w:hideMark/>
          </w:tcPr>
          <w:p w:rsidR="0012187A" w:rsidRDefault="0012187A" w:rsidP="0012187A">
            <w:pPr>
              <w:ind w:right="170"/>
              <w:jc w:val="right"/>
              <w:rPr>
                <w:rFonts w:ascii="Arial Narrow" w:hAnsi="Arial Narrow"/>
                <w:b/>
                <w:bCs/>
                <w:sz w:val="16"/>
                <w:szCs w:val="16"/>
              </w:rPr>
            </w:pPr>
            <w:r>
              <w:rPr>
                <w:rFonts w:ascii="Arial Narrow" w:hAnsi="Arial Narrow"/>
                <w:b/>
                <w:bCs/>
                <w:sz w:val="16"/>
                <w:szCs w:val="16"/>
              </w:rPr>
              <w:t>-11.141</w:t>
            </w:r>
          </w:p>
        </w:tc>
        <w:tc>
          <w:tcPr>
            <w:tcW w:w="916" w:type="dxa"/>
            <w:shd w:val="clear" w:color="auto" w:fill="BFBFBF" w:themeFill="background1" w:themeFillShade="BF"/>
            <w:vAlign w:val="center"/>
            <w:hideMark/>
          </w:tcPr>
          <w:p w:rsidR="0012187A" w:rsidRDefault="0012187A" w:rsidP="0012187A">
            <w:pPr>
              <w:ind w:right="170"/>
              <w:jc w:val="right"/>
              <w:rPr>
                <w:rFonts w:ascii="Arial Narrow" w:hAnsi="Arial Narrow"/>
                <w:b/>
                <w:bCs/>
                <w:sz w:val="16"/>
                <w:szCs w:val="16"/>
              </w:rPr>
            </w:pPr>
            <w:r>
              <w:rPr>
                <w:rFonts w:ascii="Arial Narrow" w:hAnsi="Arial Narrow"/>
                <w:b/>
                <w:bCs/>
                <w:sz w:val="16"/>
                <w:szCs w:val="16"/>
              </w:rPr>
              <w:t>-6.591</w:t>
            </w:r>
          </w:p>
        </w:tc>
      </w:tr>
      <w:tr w:rsidR="0012187A" w:rsidRPr="007E66A1" w:rsidTr="0012187A">
        <w:trPr>
          <w:trHeight w:val="283"/>
        </w:trPr>
        <w:tc>
          <w:tcPr>
            <w:tcW w:w="280" w:type="dxa"/>
            <w:shd w:val="clear" w:color="auto" w:fill="auto"/>
            <w:hideMark/>
          </w:tcPr>
          <w:p w:rsidR="0012187A" w:rsidRPr="007E66A1" w:rsidRDefault="0012187A" w:rsidP="00A90E34">
            <w:pPr>
              <w:jc w:val="right"/>
              <w:rPr>
                <w:rFonts w:ascii="Arial Narrow" w:hAnsi="Arial Narrow"/>
                <w:b/>
                <w:bCs/>
                <w:sz w:val="16"/>
                <w:szCs w:val="16"/>
              </w:rPr>
            </w:pPr>
          </w:p>
        </w:tc>
        <w:tc>
          <w:tcPr>
            <w:tcW w:w="5746" w:type="dxa"/>
            <w:shd w:val="clear" w:color="auto" w:fill="auto"/>
            <w:vAlign w:val="center"/>
            <w:hideMark/>
          </w:tcPr>
          <w:p w:rsidR="0012187A" w:rsidRPr="007E66A1" w:rsidRDefault="0012187A" w:rsidP="00A90E34">
            <w:pPr>
              <w:rPr>
                <w:rFonts w:ascii="Arial Narrow" w:hAnsi="Arial Narrow"/>
                <w:i/>
                <w:iCs/>
                <w:sz w:val="16"/>
                <w:szCs w:val="16"/>
              </w:rPr>
            </w:pPr>
            <w:r w:rsidRPr="007E66A1">
              <w:rPr>
                <w:rFonts w:ascii="Arial Narrow" w:hAnsi="Arial Narrow"/>
                <w:i/>
                <w:iCs/>
                <w:sz w:val="16"/>
                <w:szCs w:val="16"/>
              </w:rPr>
              <w:t>% του ΑΕΠ</w:t>
            </w:r>
          </w:p>
        </w:tc>
        <w:tc>
          <w:tcPr>
            <w:tcW w:w="992" w:type="dxa"/>
            <w:shd w:val="clear" w:color="auto" w:fill="auto"/>
            <w:vAlign w:val="center"/>
            <w:hideMark/>
          </w:tcPr>
          <w:p w:rsidR="0012187A" w:rsidRDefault="0012187A" w:rsidP="0012187A">
            <w:pPr>
              <w:ind w:right="170"/>
              <w:jc w:val="right"/>
              <w:rPr>
                <w:rFonts w:ascii="Arial Narrow" w:hAnsi="Arial Narrow"/>
                <w:i/>
                <w:iCs/>
                <w:sz w:val="16"/>
                <w:szCs w:val="16"/>
              </w:rPr>
            </w:pPr>
            <w:r>
              <w:rPr>
                <w:rFonts w:ascii="Arial Narrow" w:hAnsi="Arial Narrow"/>
                <w:i/>
                <w:iCs/>
                <w:sz w:val="16"/>
                <w:szCs w:val="16"/>
              </w:rPr>
              <w:t>4,5%</w:t>
            </w:r>
          </w:p>
        </w:tc>
        <w:tc>
          <w:tcPr>
            <w:tcW w:w="1068" w:type="dxa"/>
            <w:shd w:val="clear" w:color="auto" w:fill="auto"/>
            <w:vAlign w:val="center"/>
            <w:hideMark/>
          </w:tcPr>
          <w:p w:rsidR="0012187A" w:rsidRDefault="0012187A" w:rsidP="0012187A">
            <w:pPr>
              <w:ind w:right="170"/>
              <w:jc w:val="right"/>
              <w:rPr>
                <w:rFonts w:ascii="Arial Narrow" w:hAnsi="Arial Narrow"/>
                <w:i/>
                <w:iCs/>
                <w:sz w:val="16"/>
                <w:szCs w:val="16"/>
              </w:rPr>
            </w:pPr>
            <w:r>
              <w:rPr>
                <w:rFonts w:ascii="Arial Narrow" w:hAnsi="Arial Narrow"/>
                <w:i/>
                <w:iCs/>
                <w:sz w:val="16"/>
                <w:szCs w:val="16"/>
              </w:rPr>
              <w:t>-6,8%</w:t>
            </w:r>
          </w:p>
        </w:tc>
        <w:tc>
          <w:tcPr>
            <w:tcW w:w="916" w:type="dxa"/>
            <w:shd w:val="clear" w:color="auto" w:fill="auto"/>
            <w:vAlign w:val="center"/>
            <w:hideMark/>
          </w:tcPr>
          <w:p w:rsidR="0012187A" w:rsidRDefault="0012187A" w:rsidP="0012187A">
            <w:pPr>
              <w:ind w:right="170"/>
              <w:jc w:val="right"/>
              <w:rPr>
                <w:rFonts w:ascii="Arial Narrow" w:hAnsi="Arial Narrow"/>
                <w:i/>
                <w:iCs/>
                <w:sz w:val="16"/>
                <w:szCs w:val="16"/>
              </w:rPr>
            </w:pPr>
            <w:r>
              <w:rPr>
                <w:rFonts w:ascii="Arial Narrow" w:hAnsi="Arial Narrow"/>
                <w:i/>
                <w:iCs/>
                <w:sz w:val="16"/>
                <w:szCs w:val="16"/>
              </w:rPr>
              <w:t>-3,8%</w:t>
            </w:r>
          </w:p>
        </w:tc>
      </w:tr>
      <w:tr w:rsidR="0012187A" w:rsidRPr="007E66A1" w:rsidTr="0012187A">
        <w:trPr>
          <w:trHeight w:val="283"/>
        </w:trPr>
        <w:tc>
          <w:tcPr>
            <w:tcW w:w="280" w:type="dxa"/>
            <w:shd w:val="clear" w:color="auto" w:fill="BFBFBF" w:themeFill="background1" w:themeFillShade="BF"/>
            <w:hideMark/>
          </w:tcPr>
          <w:p w:rsidR="0012187A" w:rsidRPr="007E66A1" w:rsidRDefault="0012187A" w:rsidP="00A90E34">
            <w:pPr>
              <w:jc w:val="right"/>
              <w:rPr>
                <w:rFonts w:ascii="Arial Narrow" w:hAnsi="Arial Narrow"/>
                <w:b/>
                <w:bCs/>
                <w:sz w:val="16"/>
                <w:szCs w:val="16"/>
              </w:rPr>
            </w:pPr>
            <w:r w:rsidRPr="007E66A1">
              <w:rPr>
                <w:rFonts w:ascii="Arial Narrow" w:hAnsi="Arial Narrow"/>
                <w:b/>
                <w:bCs/>
                <w:sz w:val="16"/>
                <w:szCs w:val="16"/>
              </w:rPr>
              <w:t>8.</w:t>
            </w:r>
          </w:p>
        </w:tc>
        <w:tc>
          <w:tcPr>
            <w:tcW w:w="5746" w:type="dxa"/>
            <w:shd w:val="clear" w:color="auto" w:fill="BFBFBF" w:themeFill="background1" w:themeFillShade="BF"/>
            <w:vAlign w:val="center"/>
            <w:hideMark/>
          </w:tcPr>
          <w:p w:rsidR="0012187A" w:rsidRPr="00FD2A8D" w:rsidRDefault="0012187A" w:rsidP="00A90E34">
            <w:pPr>
              <w:rPr>
                <w:rFonts w:ascii="Arial Narrow" w:hAnsi="Arial Narrow"/>
                <w:b/>
                <w:bCs/>
                <w:sz w:val="16"/>
                <w:szCs w:val="16"/>
              </w:rPr>
            </w:pPr>
            <w:r w:rsidRPr="007E66A1">
              <w:rPr>
                <w:rFonts w:ascii="Arial Narrow" w:hAnsi="Arial Narrow"/>
                <w:b/>
                <w:bCs/>
                <w:sz w:val="16"/>
                <w:szCs w:val="16"/>
              </w:rPr>
              <w:t xml:space="preserve">Πρωτογενές αποτέλεσμα Γενικής Κυβέρνησης σύμφωνα με τη μεθοδολογία </w:t>
            </w:r>
            <w:r>
              <w:rPr>
                <w:rFonts w:ascii="Arial Narrow" w:hAnsi="Arial Narrow"/>
                <w:b/>
                <w:bCs/>
                <w:sz w:val="16"/>
                <w:szCs w:val="16"/>
              </w:rPr>
              <w:t>της ενισχυμ</w:t>
            </w:r>
            <w:r>
              <w:rPr>
                <w:rFonts w:ascii="Arial Narrow" w:hAnsi="Arial Narrow"/>
                <w:b/>
                <w:bCs/>
                <w:sz w:val="16"/>
                <w:szCs w:val="16"/>
              </w:rPr>
              <w:t>έ</w:t>
            </w:r>
            <w:r>
              <w:rPr>
                <w:rFonts w:ascii="Arial Narrow" w:hAnsi="Arial Narrow"/>
                <w:b/>
                <w:bCs/>
                <w:sz w:val="16"/>
                <w:szCs w:val="16"/>
              </w:rPr>
              <w:t>νης εποπτείας</w:t>
            </w:r>
          </w:p>
        </w:tc>
        <w:tc>
          <w:tcPr>
            <w:tcW w:w="992" w:type="dxa"/>
            <w:shd w:val="clear" w:color="auto" w:fill="BFBFBF" w:themeFill="background1" w:themeFillShade="BF"/>
            <w:vAlign w:val="center"/>
            <w:hideMark/>
          </w:tcPr>
          <w:p w:rsidR="0012187A" w:rsidRDefault="0012187A" w:rsidP="0012187A">
            <w:pPr>
              <w:ind w:right="170"/>
              <w:jc w:val="right"/>
              <w:rPr>
                <w:rFonts w:ascii="Arial Narrow" w:hAnsi="Arial Narrow"/>
                <w:b/>
                <w:bCs/>
                <w:sz w:val="16"/>
                <w:szCs w:val="16"/>
              </w:rPr>
            </w:pPr>
            <w:r>
              <w:rPr>
                <w:rFonts w:ascii="Arial Narrow" w:hAnsi="Arial Narrow"/>
                <w:b/>
                <w:bCs/>
                <w:sz w:val="16"/>
                <w:szCs w:val="16"/>
              </w:rPr>
              <w:t>6.613</w:t>
            </w:r>
          </w:p>
        </w:tc>
        <w:tc>
          <w:tcPr>
            <w:tcW w:w="1068" w:type="dxa"/>
            <w:shd w:val="clear" w:color="auto" w:fill="BFBFBF" w:themeFill="background1" w:themeFillShade="BF"/>
            <w:vAlign w:val="center"/>
            <w:hideMark/>
          </w:tcPr>
          <w:p w:rsidR="0012187A" w:rsidRDefault="0012187A" w:rsidP="0012187A">
            <w:pPr>
              <w:ind w:right="170"/>
              <w:jc w:val="right"/>
              <w:rPr>
                <w:rFonts w:ascii="Arial Narrow" w:hAnsi="Arial Narrow"/>
                <w:b/>
                <w:bCs/>
                <w:sz w:val="16"/>
                <w:szCs w:val="16"/>
              </w:rPr>
            </w:pPr>
            <w:r>
              <w:rPr>
                <w:rFonts w:ascii="Arial Narrow" w:hAnsi="Arial Narrow"/>
                <w:b/>
                <w:bCs/>
                <w:sz w:val="16"/>
                <w:szCs w:val="16"/>
              </w:rPr>
              <w:t>-11.760</w:t>
            </w:r>
          </w:p>
        </w:tc>
        <w:tc>
          <w:tcPr>
            <w:tcW w:w="916" w:type="dxa"/>
            <w:shd w:val="clear" w:color="auto" w:fill="BFBFBF" w:themeFill="background1" w:themeFillShade="BF"/>
            <w:vAlign w:val="center"/>
            <w:hideMark/>
          </w:tcPr>
          <w:p w:rsidR="0012187A" w:rsidRDefault="0012187A" w:rsidP="0012187A">
            <w:pPr>
              <w:ind w:right="170"/>
              <w:jc w:val="right"/>
              <w:rPr>
                <w:rFonts w:ascii="Arial Narrow" w:hAnsi="Arial Narrow"/>
                <w:b/>
                <w:bCs/>
                <w:sz w:val="16"/>
                <w:szCs w:val="16"/>
              </w:rPr>
            </w:pPr>
            <w:r>
              <w:rPr>
                <w:rFonts w:ascii="Arial Narrow" w:hAnsi="Arial Narrow"/>
                <w:b/>
                <w:bCs/>
                <w:sz w:val="16"/>
                <w:szCs w:val="16"/>
              </w:rPr>
              <w:t>-6.670</w:t>
            </w:r>
          </w:p>
        </w:tc>
      </w:tr>
      <w:tr w:rsidR="0012187A" w:rsidRPr="007E66A1" w:rsidTr="0012187A">
        <w:trPr>
          <w:trHeight w:val="283"/>
        </w:trPr>
        <w:tc>
          <w:tcPr>
            <w:tcW w:w="280" w:type="dxa"/>
            <w:shd w:val="clear" w:color="auto" w:fill="auto"/>
            <w:hideMark/>
          </w:tcPr>
          <w:p w:rsidR="0012187A" w:rsidRPr="007E66A1" w:rsidRDefault="0012187A" w:rsidP="00A90E34">
            <w:pPr>
              <w:jc w:val="right"/>
              <w:rPr>
                <w:rFonts w:ascii="Arial Narrow" w:hAnsi="Arial Narrow"/>
                <w:b/>
                <w:bCs/>
                <w:sz w:val="16"/>
                <w:szCs w:val="16"/>
              </w:rPr>
            </w:pPr>
          </w:p>
        </w:tc>
        <w:tc>
          <w:tcPr>
            <w:tcW w:w="5746" w:type="dxa"/>
            <w:shd w:val="clear" w:color="auto" w:fill="auto"/>
            <w:vAlign w:val="center"/>
            <w:hideMark/>
          </w:tcPr>
          <w:p w:rsidR="0012187A" w:rsidRPr="007E66A1" w:rsidRDefault="0012187A" w:rsidP="00A90E34">
            <w:pPr>
              <w:rPr>
                <w:rFonts w:ascii="Arial Narrow" w:hAnsi="Arial Narrow"/>
                <w:i/>
                <w:iCs/>
                <w:sz w:val="16"/>
                <w:szCs w:val="16"/>
              </w:rPr>
            </w:pPr>
            <w:r w:rsidRPr="007E66A1">
              <w:rPr>
                <w:rFonts w:ascii="Arial Narrow" w:hAnsi="Arial Narrow"/>
                <w:i/>
                <w:iCs/>
                <w:sz w:val="16"/>
                <w:szCs w:val="16"/>
              </w:rPr>
              <w:t>% του ΑΕΠ</w:t>
            </w:r>
          </w:p>
        </w:tc>
        <w:tc>
          <w:tcPr>
            <w:tcW w:w="992" w:type="dxa"/>
            <w:shd w:val="clear" w:color="auto" w:fill="auto"/>
            <w:vAlign w:val="center"/>
            <w:hideMark/>
          </w:tcPr>
          <w:p w:rsidR="0012187A" w:rsidRDefault="0012187A" w:rsidP="0012187A">
            <w:pPr>
              <w:ind w:right="170"/>
              <w:jc w:val="right"/>
              <w:rPr>
                <w:rFonts w:ascii="Arial Narrow" w:hAnsi="Arial Narrow"/>
                <w:i/>
                <w:iCs/>
                <w:sz w:val="16"/>
                <w:szCs w:val="16"/>
              </w:rPr>
            </w:pPr>
            <w:r>
              <w:rPr>
                <w:rFonts w:ascii="Arial Narrow" w:hAnsi="Arial Narrow"/>
                <w:i/>
                <w:iCs/>
                <w:sz w:val="16"/>
                <w:szCs w:val="16"/>
              </w:rPr>
              <w:t>3,6%</w:t>
            </w:r>
          </w:p>
        </w:tc>
        <w:tc>
          <w:tcPr>
            <w:tcW w:w="1068" w:type="dxa"/>
            <w:shd w:val="clear" w:color="auto" w:fill="auto"/>
            <w:vAlign w:val="center"/>
            <w:hideMark/>
          </w:tcPr>
          <w:p w:rsidR="0012187A" w:rsidRDefault="0012187A" w:rsidP="0012187A">
            <w:pPr>
              <w:ind w:right="170"/>
              <w:jc w:val="right"/>
              <w:rPr>
                <w:rFonts w:ascii="Arial Narrow" w:hAnsi="Arial Narrow"/>
                <w:i/>
                <w:iCs/>
                <w:sz w:val="16"/>
                <w:szCs w:val="16"/>
              </w:rPr>
            </w:pPr>
            <w:r>
              <w:rPr>
                <w:rFonts w:ascii="Arial Narrow" w:hAnsi="Arial Narrow"/>
                <w:i/>
                <w:iCs/>
                <w:sz w:val="16"/>
                <w:szCs w:val="16"/>
              </w:rPr>
              <w:t>-7,2%</w:t>
            </w:r>
          </w:p>
        </w:tc>
        <w:tc>
          <w:tcPr>
            <w:tcW w:w="916" w:type="dxa"/>
            <w:shd w:val="clear" w:color="auto" w:fill="auto"/>
            <w:vAlign w:val="center"/>
            <w:hideMark/>
          </w:tcPr>
          <w:p w:rsidR="0012187A" w:rsidRDefault="0012187A" w:rsidP="0012187A">
            <w:pPr>
              <w:ind w:right="170"/>
              <w:jc w:val="right"/>
              <w:rPr>
                <w:rFonts w:ascii="Arial Narrow" w:hAnsi="Arial Narrow"/>
                <w:i/>
                <w:iCs/>
                <w:sz w:val="16"/>
                <w:szCs w:val="16"/>
              </w:rPr>
            </w:pPr>
            <w:r>
              <w:rPr>
                <w:rFonts w:ascii="Arial Narrow" w:hAnsi="Arial Narrow"/>
                <w:i/>
                <w:iCs/>
                <w:sz w:val="16"/>
                <w:szCs w:val="16"/>
              </w:rPr>
              <w:t>-3,9%</w:t>
            </w:r>
          </w:p>
        </w:tc>
      </w:tr>
      <w:tr w:rsidR="0012187A" w:rsidRPr="007E66A1" w:rsidTr="0012187A">
        <w:trPr>
          <w:trHeight w:val="283"/>
        </w:trPr>
        <w:tc>
          <w:tcPr>
            <w:tcW w:w="280" w:type="dxa"/>
            <w:shd w:val="clear" w:color="auto" w:fill="BFBFBF" w:themeFill="background1" w:themeFillShade="BF"/>
            <w:hideMark/>
          </w:tcPr>
          <w:p w:rsidR="0012187A" w:rsidRPr="007E66A1" w:rsidRDefault="0012187A" w:rsidP="00A90E34">
            <w:pPr>
              <w:spacing w:before="60" w:after="60"/>
              <w:jc w:val="right"/>
              <w:rPr>
                <w:rFonts w:ascii="Arial Narrow" w:hAnsi="Arial Narrow"/>
                <w:b/>
                <w:bCs/>
                <w:sz w:val="16"/>
                <w:szCs w:val="16"/>
              </w:rPr>
            </w:pPr>
            <w:r w:rsidRPr="007E66A1">
              <w:rPr>
                <w:rFonts w:ascii="Arial Narrow" w:hAnsi="Arial Narrow"/>
                <w:b/>
                <w:bCs/>
                <w:sz w:val="16"/>
                <w:szCs w:val="16"/>
              </w:rPr>
              <w:t>9.</w:t>
            </w:r>
          </w:p>
        </w:tc>
        <w:tc>
          <w:tcPr>
            <w:tcW w:w="5746" w:type="dxa"/>
            <w:shd w:val="clear" w:color="auto" w:fill="BFBFBF" w:themeFill="background1" w:themeFillShade="BF"/>
            <w:vAlign w:val="center"/>
            <w:hideMark/>
          </w:tcPr>
          <w:p w:rsidR="0012187A" w:rsidRPr="007E66A1" w:rsidRDefault="0012187A" w:rsidP="00A90E34">
            <w:pPr>
              <w:spacing w:before="60" w:after="60"/>
              <w:rPr>
                <w:rFonts w:ascii="Arial Narrow" w:hAnsi="Arial Narrow"/>
                <w:b/>
                <w:bCs/>
                <w:sz w:val="16"/>
                <w:szCs w:val="16"/>
              </w:rPr>
            </w:pPr>
            <w:r w:rsidRPr="007E66A1">
              <w:rPr>
                <w:rFonts w:ascii="Arial Narrow" w:hAnsi="Arial Narrow"/>
                <w:b/>
                <w:bCs/>
                <w:sz w:val="16"/>
                <w:szCs w:val="16"/>
              </w:rPr>
              <w:t xml:space="preserve">Ενοποιημένο Χρέος Γενικής Κυβέρνησης </w:t>
            </w:r>
          </w:p>
        </w:tc>
        <w:tc>
          <w:tcPr>
            <w:tcW w:w="992" w:type="dxa"/>
            <w:shd w:val="clear" w:color="auto" w:fill="BFBFBF" w:themeFill="background1" w:themeFillShade="BF"/>
            <w:vAlign w:val="center"/>
            <w:hideMark/>
          </w:tcPr>
          <w:p w:rsidR="0012187A" w:rsidRDefault="0012187A" w:rsidP="0012187A">
            <w:pPr>
              <w:ind w:right="170"/>
              <w:jc w:val="right"/>
              <w:rPr>
                <w:rFonts w:ascii="Arial Narrow" w:hAnsi="Arial Narrow"/>
                <w:b/>
                <w:bCs/>
                <w:sz w:val="16"/>
                <w:szCs w:val="16"/>
              </w:rPr>
            </w:pPr>
            <w:r>
              <w:rPr>
                <w:rFonts w:ascii="Arial Narrow" w:hAnsi="Arial Narrow"/>
                <w:b/>
                <w:bCs/>
                <w:sz w:val="16"/>
                <w:szCs w:val="16"/>
              </w:rPr>
              <w:t>331.072</w:t>
            </w:r>
          </w:p>
        </w:tc>
        <w:tc>
          <w:tcPr>
            <w:tcW w:w="1068" w:type="dxa"/>
            <w:shd w:val="clear" w:color="auto" w:fill="BFBFBF" w:themeFill="background1" w:themeFillShade="BF"/>
            <w:vAlign w:val="center"/>
            <w:hideMark/>
          </w:tcPr>
          <w:p w:rsidR="0012187A" w:rsidRDefault="0012187A" w:rsidP="0012187A">
            <w:pPr>
              <w:ind w:right="170"/>
              <w:jc w:val="right"/>
              <w:rPr>
                <w:rFonts w:ascii="Arial Narrow" w:hAnsi="Arial Narrow"/>
                <w:b/>
                <w:bCs/>
                <w:sz w:val="16"/>
                <w:szCs w:val="16"/>
              </w:rPr>
            </w:pPr>
            <w:r>
              <w:rPr>
                <w:rFonts w:ascii="Arial Narrow" w:hAnsi="Arial Narrow"/>
                <w:b/>
                <w:bCs/>
                <w:sz w:val="16"/>
                <w:szCs w:val="16"/>
              </w:rPr>
              <w:t>340.000</w:t>
            </w:r>
          </w:p>
        </w:tc>
        <w:tc>
          <w:tcPr>
            <w:tcW w:w="916" w:type="dxa"/>
            <w:shd w:val="clear" w:color="auto" w:fill="BFBFBF" w:themeFill="background1" w:themeFillShade="BF"/>
            <w:vAlign w:val="center"/>
            <w:hideMark/>
          </w:tcPr>
          <w:p w:rsidR="0012187A" w:rsidRDefault="00B73784" w:rsidP="0012187A">
            <w:pPr>
              <w:ind w:right="170"/>
              <w:jc w:val="right"/>
              <w:rPr>
                <w:rFonts w:ascii="Arial Narrow" w:hAnsi="Arial Narrow"/>
                <w:b/>
                <w:bCs/>
                <w:sz w:val="16"/>
                <w:szCs w:val="16"/>
              </w:rPr>
            </w:pPr>
            <w:r w:rsidRPr="00B73784">
              <w:rPr>
                <w:rFonts w:ascii="Arial Narrow" w:hAnsi="Arial Narrow"/>
                <w:b/>
                <w:bCs/>
                <w:sz w:val="16"/>
                <w:szCs w:val="16"/>
              </w:rPr>
              <w:t>343.200</w:t>
            </w:r>
          </w:p>
        </w:tc>
      </w:tr>
      <w:tr w:rsidR="0012187A" w:rsidRPr="007E66A1" w:rsidTr="0012187A">
        <w:trPr>
          <w:trHeight w:val="283"/>
        </w:trPr>
        <w:tc>
          <w:tcPr>
            <w:tcW w:w="280" w:type="dxa"/>
            <w:shd w:val="clear" w:color="auto" w:fill="auto"/>
            <w:vAlign w:val="center"/>
            <w:hideMark/>
          </w:tcPr>
          <w:p w:rsidR="0012187A" w:rsidRPr="007E66A1" w:rsidRDefault="0012187A" w:rsidP="00A90E34">
            <w:pPr>
              <w:jc w:val="right"/>
              <w:rPr>
                <w:rFonts w:ascii="Arial Narrow" w:hAnsi="Arial Narrow"/>
                <w:b/>
                <w:bCs/>
                <w:sz w:val="16"/>
                <w:szCs w:val="16"/>
              </w:rPr>
            </w:pPr>
          </w:p>
        </w:tc>
        <w:tc>
          <w:tcPr>
            <w:tcW w:w="5746" w:type="dxa"/>
            <w:shd w:val="clear" w:color="auto" w:fill="auto"/>
            <w:vAlign w:val="center"/>
            <w:hideMark/>
          </w:tcPr>
          <w:p w:rsidR="0012187A" w:rsidRPr="007E66A1" w:rsidRDefault="0012187A" w:rsidP="00A90E34">
            <w:pPr>
              <w:rPr>
                <w:rFonts w:ascii="Arial Narrow" w:hAnsi="Arial Narrow"/>
                <w:i/>
                <w:iCs/>
                <w:sz w:val="16"/>
                <w:szCs w:val="16"/>
              </w:rPr>
            </w:pPr>
            <w:r w:rsidRPr="007E66A1">
              <w:rPr>
                <w:rFonts w:ascii="Arial Narrow" w:hAnsi="Arial Narrow"/>
                <w:i/>
                <w:iCs/>
                <w:sz w:val="16"/>
                <w:szCs w:val="16"/>
              </w:rPr>
              <w:t>% του ΑΕΠ</w:t>
            </w:r>
          </w:p>
        </w:tc>
        <w:tc>
          <w:tcPr>
            <w:tcW w:w="992" w:type="dxa"/>
            <w:shd w:val="clear" w:color="auto" w:fill="auto"/>
            <w:vAlign w:val="center"/>
            <w:hideMark/>
          </w:tcPr>
          <w:p w:rsidR="0012187A" w:rsidRDefault="0012187A" w:rsidP="0012187A">
            <w:pPr>
              <w:ind w:right="170"/>
              <w:jc w:val="right"/>
              <w:rPr>
                <w:rFonts w:ascii="Arial Narrow" w:hAnsi="Arial Narrow"/>
                <w:i/>
                <w:iCs/>
                <w:sz w:val="16"/>
                <w:szCs w:val="16"/>
              </w:rPr>
            </w:pPr>
            <w:r>
              <w:rPr>
                <w:rFonts w:ascii="Arial Narrow" w:hAnsi="Arial Narrow"/>
                <w:i/>
                <w:iCs/>
                <w:sz w:val="16"/>
                <w:szCs w:val="16"/>
              </w:rPr>
              <w:t>180,5%</w:t>
            </w:r>
          </w:p>
        </w:tc>
        <w:tc>
          <w:tcPr>
            <w:tcW w:w="1068" w:type="dxa"/>
            <w:shd w:val="clear" w:color="auto" w:fill="auto"/>
            <w:vAlign w:val="center"/>
            <w:hideMark/>
          </w:tcPr>
          <w:p w:rsidR="0012187A" w:rsidRDefault="0012187A" w:rsidP="0012187A">
            <w:pPr>
              <w:ind w:right="170"/>
              <w:jc w:val="right"/>
              <w:rPr>
                <w:rFonts w:ascii="Arial Narrow" w:hAnsi="Arial Narrow"/>
                <w:i/>
                <w:iCs/>
                <w:sz w:val="16"/>
                <w:szCs w:val="16"/>
              </w:rPr>
            </w:pPr>
            <w:r>
              <w:rPr>
                <w:rFonts w:ascii="Arial Narrow" w:hAnsi="Arial Narrow"/>
                <w:i/>
                <w:iCs/>
                <w:sz w:val="16"/>
                <w:szCs w:val="16"/>
              </w:rPr>
              <w:t>208,9%</w:t>
            </w:r>
          </w:p>
        </w:tc>
        <w:tc>
          <w:tcPr>
            <w:tcW w:w="916" w:type="dxa"/>
            <w:shd w:val="clear" w:color="auto" w:fill="auto"/>
            <w:vAlign w:val="center"/>
            <w:hideMark/>
          </w:tcPr>
          <w:p w:rsidR="0012187A" w:rsidRDefault="00B73784" w:rsidP="0012187A">
            <w:pPr>
              <w:ind w:right="170"/>
              <w:jc w:val="right"/>
              <w:rPr>
                <w:rFonts w:ascii="Arial Narrow" w:hAnsi="Arial Narrow"/>
                <w:i/>
                <w:iCs/>
                <w:sz w:val="16"/>
                <w:szCs w:val="16"/>
              </w:rPr>
            </w:pPr>
            <w:r>
              <w:rPr>
                <w:rFonts w:ascii="Arial Narrow" w:hAnsi="Arial Narrow"/>
                <w:i/>
                <w:iCs/>
                <w:sz w:val="16"/>
                <w:szCs w:val="16"/>
              </w:rPr>
              <w:t>199,6</w:t>
            </w:r>
            <w:r w:rsidR="0012187A">
              <w:rPr>
                <w:rFonts w:ascii="Arial Narrow" w:hAnsi="Arial Narrow"/>
                <w:i/>
                <w:iCs/>
                <w:sz w:val="16"/>
                <w:szCs w:val="16"/>
              </w:rPr>
              <w:t>%</w:t>
            </w:r>
          </w:p>
        </w:tc>
      </w:tr>
      <w:tr w:rsidR="0012187A" w:rsidRPr="007E66A1" w:rsidTr="0012187A">
        <w:trPr>
          <w:trHeight w:val="283"/>
        </w:trPr>
        <w:tc>
          <w:tcPr>
            <w:tcW w:w="280" w:type="dxa"/>
            <w:shd w:val="clear" w:color="auto" w:fill="BFBFBF" w:themeFill="background1" w:themeFillShade="BF"/>
            <w:vAlign w:val="center"/>
            <w:hideMark/>
          </w:tcPr>
          <w:p w:rsidR="0012187A" w:rsidRPr="007E66A1" w:rsidRDefault="0012187A" w:rsidP="00A90E34">
            <w:pPr>
              <w:spacing w:before="60" w:after="60"/>
              <w:jc w:val="right"/>
              <w:rPr>
                <w:rFonts w:ascii="Arial Narrow" w:hAnsi="Arial Narrow"/>
                <w:b/>
                <w:bCs/>
                <w:sz w:val="16"/>
                <w:szCs w:val="16"/>
              </w:rPr>
            </w:pPr>
          </w:p>
        </w:tc>
        <w:tc>
          <w:tcPr>
            <w:tcW w:w="5746" w:type="dxa"/>
            <w:shd w:val="clear" w:color="auto" w:fill="BFBFBF" w:themeFill="background1" w:themeFillShade="BF"/>
            <w:vAlign w:val="center"/>
            <w:hideMark/>
          </w:tcPr>
          <w:p w:rsidR="0012187A" w:rsidRPr="007E66A1" w:rsidRDefault="0012187A" w:rsidP="00A90E34">
            <w:pPr>
              <w:spacing w:before="60" w:after="60"/>
              <w:rPr>
                <w:rFonts w:ascii="Arial Narrow" w:hAnsi="Arial Narrow"/>
                <w:b/>
                <w:bCs/>
                <w:sz w:val="16"/>
                <w:szCs w:val="16"/>
              </w:rPr>
            </w:pPr>
            <w:r w:rsidRPr="007E66A1">
              <w:rPr>
                <w:rFonts w:ascii="Arial Narrow" w:hAnsi="Arial Narrow"/>
                <w:b/>
                <w:bCs/>
                <w:sz w:val="16"/>
                <w:szCs w:val="16"/>
              </w:rPr>
              <w:t>ΑΕΠ</w:t>
            </w:r>
          </w:p>
        </w:tc>
        <w:tc>
          <w:tcPr>
            <w:tcW w:w="992" w:type="dxa"/>
            <w:shd w:val="clear" w:color="auto" w:fill="BFBFBF" w:themeFill="background1" w:themeFillShade="BF"/>
            <w:vAlign w:val="center"/>
            <w:hideMark/>
          </w:tcPr>
          <w:p w:rsidR="0012187A" w:rsidRDefault="0012187A" w:rsidP="0012187A">
            <w:pPr>
              <w:ind w:right="170"/>
              <w:jc w:val="right"/>
              <w:rPr>
                <w:rFonts w:ascii="Arial Narrow" w:hAnsi="Arial Narrow"/>
                <w:b/>
                <w:bCs/>
                <w:color w:val="000000"/>
                <w:sz w:val="16"/>
                <w:szCs w:val="16"/>
              </w:rPr>
            </w:pPr>
            <w:r>
              <w:rPr>
                <w:rFonts w:ascii="Arial Narrow" w:hAnsi="Arial Narrow"/>
                <w:b/>
                <w:bCs/>
                <w:color w:val="000000"/>
                <w:sz w:val="16"/>
                <w:szCs w:val="16"/>
              </w:rPr>
              <w:t>183.413</w:t>
            </w:r>
          </w:p>
        </w:tc>
        <w:tc>
          <w:tcPr>
            <w:tcW w:w="1068" w:type="dxa"/>
            <w:shd w:val="clear" w:color="auto" w:fill="BFBFBF" w:themeFill="background1" w:themeFillShade="BF"/>
            <w:vAlign w:val="center"/>
            <w:hideMark/>
          </w:tcPr>
          <w:p w:rsidR="0012187A" w:rsidRDefault="0012187A" w:rsidP="0012187A">
            <w:pPr>
              <w:ind w:right="170"/>
              <w:jc w:val="right"/>
              <w:rPr>
                <w:rFonts w:ascii="Arial Narrow" w:hAnsi="Arial Narrow"/>
                <w:b/>
                <w:bCs/>
                <w:color w:val="000000"/>
                <w:sz w:val="16"/>
                <w:szCs w:val="16"/>
              </w:rPr>
            </w:pPr>
            <w:r>
              <w:rPr>
                <w:rFonts w:ascii="Arial Narrow" w:hAnsi="Arial Narrow"/>
                <w:b/>
                <w:bCs/>
                <w:color w:val="000000"/>
                <w:sz w:val="16"/>
                <w:szCs w:val="16"/>
              </w:rPr>
              <w:t>162.776</w:t>
            </w:r>
          </w:p>
        </w:tc>
        <w:tc>
          <w:tcPr>
            <w:tcW w:w="916" w:type="dxa"/>
            <w:shd w:val="clear" w:color="auto" w:fill="BFBFBF" w:themeFill="background1" w:themeFillShade="BF"/>
            <w:vAlign w:val="center"/>
            <w:hideMark/>
          </w:tcPr>
          <w:p w:rsidR="0012187A" w:rsidRDefault="0012187A" w:rsidP="0012187A">
            <w:pPr>
              <w:ind w:right="170"/>
              <w:jc w:val="right"/>
              <w:rPr>
                <w:rFonts w:ascii="Arial Narrow" w:hAnsi="Arial Narrow"/>
                <w:b/>
                <w:bCs/>
                <w:color w:val="000000"/>
                <w:sz w:val="16"/>
                <w:szCs w:val="16"/>
              </w:rPr>
            </w:pPr>
            <w:r>
              <w:rPr>
                <w:rFonts w:ascii="Arial Narrow" w:hAnsi="Arial Narrow"/>
                <w:b/>
                <w:bCs/>
                <w:color w:val="000000"/>
                <w:sz w:val="16"/>
                <w:szCs w:val="16"/>
              </w:rPr>
              <w:t>171.934</w:t>
            </w:r>
          </w:p>
        </w:tc>
      </w:tr>
    </w:tbl>
    <w:p w:rsidR="0012187A" w:rsidRDefault="0012187A" w:rsidP="0012187A">
      <w:pPr>
        <w:tabs>
          <w:tab w:val="left" w:pos="378"/>
          <w:tab w:val="left" w:pos="5678"/>
          <w:tab w:val="left" w:pos="6938"/>
          <w:tab w:val="left" w:pos="8158"/>
        </w:tabs>
        <w:ind w:left="98"/>
        <w:rPr>
          <w:rFonts w:ascii="Arial Narrow" w:hAnsi="Arial Narrow"/>
          <w:b/>
          <w:color w:val="000080"/>
          <w:sz w:val="10"/>
        </w:rPr>
      </w:pPr>
    </w:p>
    <w:p w:rsidR="00D85284" w:rsidRPr="001018C6" w:rsidRDefault="00260281" w:rsidP="0012187A">
      <w:pPr>
        <w:contextualSpacing/>
        <w:jc w:val="both"/>
        <w:rPr>
          <w:sz w:val="22"/>
        </w:rPr>
      </w:pPr>
      <w:r w:rsidRPr="00260281">
        <w:rPr>
          <w:b/>
          <w:noProof/>
          <w:sz w:val="22"/>
          <w:szCs w:val="22"/>
        </w:rPr>
      </w:r>
      <w:r w:rsidRPr="00260281">
        <w:rPr>
          <w:b/>
          <w:noProof/>
          <w:sz w:val="22"/>
          <w:szCs w:val="22"/>
        </w:rPr>
        <w:pict>
          <v:shapetype id="_x0000_t202" coordsize="21600,21600" o:spt="202" path="m,l,21600r21600,l21600,xe">
            <v:stroke joinstyle="miter"/>
            <v:path gradientshapeok="t" o:connecttype="rect"/>
          </v:shapetype>
          <v:shape id="Text Box 2" o:spid="_x0000_s1026" type="#_x0000_t202" style="width:445.25pt;height:13.9pt;visibility:visible;mso-position-horizontal-relative:char;mso-position-vertical-relative:line" strokecolor="navy" strokeweight="1pt">
            <v:textbox inset=",.3mm,,.3mm">
              <w:txbxContent>
                <w:p w:rsidR="006D58F6" w:rsidRPr="008D2CCB" w:rsidRDefault="006D58F6" w:rsidP="0012187A">
                  <w:pPr>
                    <w:autoSpaceDE w:val="0"/>
                    <w:autoSpaceDN w:val="0"/>
                    <w:adjustRightInd w:val="0"/>
                    <w:ind w:left="-11" w:firstLine="142"/>
                    <w:jc w:val="center"/>
                    <w:rPr>
                      <w:rFonts w:ascii="Arial Narrow" w:hAnsi="Arial Narrow"/>
                      <w:b/>
                      <w:color w:val="000080"/>
                      <w:sz w:val="20"/>
                    </w:rPr>
                  </w:pPr>
                  <w:r w:rsidRPr="008D2CCB">
                    <w:rPr>
                      <w:rFonts w:ascii="Arial Narrow" w:hAnsi="Arial Narrow"/>
                      <w:b/>
                      <w:color w:val="000080"/>
                      <w:sz w:val="18"/>
                    </w:rPr>
                    <w:t>Σημείωση:  Τυχόν διαφορές ποσών και ποσοστών στους πίνακες που ακολουθούν οφείλονται σε στρογγυλοποιήσεις</w:t>
                  </w:r>
                  <w:r w:rsidRPr="008D2CCB">
                    <w:rPr>
                      <w:rFonts w:ascii="Arial Narrow" w:hAnsi="Arial Narrow"/>
                      <w:b/>
                      <w:color w:val="000080"/>
                      <w:sz w:val="20"/>
                    </w:rPr>
                    <w:t>.</w:t>
                  </w:r>
                </w:p>
              </w:txbxContent>
            </v:textbox>
            <w10:wrap type="none"/>
            <w10:anchorlock/>
          </v:shape>
        </w:pict>
      </w:r>
    </w:p>
    <w:p w:rsidR="0012187A" w:rsidRDefault="0012187A" w:rsidP="00E71B1B">
      <w:pPr>
        <w:contextualSpacing/>
        <w:jc w:val="both"/>
        <w:rPr>
          <w:sz w:val="22"/>
        </w:rPr>
      </w:pPr>
    </w:p>
    <w:p w:rsidR="00203422" w:rsidRDefault="00203422" w:rsidP="0012187A">
      <w:pPr>
        <w:contextualSpacing/>
        <w:jc w:val="both"/>
        <w:rPr>
          <w:sz w:val="22"/>
        </w:rPr>
      </w:pPr>
    </w:p>
    <w:p w:rsidR="0012187A" w:rsidRPr="001018C6" w:rsidRDefault="0012187A" w:rsidP="0012187A">
      <w:pPr>
        <w:contextualSpacing/>
        <w:jc w:val="both"/>
        <w:rPr>
          <w:sz w:val="22"/>
        </w:rPr>
      </w:pPr>
      <w:r w:rsidRPr="001018C6">
        <w:rPr>
          <w:sz w:val="22"/>
        </w:rPr>
        <w:t>Η δημοσιονομική και οικονομική πολιτική που ασκήθηκε το έτος 2020 επηρεάστηκε καθοριστικά από την εμφάνιση της υγειονομικής κρίσης λόγω του κορωνοϊού, η οποία οδήγησε σε πρωτόγνωρες δι</w:t>
      </w:r>
      <w:r w:rsidRPr="001018C6">
        <w:rPr>
          <w:sz w:val="22"/>
        </w:rPr>
        <w:t>α</w:t>
      </w:r>
      <w:r w:rsidRPr="001018C6">
        <w:rPr>
          <w:sz w:val="22"/>
        </w:rPr>
        <w:t xml:space="preserve">φοροποιήσεις σε σχέση με τους αρχικά τεθέντες στόχους τόσο στα έσοδα όσο και στις δαπάνες της Γενικής Κυβέρνησης. Οι διαφοροποιήσεις αυτές είναι αποτέλεσμα τόσο της μείωσης της οικονομικής δραστηριότητας, όσο και της επίπτωσης από τη λήψη δημοσιονομικών μέτρων και μέτρων ενίσχυσης της ρευστότητας της οικονομίας. Τα μέτρα αυτά, παρουσιάζονται αναλυτικά </w:t>
      </w:r>
      <w:r w:rsidRPr="00203422">
        <w:rPr>
          <w:sz w:val="22"/>
        </w:rPr>
        <w:t xml:space="preserve">στην ενότητα </w:t>
      </w:r>
      <w:r w:rsidR="006F34CE" w:rsidRPr="00203422">
        <w:rPr>
          <w:sz w:val="22"/>
        </w:rPr>
        <w:t>9</w:t>
      </w:r>
      <w:r w:rsidRPr="00203422">
        <w:rPr>
          <w:sz w:val="22"/>
        </w:rPr>
        <w:t xml:space="preserve"> του</w:t>
      </w:r>
      <w:r w:rsidRPr="001018C6">
        <w:rPr>
          <w:sz w:val="22"/>
        </w:rPr>
        <w:t xml:space="preserve"> π</w:t>
      </w:r>
      <w:r w:rsidRPr="001018C6">
        <w:rPr>
          <w:sz w:val="22"/>
        </w:rPr>
        <w:t>α</w:t>
      </w:r>
      <w:r w:rsidRPr="001018C6">
        <w:rPr>
          <w:sz w:val="22"/>
        </w:rPr>
        <w:t xml:space="preserve">ρόντος κεφαλαίου. </w:t>
      </w:r>
    </w:p>
    <w:p w:rsidR="0012187A" w:rsidRPr="001018C6" w:rsidRDefault="0012187A" w:rsidP="0012187A">
      <w:pPr>
        <w:contextualSpacing/>
        <w:jc w:val="both"/>
        <w:rPr>
          <w:sz w:val="22"/>
        </w:rPr>
      </w:pPr>
    </w:p>
    <w:p w:rsidR="0012187A" w:rsidRPr="001018C6" w:rsidRDefault="0012187A" w:rsidP="0012187A">
      <w:pPr>
        <w:contextualSpacing/>
        <w:jc w:val="both"/>
        <w:rPr>
          <w:sz w:val="22"/>
        </w:rPr>
      </w:pPr>
      <w:r w:rsidRPr="001018C6">
        <w:rPr>
          <w:sz w:val="22"/>
        </w:rPr>
        <w:t>Η εμφάνιση αυτής της πρωτοφανούς υγειονομικής κρίσης είχε ως αποτέλεσμα η Ευρωπαϊκή Επιτροπή να προτείνει την ενεργοποίηση της γενικής ρήτρας διαφυγής του Συμφώνου Σταθερότητας και Αν</w:t>
      </w:r>
      <w:r w:rsidRPr="001018C6">
        <w:rPr>
          <w:sz w:val="22"/>
        </w:rPr>
        <w:t>ά</w:t>
      </w:r>
      <w:r w:rsidRPr="001018C6">
        <w:rPr>
          <w:sz w:val="22"/>
        </w:rPr>
        <w:t>πτυξης. Η πρόταση της Ευρωπαϊκής Επιτροπής εγκρίθηκε από το Συμβούλιο της Ευρωπαϊκής Ένωσης και οδήγησε στη χαλάρωση των ευρωπαϊκών δημοσιονομικών κανόνων για τα έτη 2020 και 2021. Σ</w:t>
      </w:r>
      <w:r w:rsidRPr="001018C6">
        <w:rPr>
          <w:sz w:val="22"/>
        </w:rPr>
        <w:t>υ</w:t>
      </w:r>
      <w:r w:rsidRPr="001018C6">
        <w:rPr>
          <w:sz w:val="22"/>
        </w:rPr>
        <w:t>νεπώς, η υποχρέωση για επίτευξη του στόχου για πρωτογενές πλεόνασμα, σύμφωνα με τους όρους της Ενισχυμένης Εποπτείας, ύψους 3,5% του ΑΕΠ, δεν θα ισχύσει για τα έτη 2020 και 2021.</w:t>
      </w:r>
    </w:p>
    <w:p w:rsidR="0012187A" w:rsidRDefault="0012187A" w:rsidP="00E71B1B">
      <w:pPr>
        <w:contextualSpacing/>
        <w:jc w:val="both"/>
        <w:rPr>
          <w:sz w:val="22"/>
        </w:rPr>
      </w:pPr>
    </w:p>
    <w:p w:rsidR="00E71B1B" w:rsidRPr="001018C6" w:rsidRDefault="00E71B1B" w:rsidP="00E71B1B">
      <w:pPr>
        <w:contextualSpacing/>
        <w:jc w:val="both"/>
        <w:rPr>
          <w:sz w:val="22"/>
        </w:rPr>
      </w:pPr>
      <w:r w:rsidRPr="001018C6">
        <w:rPr>
          <w:sz w:val="22"/>
        </w:rPr>
        <w:t>Οι προτεραιότητες του έτους 2020 διαφοροποιήθηκαν σημαντικά, σε σχέση με τις αρχικές επιδιώξεις, λόγω της υγειονομικής κρίσης, η οποία οδήγησε στη λήψη μέτρων με βασικούς άξονες:</w:t>
      </w:r>
    </w:p>
    <w:p w:rsidR="00E71B1B" w:rsidRPr="001018C6" w:rsidRDefault="00E71B1B" w:rsidP="00E71B1B">
      <w:pPr>
        <w:contextualSpacing/>
        <w:jc w:val="both"/>
        <w:rPr>
          <w:sz w:val="22"/>
        </w:rPr>
      </w:pPr>
    </w:p>
    <w:p w:rsidR="00E71B1B" w:rsidRPr="001018C6" w:rsidRDefault="00E71B1B" w:rsidP="00E71B1B">
      <w:pPr>
        <w:pStyle w:val="af2"/>
        <w:numPr>
          <w:ilvl w:val="0"/>
          <w:numId w:val="36"/>
        </w:numPr>
        <w:spacing w:line="240" w:lineRule="auto"/>
        <w:ind w:left="284" w:hanging="284"/>
        <w:jc w:val="both"/>
        <w:rPr>
          <w:rFonts w:ascii="Times New Roman" w:eastAsia="Times New Roman" w:hAnsi="Times New Roman"/>
          <w:szCs w:val="24"/>
          <w:lang w:eastAsia="el-GR"/>
        </w:rPr>
      </w:pPr>
      <w:r w:rsidRPr="001018C6">
        <w:rPr>
          <w:rFonts w:ascii="Times New Roman" w:eastAsia="Times New Roman" w:hAnsi="Times New Roman"/>
          <w:szCs w:val="24"/>
          <w:lang w:eastAsia="el-GR"/>
        </w:rPr>
        <w:t>την ενίσχυση του εθνικού συστήματος υγείας με προσωπικό και εξοπλισμό,</w:t>
      </w:r>
    </w:p>
    <w:p w:rsidR="00E71B1B" w:rsidRPr="001018C6" w:rsidRDefault="00E71B1B" w:rsidP="00E71B1B">
      <w:pPr>
        <w:pStyle w:val="af2"/>
        <w:numPr>
          <w:ilvl w:val="0"/>
          <w:numId w:val="36"/>
        </w:numPr>
        <w:spacing w:line="240" w:lineRule="auto"/>
        <w:ind w:left="284" w:hanging="284"/>
        <w:jc w:val="both"/>
        <w:rPr>
          <w:rFonts w:ascii="Times New Roman" w:eastAsia="Times New Roman" w:hAnsi="Times New Roman"/>
          <w:szCs w:val="24"/>
          <w:lang w:eastAsia="el-GR"/>
        </w:rPr>
      </w:pPr>
      <w:r w:rsidRPr="001018C6">
        <w:rPr>
          <w:rFonts w:ascii="Times New Roman" w:eastAsia="Times New Roman" w:hAnsi="Times New Roman"/>
          <w:szCs w:val="24"/>
          <w:lang w:eastAsia="el-GR"/>
        </w:rPr>
        <w:t xml:space="preserve">την ενίσχυση των πληγέντων φυσικών και νομικών προσώπων, μέσω της παροχής αποζημίωσης ειδικού σκοπού και της αναστολής φορολογικών και ασφαλιστικών υποχρεώσεων, </w:t>
      </w:r>
    </w:p>
    <w:p w:rsidR="00E71B1B" w:rsidRPr="001018C6" w:rsidRDefault="00E71B1B" w:rsidP="00E71B1B">
      <w:pPr>
        <w:pStyle w:val="af2"/>
        <w:numPr>
          <w:ilvl w:val="0"/>
          <w:numId w:val="36"/>
        </w:numPr>
        <w:spacing w:line="240" w:lineRule="auto"/>
        <w:ind w:left="284" w:hanging="284"/>
        <w:jc w:val="both"/>
        <w:rPr>
          <w:rFonts w:ascii="Times New Roman" w:eastAsia="Times New Roman" w:hAnsi="Times New Roman"/>
          <w:szCs w:val="24"/>
          <w:lang w:eastAsia="el-GR"/>
        </w:rPr>
      </w:pPr>
      <w:r w:rsidRPr="001018C6">
        <w:rPr>
          <w:rFonts w:ascii="Times New Roman" w:eastAsia="Times New Roman" w:hAnsi="Times New Roman"/>
          <w:szCs w:val="24"/>
          <w:lang w:eastAsia="el-GR"/>
        </w:rPr>
        <w:t>την παροχή ρευστότητας στις επιχειρήσεις μέσω της επιστρεπτέας προκαταβολής και των χρημ</w:t>
      </w:r>
      <w:r w:rsidRPr="001018C6">
        <w:rPr>
          <w:rFonts w:ascii="Times New Roman" w:eastAsia="Times New Roman" w:hAnsi="Times New Roman"/>
          <w:szCs w:val="24"/>
          <w:lang w:eastAsia="el-GR"/>
        </w:rPr>
        <w:t>α</w:t>
      </w:r>
      <w:r w:rsidRPr="001018C6">
        <w:rPr>
          <w:rFonts w:ascii="Times New Roman" w:eastAsia="Times New Roman" w:hAnsi="Times New Roman"/>
          <w:szCs w:val="24"/>
          <w:lang w:eastAsia="el-GR"/>
        </w:rPr>
        <w:t>τοδοτικών εργαλείων,</w:t>
      </w:r>
    </w:p>
    <w:p w:rsidR="00E71B1B" w:rsidRPr="001018C6" w:rsidRDefault="00E71B1B" w:rsidP="00E71B1B">
      <w:pPr>
        <w:pStyle w:val="af2"/>
        <w:numPr>
          <w:ilvl w:val="0"/>
          <w:numId w:val="36"/>
        </w:numPr>
        <w:spacing w:line="240" w:lineRule="auto"/>
        <w:ind w:left="284" w:hanging="284"/>
        <w:jc w:val="both"/>
        <w:rPr>
          <w:rFonts w:ascii="Times New Roman" w:eastAsia="Times New Roman" w:hAnsi="Times New Roman"/>
          <w:szCs w:val="24"/>
          <w:lang w:eastAsia="el-GR"/>
        </w:rPr>
      </w:pPr>
      <w:r w:rsidRPr="001018C6">
        <w:rPr>
          <w:rFonts w:ascii="Times New Roman" w:eastAsia="Times New Roman" w:hAnsi="Times New Roman"/>
          <w:szCs w:val="24"/>
          <w:lang w:eastAsia="el-GR"/>
        </w:rPr>
        <w:t>τη στήριξη της απασχόλησης,</w:t>
      </w:r>
    </w:p>
    <w:p w:rsidR="00E71B1B" w:rsidRPr="001018C6" w:rsidRDefault="00E71B1B" w:rsidP="00E71B1B">
      <w:pPr>
        <w:pStyle w:val="af2"/>
        <w:numPr>
          <w:ilvl w:val="0"/>
          <w:numId w:val="36"/>
        </w:numPr>
        <w:spacing w:line="240" w:lineRule="auto"/>
        <w:ind w:left="284" w:hanging="284"/>
        <w:jc w:val="both"/>
        <w:rPr>
          <w:rFonts w:ascii="Times New Roman" w:eastAsia="Times New Roman" w:hAnsi="Times New Roman"/>
          <w:szCs w:val="24"/>
          <w:lang w:eastAsia="el-GR"/>
        </w:rPr>
      </w:pPr>
      <w:r w:rsidRPr="001018C6">
        <w:rPr>
          <w:rFonts w:ascii="Times New Roman" w:eastAsia="Times New Roman" w:hAnsi="Times New Roman"/>
          <w:szCs w:val="24"/>
          <w:lang w:eastAsia="el-GR"/>
        </w:rPr>
        <w:t>την ενίσχυση των ανέργων και των εποχικά απασχολούμενων,</w:t>
      </w:r>
    </w:p>
    <w:p w:rsidR="00E71B1B" w:rsidRPr="001018C6" w:rsidRDefault="00E71B1B" w:rsidP="00E71B1B">
      <w:pPr>
        <w:pStyle w:val="af2"/>
        <w:numPr>
          <w:ilvl w:val="0"/>
          <w:numId w:val="36"/>
        </w:numPr>
        <w:spacing w:line="240" w:lineRule="auto"/>
        <w:ind w:left="284" w:hanging="284"/>
        <w:jc w:val="both"/>
        <w:rPr>
          <w:rFonts w:ascii="Times New Roman" w:eastAsia="Times New Roman" w:hAnsi="Times New Roman"/>
          <w:szCs w:val="24"/>
          <w:lang w:eastAsia="el-GR"/>
        </w:rPr>
      </w:pPr>
      <w:r w:rsidRPr="001018C6">
        <w:rPr>
          <w:rFonts w:ascii="Times New Roman" w:eastAsia="Times New Roman" w:hAnsi="Times New Roman"/>
          <w:szCs w:val="24"/>
          <w:lang w:eastAsia="el-GR"/>
        </w:rPr>
        <w:t>τη στήριξη του τουριστικού κλάδου, της εστίασης, του πολιτισμού, του αθλητισμού, των μεταφ</w:t>
      </w:r>
      <w:r w:rsidRPr="001018C6">
        <w:rPr>
          <w:rFonts w:ascii="Times New Roman" w:eastAsia="Times New Roman" w:hAnsi="Times New Roman"/>
          <w:szCs w:val="24"/>
          <w:lang w:eastAsia="el-GR"/>
        </w:rPr>
        <w:t>ο</w:t>
      </w:r>
      <w:r w:rsidRPr="001018C6">
        <w:rPr>
          <w:rFonts w:ascii="Times New Roman" w:eastAsia="Times New Roman" w:hAnsi="Times New Roman"/>
          <w:szCs w:val="24"/>
          <w:lang w:eastAsia="el-GR"/>
        </w:rPr>
        <w:t>ρών και του πρωτογενούς τομέα και</w:t>
      </w:r>
    </w:p>
    <w:p w:rsidR="00E71B1B" w:rsidRPr="001018C6" w:rsidRDefault="00E71B1B" w:rsidP="00E71B1B">
      <w:pPr>
        <w:pStyle w:val="af2"/>
        <w:numPr>
          <w:ilvl w:val="0"/>
          <w:numId w:val="36"/>
        </w:numPr>
        <w:spacing w:line="240" w:lineRule="auto"/>
        <w:ind w:left="284" w:hanging="284"/>
        <w:jc w:val="both"/>
        <w:rPr>
          <w:rFonts w:ascii="Times New Roman" w:eastAsia="Times New Roman" w:hAnsi="Times New Roman"/>
          <w:szCs w:val="24"/>
          <w:lang w:eastAsia="el-GR"/>
        </w:rPr>
      </w:pPr>
      <w:r w:rsidRPr="001018C6">
        <w:rPr>
          <w:rFonts w:ascii="Times New Roman" w:eastAsia="Times New Roman" w:hAnsi="Times New Roman"/>
          <w:szCs w:val="24"/>
          <w:lang w:eastAsia="el-GR"/>
        </w:rPr>
        <w:t>τη στήριξη των ευάλωτων δανειοληπτών.</w:t>
      </w:r>
    </w:p>
    <w:p w:rsidR="00E71B1B" w:rsidRPr="001018C6" w:rsidRDefault="00E71B1B" w:rsidP="00E71B1B">
      <w:pPr>
        <w:contextualSpacing/>
        <w:jc w:val="both"/>
        <w:rPr>
          <w:sz w:val="22"/>
        </w:rPr>
      </w:pPr>
      <w:r w:rsidRPr="001018C6">
        <w:rPr>
          <w:sz w:val="22"/>
        </w:rPr>
        <w:t xml:space="preserve">Θα πρέπει να τονιστεί ότι η λήψη των ανωτέρω μέτρων δεν εμπόδισε την εφαρμογή εντός του 2020 των προγραμματισμένων </w:t>
      </w:r>
      <w:r w:rsidR="00D85284">
        <w:rPr>
          <w:sz w:val="22"/>
        </w:rPr>
        <w:t xml:space="preserve">δημοσιονομικών </w:t>
      </w:r>
      <w:r w:rsidRPr="001018C6">
        <w:rPr>
          <w:sz w:val="22"/>
        </w:rPr>
        <w:t>παρεμβάσεων όπως:</w:t>
      </w:r>
    </w:p>
    <w:p w:rsidR="00E71B1B" w:rsidRPr="001018C6" w:rsidRDefault="00E71B1B" w:rsidP="00E71B1B">
      <w:pPr>
        <w:contextualSpacing/>
        <w:jc w:val="both"/>
        <w:rPr>
          <w:sz w:val="22"/>
        </w:rPr>
      </w:pPr>
    </w:p>
    <w:p w:rsidR="00E71B1B" w:rsidRPr="001018C6" w:rsidRDefault="00E71B1B" w:rsidP="00E71B1B">
      <w:pPr>
        <w:numPr>
          <w:ilvl w:val="0"/>
          <w:numId w:val="6"/>
        </w:numPr>
        <w:ind w:left="284" w:hanging="284"/>
        <w:contextualSpacing/>
        <w:jc w:val="both"/>
        <w:rPr>
          <w:sz w:val="22"/>
        </w:rPr>
      </w:pPr>
      <w:r w:rsidRPr="001018C6">
        <w:rPr>
          <w:sz w:val="22"/>
        </w:rPr>
        <w:t>η παροχή κινήτρων για την αντιμετώπιση της υπογεννητικότητας, μέσω της χορήγησης επιδόματος 2.000 ευρώ για κάθε γέννηση, καθώς και της μείωσης του συντελεστή ΦΠΑ σε βασικά είδη βρεφ</w:t>
      </w:r>
      <w:r w:rsidRPr="001018C6">
        <w:rPr>
          <w:sz w:val="22"/>
        </w:rPr>
        <w:t>ι</w:t>
      </w:r>
      <w:r w:rsidRPr="001018C6">
        <w:rPr>
          <w:sz w:val="22"/>
        </w:rPr>
        <w:t>κής ηλικίας,</w:t>
      </w:r>
    </w:p>
    <w:p w:rsidR="00E71B1B" w:rsidRPr="001018C6" w:rsidRDefault="00E71B1B" w:rsidP="00E71B1B">
      <w:pPr>
        <w:numPr>
          <w:ilvl w:val="0"/>
          <w:numId w:val="6"/>
        </w:numPr>
        <w:ind w:left="284" w:hanging="284"/>
        <w:contextualSpacing/>
        <w:jc w:val="both"/>
        <w:rPr>
          <w:sz w:val="22"/>
        </w:rPr>
      </w:pPr>
      <w:r w:rsidRPr="001018C6">
        <w:rPr>
          <w:sz w:val="22"/>
        </w:rPr>
        <w:t>η αναμόρφωση της φορολογίας εισοδήματος φυσικών προσώπων με εισαγωγικό συντελεστή 9% και αύξηση του αφορολόγητου για κάθε τέκνο,</w:t>
      </w:r>
    </w:p>
    <w:p w:rsidR="00E71B1B" w:rsidRPr="001018C6" w:rsidRDefault="00E71B1B" w:rsidP="00E71B1B">
      <w:pPr>
        <w:numPr>
          <w:ilvl w:val="0"/>
          <w:numId w:val="6"/>
        </w:numPr>
        <w:ind w:left="284" w:hanging="284"/>
        <w:contextualSpacing/>
        <w:jc w:val="both"/>
        <w:rPr>
          <w:sz w:val="22"/>
        </w:rPr>
      </w:pPr>
      <w:r w:rsidRPr="001018C6">
        <w:rPr>
          <w:sz w:val="22"/>
        </w:rPr>
        <w:t>η μείωση ασφαλιστικών εισφορών για απασχολούμενους πλήρους απασχόλησης,</w:t>
      </w:r>
    </w:p>
    <w:p w:rsidR="00E71B1B" w:rsidRPr="001018C6" w:rsidRDefault="00E71B1B" w:rsidP="00E71B1B">
      <w:pPr>
        <w:numPr>
          <w:ilvl w:val="0"/>
          <w:numId w:val="6"/>
        </w:numPr>
        <w:ind w:left="284" w:hanging="284"/>
        <w:contextualSpacing/>
        <w:jc w:val="both"/>
        <w:rPr>
          <w:sz w:val="22"/>
        </w:rPr>
      </w:pPr>
      <w:r w:rsidRPr="001018C6">
        <w:rPr>
          <w:sz w:val="22"/>
        </w:rPr>
        <w:t>η μείωση φόρου εισοδήματος νομικών προσώπων από 28% σ</w:t>
      </w:r>
      <w:r w:rsidR="009771D8">
        <w:rPr>
          <w:sz w:val="22"/>
        </w:rPr>
        <w:t>ε</w:t>
      </w:r>
      <w:r w:rsidRPr="001018C6">
        <w:rPr>
          <w:sz w:val="22"/>
        </w:rPr>
        <w:t xml:space="preserve"> 24%,</w:t>
      </w:r>
    </w:p>
    <w:p w:rsidR="00E71B1B" w:rsidRPr="001018C6" w:rsidRDefault="00E71B1B" w:rsidP="00E71B1B">
      <w:pPr>
        <w:numPr>
          <w:ilvl w:val="0"/>
          <w:numId w:val="6"/>
        </w:numPr>
        <w:ind w:left="284" w:hanging="284"/>
        <w:contextualSpacing/>
        <w:jc w:val="both"/>
        <w:rPr>
          <w:sz w:val="22"/>
        </w:rPr>
      </w:pPr>
      <w:r w:rsidRPr="001018C6">
        <w:rPr>
          <w:sz w:val="22"/>
        </w:rPr>
        <w:t>η μείωση φορολογίας διανεμόμενων κερδών από το 10% σε 5%,</w:t>
      </w:r>
    </w:p>
    <w:p w:rsidR="00E71B1B" w:rsidRPr="001018C6" w:rsidRDefault="00E71B1B" w:rsidP="00E71B1B">
      <w:pPr>
        <w:numPr>
          <w:ilvl w:val="0"/>
          <w:numId w:val="6"/>
        </w:numPr>
        <w:ind w:left="284" w:hanging="284"/>
        <w:contextualSpacing/>
        <w:jc w:val="both"/>
        <w:rPr>
          <w:sz w:val="22"/>
        </w:rPr>
      </w:pPr>
      <w:r w:rsidRPr="001018C6">
        <w:rPr>
          <w:sz w:val="22"/>
        </w:rPr>
        <w:t>η αναστολή ΦΠΑ στις νέες οικοδομές για 3 έτη,</w:t>
      </w:r>
    </w:p>
    <w:p w:rsidR="00E71B1B" w:rsidRPr="001018C6" w:rsidRDefault="00E71B1B" w:rsidP="00E71B1B">
      <w:pPr>
        <w:numPr>
          <w:ilvl w:val="0"/>
          <w:numId w:val="6"/>
        </w:numPr>
        <w:ind w:left="284" w:hanging="284"/>
        <w:contextualSpacing/>
        <w:jc w:val="both"/>
        <w:rPr>
          <w:sz w:val="22"/>
        </w:rPr>
      </w:pPr>
      <w:r w:rsidRPr="001018C6">
        <w:rPr>
          <w:sz w:val="22"/>
        </w:rPr>
        <w:t>η καταπολέμηση της φοροδιαφυγής και διεύρυνση της φορολογικής βάσης με μέτρα προώθησης των ηλεκτρονικών συναλλαγών,</w:t>
      </w:r>
    </w:p>
    <w:p w:rsidR="00E71B1B" w:rsidRPr="001018C6" w:rsidRDefault="00E71B1B" w:rsidP="00E71B1B">
      <w:pPr>
        <w:numPr>
          <w:ilvl w:val="0"/>
          <w:numId w:val="6"/>
        </w:numPr>
        <w:ind w:left="284" w:hanging="284"/>
        <w:contextualSpacing/>
        <w:jc w:val="both"/>
        <w:rPr>
          <w:sz w:val="22"/>
        </w:rPr>
      </w:pPr>
      <w:r w:rsidRPr="001018C6">
        <w:rPr>
          <w:sz w:val="22"/>
        </w:rPr>
        <w:t xml:space="preserve">η συνέχιση και ενίσχυση των δράσεων του ΟΠΕΚΑ για τη στήριξη των ευάλωτων κοινωνικών </w:t>
      </w:r>
      <w:r w:rsidRPr="001018C6">
        <w:rPr>
          <w:sz w:val="22"/>
        </w:rPr>
        <w:t>ο</w:t>
      </w:r>
      <w:r w:rsidRPr="001018C6">
        <w:rPr>
          <w:sz w:val="22"/>
        </w:rPr>
        <w:t>μάδων,</w:t>
      </w:r>
    </w:p>
    <w:p w:rsidR="00E71B1B" w:rsidRPr="001018C6" w:rsidRDefault="00E71B1B" w:rsidP="00E71B1B">
      <w:pPr>
        <w:numPr>
          <w:ilvl w:val="0"/>
          <w:numId w:val="6"/>
        </w:numPr>
        <w:ind w:left="284" w:hanging="284"/>
        <w:contextualSpacing/>
        <w:jc w:val="both"/>
        <w:rPr>
          <w:sz w:val="22"/>
        </w:rPr>
      </w:pPr>
      <w:r w:rsidRPr="001018C6">
        <w:rPr>
          <w:sz w:val="22"/>
        </w:rPr>
        <w:t>η επισκόπηση δαπανών και δραστηριοτήτων στο σύνολο της Γενικής Κυβέρνησης, προκειμένου να δημιουργηθεί δημοσιονομικός χώρος για την εφαρμογή δράσεων με προσανατολισμό στην οικ</w:t>
      </w:r>
      <w:r w:rsidRPr="001018C6">
        <w:rPr>
          <w:sz w:val="22"/>
        </w:rPr>
        <w:t>ο</w:t>
      </w:r>
      <w:r w:rsidRPr="001018C6">
        <w:rPr>
          <w:sz w:val="22"/>
        </w:rPr>
        <w:t>νομική ανάπτυξη και</w:t>
      </w:r>
    </w:p>
    <w:p w:rsidR="00E71B1B" w:rsidRPr="001018C6" w:rsidRDefault="00E71B1B" w:rsidP="00E71B1B">
      <w:pPr>
        <w:numPr>
          <w:ilvl w:val="0"/>
          <w:numId w:val="6"/>
        </w:numPr>
        <w:ind w:left="284" w:hanging="284"/>
        <w:contextualSpacing/>
        <w:jc w:val="both"/>
        <w:rPr>
          <w:sz w:val="22"/>
        </w:rPr>
      </w:pPr>
      <w:r w:rsidRPr="001018C6">
        <w:rPr>
          <w:sz w:val="22"/>
        </w:rPr>
        <w:t>η συνέχιση του προγράμματος αποκρατικοποιήσεων.</w:t>
      </w:r>
    </w:p>
    <w:p w:rsidR="00203422" w:rsidRDefault="00203422" w:rsidP="00E71B1B">
      <w:pPr>
        <w:jc w:val="both"/>
        <w:rPr>
          <w:sz w:val="22"/>
        </w:rPr>
      </w:pPr>
    </w:p>
    <w:p w:rsidR="00E71B1B" w:rsidRPr="001018C6" w:rsidRDefault="00E71B1B" w:rsidP="00E71B1B">
      <w:pPr>
        <w:jc w:val="both"/>
        <w:rPr>
          <w:sz w:val="22"/>
        </w:rPr>
      </w:pPr>
      <w:r w:rsidRPr="001018C6">
        <w:rPr>
          <w:sz w:val="22"/>
        </w:rPr>
        <w:lastRenderedPageBreak/>
        <w:t xml:space="preserve">Στον πίνακα 3.2 δίνονται το ισοζύγιο και το πρωτογενές αποτέλεσμα της Γενικής Κυβέρνησης κατά </w:t>
      </w:r>
      <w:r w:rsidRPr="001018C6">
        <w:rPr>
          <w:sz w:val="22"/>
          <w:lang w:val="en-US"/>
        </w:rPr>
        <w:t>ESA</w:t>
      </w:r>
      <w:r w:rsidRPr="001018C6">
        <w:rPr>
          <w:sz w:val="22"/>
        </w:rPr>
        <w:t>, ενώ στον πίνακα 3.3 δίνεται το πρωτογενές αποτέλεσμα της Γενικής Κυβέρνησης σε όρους εν</w:t>
      </w:r>
      <w:r w:rsidRPr="001018C6">
        <w:rPr>
          <w:sz w:val="22"/>
        </w:rPr>
        <w:t>ι</w:t>
      </w:r>
      <w:r w:rsidRPr="001018C6">
        <w:rPr>
          <w:sz w:val="22"/>
        </w:rPr>
        <w:t>σχυμένης εποπτείας.</w:t>
      </w:r>
      <w:r w:rsidR="009771D8">
        <w:rPr>
          <w:sz w:val="22"/>
        </w:rPr>
        <w:t xml:space="preserve"> </w:t>
      </w:r>
    </w:p>
    <w:p w:rsidR="00203422" w:rsidRPr="00091B3B" w:rsidRDefault="00203422" w:rsidP="00E71B1B">
      <w:pPr>
        <w:jc w:val="both"/>
        <w:rPr>
          <w:sz w:val="20"/>
        </w:rPr>
      </w:pPr>
    </w:p>
    <w:p w:rsidR="00E71B1B" w:rsidRDefault="00E71B1B" w:rsidP="00E71B1B">
      <w:pPr>
        <w:jc w:val="both"/>
        <w:rPr>
          <w:sz w:val="22"/>
        </w:rPr>
      </w:pPr>
      <w:r w:rsidRPr="001018C6">
        <w:rPr>
          <w:sz w:val="22"/>
        </w:rPr>
        <w:t xml:space="preserve">Η παρουσίαση της ανάλυσης εσόδων και δαπανών των υποτομέων στον πίνακα 3.2 είναι σύμφωνα με την κατηγοριοποίηση της μεθοδολογίας του </w:t>
      </w:r>
      <w:r w:rsidRPr="001018C6">
        <w:rPr>
          <w:sz w:val="22"/>
          <w:lang w:val="en-US"/>
        </w:rPr>
        <w:t>ESA</w:t>
      </w:r>
      <w:r w:rsidRPr="001018C6">
        <w:rPr>
          <w:sz w:val="22"/>
        </w:rPr>
        <w:t xml:space="preserve"> και διαφοροποιείται από τον τρόπο παρουσίασης που ακολουθεί στην ανάλυση των επιμέρους υποτομέων, όπου έχει υιοθετηθεί το υπόδειγμα των π</w:t>
      </w:r>
      <w:r w:rsidRPr="001018C6">
        <w:rPr>
          <w:sz w:val="22"/>
        </w:rPr>
        <w:t>ι</w:t>
      </w:r>
      <w:r w:rsidRPr="001018C6">
        <w:rPr>
          <w:sz w:val="22"/>
        </w:rPr>
        <w:t>νάκων της εγκυκλίου κατάρτισης του Προϋπολογισμού Γενικής Κυβέρνησης για το 2021.</w:t>
      </w:r>
    </w:p>
    <w:p w:rsidR="0096788A" w:rsidRPr="00091B3B" w:rsidRDefault="0096788A" w:rsidP="00E71B1B">
      <w:pPr>
        <w:jc w:val="both"/>
        <w:rPr>
          <w:sz w:val="20"/>
        </w:rPr>
      </w:pPr>
    </w:p>
    <w:p w:rsidR="0096788A" w:rsidRPr="001018C6" w:rsidRDefault="0096788A" w:rsidP="0096788A">
      <w:pPr>
        <w:jc w:val="both"/>
        <w:rPr>
          <w:sz w:val="22"/>
        </w:rPr>
      </w:pPr>
      <w:r>
        <w:rPr>
          <w:sz w:val="22"/>
        </w:rPr>
        <w:t>Επίσης στους πίνακες 3.4 και 3.5 παρουσιάζονται τα καθαρά έσοδα και οι δαπάνες του κρατικού πρ</w:t>
      </w:r>
      <w:r>
        <w:rPr>
          <w:sz w:val="22"/>
        </w:rPr>
        <w:t>ο</w:t>
      </w:r>
      <w:r>
        <w:rPr>
          <w:sz w:val="22"/>
        </w:rPr>
        <w:t>ϋπολογισμού κατά μείζονα κατηγορία σε ταμειακή βάση.</w:t>
      </w:r>
    </w:p>
    <w:p w:rsidR="00E71B1B" w:rsidRPr="00091B3B" w:rsidRDefault="00E71B1B" w:rsidP="00E71B1B">
      <w:pPr>
        <w:rPr>
          <w:sz w:val="16"/>
          <w:szCs w:val="22"/>
        </w:rPr>
      </w:pPr>
    </w:p>
    <w:p w:rsidR="00203422" w:rsidRPr="00091B3B" w:rsidRDefault="00203422" w:rsidP="00E71B1B">
      <w:pPr>
        <w:rPr>
          <w:sz w:val="16"/>
          <w:szCs w:val="22"/>
        </w:rPr>
      </w:pPr>
    </w:p>
    <w:tbl>
      <w:tblPr>
        <w:tblW w:w="8998" w:type="dxa"/>
        <w:tblInd w:w="103" w:type="dxa"/>
        <w:tblCellMar>
          <w:left w:w="28" w:type="dxa"/>
          <w:right w:w="28" w:type="dxa"/>
        </w:tblCellMar>
        <w:tblLook w:val="04A0"/>
      </w:tblPr>
      <w:tblGrid>
        <w:gridCol w:w="5454"/>
        <w:gridCol w:w="992"/>
        <w:gridCol w:w="850"/>
        <w:gridCol w:w="740"/>
        <w:gridCol w:w="962"/>
      </w:tblGrid>
      <w:tr w:rsidR="00147730" w:rsidRPr="002E3450" w:rsidTr="00147730">
        <w:trPr>
          <w:trHeight w:val="315"/>
          <w:tblHeader/>
        </w:trPr>
        <w:tc>
          <w:tcPr>
            <w:tcW w:w="8998" w:type="dxa"/>
            <w:gridSpan w:val="5"/>
            <w:tcBorders>
              <w:top w:val="single" w:sz="4" w:space="0" w:color="auto"/>
              <w:left w:val="single" w:sz="4" w:space="0" w:color="auto"/>
              <w:bottom w:val="single" w:sz="4" w:space="0" w:color="auto"/>
              <w:right w:val="single" w:sz="4" w:space="0" w:color="auto"/>
            </w:tcBorders>
            <w:shd w:val="clear" w:color="auto" w:fill="404040" w:themeFill="text1" w:themeFillTint="BF"/>
            <w:vAlign w:val="bottom"/>
            <w:hideMark/>
          </w:tcPr>
          <w:p w:rsidR="00147730" w:rsidRPr="006147D6" w:rsidRDefault="00147730" w:rsidP="00091B3B">
            <w:pPr>
              <w:jc w:val="center"/>
              <w:rPr>
                <w:rFonts w:ascii="Arial Narrow" w:hAnsi="Arial Narrow"/>
                <w:b/>
                <w:bCs/>
                <w:color w:val="FFFFFF" w:themeColor="background1"/>
              </w:rPr>
            </w:pPr>
            <w:r w:rsidRPr="006147D6">
              <w:rPr>
                <w:rFonts w:ascii="Arial Narrow" w:hAnsi="Arial Narrow"/>
                <w:b/>
                <w:bCs/>
                <w:color w:val="FFFFFF" w:themeColor="background1"/>
              </w:rPr>
              <w:t xml:space="preserve">Πίνακας 3.2 Ισοζύγιο Γενικής Κυβέρνησης σύμφωνα με τη μεθοδολογία European System </w:t>
            </w:r>
          </w:p>
          <w:p w:rsidR="00147730" w:rsidRPr="00327747" w:rsidRDefault="00147730" w:rsidP="00091B3B">
            <w:pPr>
              <w:jc w:val="center"/>
              <w:rPr>
                <w:rFonts w:ascii="Arial Narrow" w:hAnsi="Arial Narrow"/>
                <w:b/>
                <w:bCs/>
                <w:color w:val="FFFFFF" w:themeColor="background1"/>
                <w:lang w:val="en-US"/>
              </w:rPr>
            </w:pPr>
            <w:r w:rsidRPr="00327747">
              <w:rPr>
                <w:rFonts w:ascii="Arial Narrow" w:hAnsi="Arial Narrow"/>
                <w:b/>
                <w:bCs/>
                <w:color w:val="FFFFFF" w:themeColor="background1"/>
                <w:lang w:val="en-US"/>
              </w:rPr>
              <w:t>of Accounts (ESA)</w:t>
            </w:r>
          </w:p>
          <w:p w:rsidR="00147730" w:rsidRPr="00327747" w:rsidRDefault="00147730" w:rsidP="00091B3B">
            <w:pPr>
              <w:jc w:val="center"/>
              <w:rPr>
                <w:rFonts w:ascii="Arial Narrow" w:hAnsi="Arial Narrow"/>
                <w:b/>
                <w:bCs/>
                <w:color w:val="FFFFFF" w:themeColor="background1"/>
                <w:vertAlign w:val="superscript"/>
                <w:lang w:val="en-US"/>
              </w:rPr>
            </w:pPr>
            <w:r w:rsidRPr="00327747">
              <w:rPr>
                <w:rFonts w:ascii="Arial Narrow" w:hAnsi="Arial Narrow"/>
                <w:b/>
                <w:bCs/>
                <w:color w:val="FFFFFF" w:themeColor="background1"/>
                <w:lang w:val="en-US"/>
              </w:rPr>
              <w:t>(</w:t>
            </w:r>
            <w:r w:rsidRPr="006147D6">
              <w:rPr>
                <w:rFonts w:ascii="Arial Narrow" w:hAnsi="Arial Narrow"/>
                <w:b/>
                <w:bCs/>
                <w:color w:val="FFFFFF" w:themeColor="background1"/>
              </w:rPr>
              <w:t>σε</w:t>
            </w:r>
            <w:r w:rsidRPr="00327747">
              <w:rPr>
                <w:rFonts w:ascii="Arial Narrow" w:hAnsi="Arial Narrow"/>
                <w:b/>
                <w:bCs/>
                <w:color w:val="FFFFFF" w:themeColor="background1"/>
                <w:lang w:val="en-US"/>
              </w:rPr>
              <w:t xml:space="preserve"> </w:t>
            </w:r>
            <w:r w:rsidRPr="006147D6">
              <w:rPr>
                <w:rFonts w:ascii="Arial Narrow" w:hAnsi="Arial Narrow"/>
                <w:b/>
                <w:bCs/>
                <w:color w:val="FFFFFF" w:themeColor="background1"/>
              </w:rPr>
              <w:t>εκατ</w:t>
            </w:r>
            <w:r w:rsidRPr="00327747">
              <w:rPr>
                <w:rFonts w:ascii="Arial Narrow" w:hAnsi="Arial Narrow"/>
                <w:b/>
                <w:bCs/>
                <w:color w:val="FFFFFF" w:themeColor="background1"/>
                <w:lang w:val="en-US"/>
              </w:rPr>
              <w:t xml:space="preserve">. </w:t>
            </w:r>
            <w:r w:rsidRPr="006147D6">
              <w:rPr>
                <w:rFonts w:ascii="Arial Narrow" w:hAnsi="Arial Narrow"/>
                <w:b/>
                <w:bCs/>
                <w:color w:val="FFFFFF" w:themeColor="background1"/>
              </w:rPr>
              <w:t>ευρώ</w:t>
            </w:r>
            <w:r w:rsidRPr="00327747">
              <w:rPr>
                <w:rFonts w:ascii="Arial Narrow" w:hAnsi="Arial Narrow"/>
                <w:b/>
                <w:bCs/>
                <w:color w:val="FFFFFF" w:themeColor="background1"/>
                <w:lang w:val="en-US"/>
              </w:rPr>
              <w:t>)</w:t>
            </w:r>
          </w:p>
        </w:tc>
      </w:tr>
      <w:tr w:rsidR="00147730" w:rsidRPr="002E3450" w:rsidTr="00091B3B">
        <w:trPr>
          <w:trHeight w:val="113"/>
          <w:tblHeader/>
        </w:trPr>
        <w:tc>
          <w:tcPr>
            <w:tcW w:w="8998" w:type="dxa"/>
            <w:gridSpan w:val="5"/>
            <w:tcBorders>
              <w:top w:val="nil"/>
              <w:left w:val="single" w:sz="4" w:space="0" w:color="auto"/>
              <w:bottom w:val="nil"/>
              <w:right w:val="single" w:sz="4" w:space="0" w:color="auto"/>
            </w:tcBorders>
            <w:shd w:val="clear" w:color="000000" w:fill="FFFFFF"/>
            <w:vAlign w:val="center"/>
            <w:hideMark/>
          </w:tcPr>
          <w:p w:rsidR="00147730" w:rsidRPr="00091B3B" w:rsidRDefault="00147730" w:rsidP="00147730">
            <w:pPr>
              <w:spacing w:line="228" w:lineRule="auto"/>
              <w:jc w:val="center"/>
              <w:rPr>
                <w:rFonts w:ascii="Arial Narrow" w:hAnsi="Arial Narrow"/>
                <w:b/>
                <w:bCs/>
                <w:sz w:val="10"/>
                <w:szCs w:val="16"/>
                <w:lang w:val="en-US"/>
              </w:rPr>
            </w:pPr>
          </w:p>
        </w:tc>
      </w:tr>
      <w:tr w:rsidR="00147730" w:rsidRPr="004F40E8" w:rsidTr="00147730">
        <w:trPr>
          <w:trHeight w:val="170"/>
          <w:tblHeader/>
        </w:trPr>
        <w:tc>
          <w:tcPr>
            <w:tcW w:w="54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47730" w:rsidRPr="00327747" w:rsidRDefault="00147730" w:rsidP="00147730">
            <w:pPr>
              <w:spacing w:line="228" w:lineRule="auto"/>
              <w:jc w:val="center"/>
              <w:rPr>
                <w:rFonts w:ascii="Arial Narrow" w:hAnsi="Arial Narrow"/>
                <w:b/>
                <w:bCs/>
                <w:sz w:val="16"/>
                <w:szCs w:val="16"/>
                <w:lang w:val="en-US"/>
              </w:rPr>
            </w:pPr>
            <w:r w:rsidRPr="00327747">
              <w:rPr>
                <w:rFonts w:ascii="Arial Narrow" w:hAnsi="Arial Narrow"/>
                <w:b/>
                <w:bCs/>
                <w:sz w:val="16"/>
                <w:szCs w:val="16"/>
                <w:lang w:val="en-US"/>
              </w:rPr>
              <w:t> </w:t>
            </w:r>
          </w:p>
          <w:p w:rsidR="00147730" w:rsidRPr="00327747" w:rsidRDefault="00147730" w:rsidP="00147730">
            <w:pPr>
              <w:spacing w:line="228" w:lineRule="auto"/>
              <w:jc w:val="center"/>
              <w:rPr>
                <w:rFonts w:ascii="Arial Narrow" w:hAnsi="Arial Narrow"/>
                <w:b/>
                <w:bCs/>
                <w:sz w:val="16"/>
                <w:szCs w:val="16"/>
                <w:lang w:val="en-US"/>
              </w:rPr>
            </w:pPr>
            <w:r w:rsidRPr="00327747">
              <w:rPr>
                <w:rFonts w:ascii="Arial Narrow" w:hAnsi="Arial Narrow"/>
                <w:b/>
                <w:bCs/>
                <w:sz w:val="16"/>
                <w:szCs w:val="16"/>
                <w:lang w:val="en-US"/>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47730" w:rsidRPr="004F40E8" w:rsidRDefault="00147730" w:rsidP="00147730">
            <w:pPr>
              <w:spacing w:line="228" w:lineRule="auto"/>
              <w:jc w:val="center"/>
              <w:rPr>
                <w:rFonts w:ascii="Arial Narrow" w:hAnsi="Arial Narrow"/>
                <w:b/>
                <w:bCs/>
                <w:sz w:val="16"/>
                <w:szCs w:val="16"/>
              </w:rPr>
            </w:pPr>
            <w:r>
              <w:rPr>
                <w:rFonts w:ascii="Arial Narrow" w:hAnsi="Arial Narrow"/>
                <w:b/>
                <w:bCs/>
                <w:sz w:val="16"/>
                <w:szCs w:val="16"/>
              </w:rPr>
              <w:t>2019</w:t>
            </w:r>
          </w:p>
        </w:tc>
        <w:tc>
          <w:tcPr>
            <w:tcW w:w="1590" w:type="dxa"/>
            <w:gridSpan w:val="2"/>
            <w:tcBorders>
              <w:top w:val="single" w:sz="4" w:space="0" w:color="auto"/>
              <w:left w:val="nil"/>
              <w:bottom w:val="single" w:sz="4" w:space="0" w:color="auto"/>
              <w:right w:val="single" w:sz="4" w:space="0" w:color="000000"/>
            </w:tcBorders>
            <w:shd w:val="clear" w:color="000000" w:fill="FFFFFF"/>
            <w:vAlign w:val="center"/>
            <w:hideMark/>
          </w:tcPr>
          <w:p w:rsidR="00147730" w:rsidRPr="004F40E8" w:rsidRDefault="00147730" w:rsidP="00147730">
            <w:pPr>
              <w:spacing w:line="228" w:lineRule="auto"/>
              <w:jc w:val="center"/>
              <w:rPr>
                <w:rFonts w:ascii="Arial Narrow" w:hAnsi="Arial Narrow"/>
                <w:b/>
                <w:bCs/>
                <w:sz w:val="16"/>
                <w:szCs w:val="16"/>
              </w:rPr>
            </w:pPr>
            <w:r w:rsidRPr="004F40E8">
              <w:rPr>
                <w:rFonts w:ascii="Arial Narrow" w:hAnsi="Arial Narrow"/>
                <w:b/>
                <w:bCs/>
                <w:sz w:val="16"/>
                <w:szCs w:val="16"/>
              </w:rPr>
              <w:t>20</w:t>
            </w:r>
            <w:r>
              <w:rPr>
                <w:rFonts w:ascii="Arial Narrow" w:hAnsi="Arial Narrow"/>
                <w:b/>
                <w:bCs/>
                <w:sz w:val="16"/>
                <w:szCs w:val="16"/>
              </w:rPr>
              <w:t>20</w:t>
            </w:r>
          </w:p>
        </w:tc>
        <w:tc>
          <w:tcPr>
            <w:tcW w:w="962" w:type="dxa"/>
            <w:tcBorders>
              <w:top w:val="single" w:sz="4" w:space="0" w:color="auto"/>
              <w:left w:val="nil"/>
              <w:bottom w:val="single" w:sz="4" w:space="0" w:color="auto"/>
              <w:right w:val="single" w:sz="4" w:space="0" w:color="auto"/>
            </w:tcBorders>
            <w:shd w:val="clear" w:color="000000" w:fill="FFFFFF"/>
            <w:vAlign w:val="center"/>
            <w:hideMark/>
          </w:tcPr>
          <w:p w:rsidR="00147730" w:rsidRPr="004F40E8" w:rsidRDefault="00147730" w:rsidP="00147730">
            <w:pPr>
              <w:spacing w:line="228" w:lineRule="auto"/>
              <w:jc w:val="center"/>
              <w:rPr>
                <w:rFonts w:ascii="Arial Narrow" w:hAnsi="Arial Narrow"/>
                <w:b/>
                <w:bCs/>
                <w:sz w:val="16"/>
                <w:szCs w:val="16"/>
              </w:rPr>
            </w:pPr>
            <w:r>
              <w:rPr>
                <w:rFonts w:ascii="Arial Narrow" w:hAnsi="Arial Narrow"/>
                <w:b/>
                <w:bCs/>
                <w:sz w:val="16"/>
                <w:szCs w:val="16"/>
              </w:rPr>
              <w:t>2021</w:t>
            </w:r>
          </w:p>
        </w:tc>
      </w:tr>
      <w:tr w:rsidR="00147730" w:rsidRPr="004F40E8" w:rsidTr="00147730">
        <w:trPr>
          <w:trHeight w:val="227"/>
          <w:tblHeader/>
        </w:trPr>
        <w:tc>
          <w:tcPr>
            <w:tcW w:w="5454" w:type="dxa"/>
            <w:vMerge/>
            <w:tcBorders>
              <w:left w:val="single" w:sz="4" w:space="0" w:color="auto"/>
              <w:bottom w:val="single" w:sz="4" w:space="0" w:color="auto"/>
              <w:right w:val="single" w:sz="4" w:space="0" w:color="auto"/>
            </w:tcBorders>
            <w:shd w:val="clear" w:color="000000" w:fill="FFFFFF"/>
            <w:vAlign w:val="center"/>
            <w:hideMark/>
          </w:tcPr>
          <w:p w:rsidR="00147730" w:rsidRPr="004F40E8" w:rsidRDefault="00147730" w:rsidP="00147730">
            <w:pPr>
              <w:spacing w:line="228" w:lineRule="auto"/>
              <w:jc w:val="center"/>
              <w:rPr>
                <w:rFonts w:ascii="Arial Narrow" w:hAnsi="Arial Narrow"/>
                <w:b/>
                <w:bCs/>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47730" w:rsidRPr="006147D6" w:rsidRDefault="00BE572F" w:rsidP="00A4221C">
            <w:pPr>
              <w:spacing w:line="228" w:lineRule="auto"/>
              <w:jc w:val="center"/>
              <w:rPr>
                <w:rFonts w:ascii="Arial Narrow" w:hAnsi="Arial Narrow"/>
                <w:b/>
                <w:bCs/>
                <w:sz w:val="16"/>
                <w:szCs w:val="16"/>
              </w:rPr>
            </w:pPr>
            <w:r>
              <w:rPr>
                <w:rFonts w:ascii="Arial Narrow" w:hAnsi="Arial Narrow"/>
                <w:b/>
                <w:bCs/>
                <w:sz w:val="16"/>
                <w:szCs w:val="16"/>
              </w:rPr>
              <w:t>ΔΥΕ</w:t>
            </w:r>
            <w:r w:rsidR="00A4221C">
              <w:rPr>
                <w:rFonts w:ascii="Arial Narrow" w:hAnsi="Arial Narrow"/>
                <w:b/>
                <w:bCs/>
                <w:sz w:val="16"/>
                <w:szCs w:val="16"/>
              </w:rPr>
              <w:t xml:space="preserve"> </w:t>
            </w:r>
            <w:r w:rsidR="00147730">
              <w:rPr>
                <w:rFonts w:ascii="Arial Narrow" w:hAnsi="Arial Narrow"/>
                <w:b/>
                <w:bCs/>
                <w:sz w:val="16"/>
                <w:szCs w:val="16"/>
              </w:rPr>
              <w:t>Οκτωβρ</w:t>
            </w:r>
            <w:r w:rsidR="00147730">
              <w:rPr>
                <w:rFonts w:ascii="Arial Narrow" w:hAnsi="Arial Narrow"/>
                <w:b/>
                <w:bCs/>
                <w:sz w:val="16"/>
                <w:szCs w:val="16"/>
              </w:rPr>
              <w:t>ί</w:t>
            </w:r>
            <w:r w:rsidR="00147730">
              <w:rPr>
                <w:rFonts w:ascii="Arial Narrow" w:hAnsi="Arial Narrow"/>
                <w:b/>
                <w:bCs/>
                <w:sz w:val="16"/>
                <w:szCs w:val="16"/>
              </w:rPr>
              <w:t>ου 2020</w:t>
            </w:r>
          </w:p>
        </w:tc>
        <w:tc>
          <w:tcPr>
            <w:tcW w:w="850" w:type="dxa"/>
            <w:tcBorders>
              <w:top w:val="nil"/>
              <w:left w:val="nil"/>
              <w:bottom w:val="single" w:sz="4" w:space="0" w:color="auto"/>
              <w:right w:val="single" w:sz="4" w:space="0" w:color="auto"/>
            </w:tcBorders>
            <w:shd w:val="clear" w:color="000000" w:fill="FFFFFF"/>
            <w:vAlign w:val="center"/>
            <w:hideMark/>
          </w:tcPr>
          <w:p w:rsidR="00147730" w:rsidRPr="004F40E8" w:rsidRDefault="00147730" w:rsidP="00147730">
            <w:pPr>
              <w:spacing w:line="228" w:lineRule="auto"/>
              <w:jc w:val="center"/>
              <w:rPr>
                <w:rFonts w:ascii="Arial Narrow" w:hAnsi="Arial Narrow"/>
                <w:b/>
                <w:bCs/>
                <w:sz w:val="16"/>
                <w:szCs w:val="16"/>
              </w:rPr>
            </w:pPr>
            <w:r>
              <w:rPr>
                <w:rFonts w:ascii="Arial Narrow" w:hAnsi="Arial Narrow"/>
                <w:b/>
                <w:bCs/>
                <w:sz w:val="16"/>
                <w:szCs w:val="16"/>
              </w:rPr>
              <w:t>Προϋπ/σμός</w:t>
            </w:r>
          </w:p>
        </w:tc>
        <w:tc>
          <w:tcPr>
            <w:tcW w:w="740" w:type="dxa"/>
            <w:tcBorders>
              <w:top w:val="nil"/>
              <w:left w:val="nil"/>
              <w:bottom w:val="single" w:sz="4" w:space="0" w:color="auto"/>
              <w:right w:val="single" w:sz="4" w:space="0" w:color="auto"/>
            </w:tcBorders>
            <w:shd w:val="clear" w:color="000000" w:fill="FFFFFF"/>
            <w:vAlign w:val="center"/>
            <w:hideMark/>
          </w:tcPr>
          <w:p w:rsidR="00147730" w:rsidRPr="004F40E8" w:rsidRDefault="00147730" w:rsidP="00147730">
            <w:pPr>
              <w:spacing w:line="228" w:lineRule="auto"/>
              <w:jc w:val="center"/>
              <w:rPr>
                <w:rFonts w:ascii="Arial Narrow" w:hAnsi="Arial Narrow"/>
                <w:b/>
                <w:bCs/>
                <w:sz w:val="16"/>
                <w:szCs w:val="16"/>
              </w:rPr>
            </w:pPr>
            <w:r w:rsidRPr="004F40E8">
              <w:rPr>
                <w:rFonts w:ascii="Arial Narrow" w:hAnsi="Arial Narrow"/>
                <w:b/>
                <w:bCs/>
                <w:sz w:val="16"/>
                <w:szCs w:val="16"/>
              </w:rPr>
              <w:t>Εκτίμηση</w:t>
            </w:r>
          </w:p>
        </w:tc>
        <w:tc>
          <w:tcPr>
            <w:tcW w:w="962" w:type="dxa"/>
            <w:tcBorders>
              <w:top w:val="nil"/>
              <w:left w:val="nil"/>
              <w:bottom w:val="single" w:sz="4" w:space="0" w:color="auto"/>
              <w:right w:val="single" w:sz="4" w:space="0" w:color="auto"/>
            </w:tcBorders>
            <w:shd w:val="clear" w:color="000000" w:fill="FFFFFF"/>
            <w:vAlign w:val="center"/>
            <w:hideMark/>
          </w:tcPr>
          <w:p w:rsidR="00147730" w:rsidRPr="004F40E8" w:rsidRDefault="00147730" w:rsidP="00147730">
            <w:pPr>
              <w:spacing w:line="228" w:lineRule="auto"/>
              <w:jc w:val="center"/>
              <w:rPr>
                <w:rFonts w:ascii="Arial Narrow" w:hAnsi="Arial Narrow"/>
                <w:b/>
                <w:bCs/>
                <w:sz w:val="16"/>
                <w:szCs w:val="16"/>
              </w:rPr>
            </w:pPr>
            <w:r w:rsidRPr="004F40E8">
              <w:rPr>
                <w:rFonts w:ascii="Arial Narrow" w:hAnsi="Arial Narrow"/>
                <w:b/>
                <w:bCs/>
                <w:sz w:val="16"/>
                <w:szCs w:val="16"/>
              </w:rPr>
              <w:t>Πρόβλεψη</w:t>
            </w:r>
          </w:p>
        </w:tc>
      </w:tr>
      <w:tr w:rsidR="0050750B" w:rsidRPr="004F40E8" w:rsidTr="00147730">
        <w:trPr>
          <w:trHeight w:val="187"/>
        </w:trPr>
        <w:tc>
          <w:tcPr>
            <w:tcW w:w="5454" w:type="dxa"/>
            <w:tcBorders>
              <w:top w:val="nil"/>
              <w:left w:val="single" w:sz="4" w:space="0" w:color="auto"/>
              <w:bottom w:val="nil"/>
              <w:right w:val="nil"/>
            </w:tcBorders>
            <w:shd w:val="clear" w:color="auto" w:fill="D9D9D9" w:themeFill="background1" w:themeFillShade="D9"/>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I. Καθαρά έσοδα κρατικού προϋπολογισμού κατά ESA (α+β+γ+δ+ε+στ-ζ)</w:t>
            </w:r>
          </w:p>
        </w:tc>
        <w:tc>
          <w:tcPr>
            <w:tcW w:w="992"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53.603</w:t>
            </w:r>
          </w:p>
        </w:tc>
        <w:tc>
          <w:tcPr>
            <w:tcW w:w="850"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54.710</w:t>
            </w:r>
          </w:p>
        </w:tc>
        <w:tc>
          <w:tcPr>
            <w:tcW w:w="740"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49.103</w:t>
            </w:r>
          </w:p>
        </w:tc>
        <w:tc>
          <w:tcPr>
            <w:tcW w:w="962" w:type="dxa"/>
            <w:tcBorders>
              <w:top w:val="nil"/>
              <w:left w:val="nil"/>
              <w:bottom w:val="nil"/>
              <w:right w:val="single" w:sz="4" w:space="0" w:color="auto"/>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52.469</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α. Φόροι (1+2+3+4+5+6+7)</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51.189</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52.165</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44.265</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47.836</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 xml:space="preserve">    1. Φόροι επί αγαθών και υπηρεσιών </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27.869</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28.557</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23.971</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26.401</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 xml:space="preserve">        εκ των οποίων: Φόροι προστιθέμενης αξίας </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17.678</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18.276</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15.001</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17.466</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 xml:space="preserve">                                 Ειδικοί φόροι κατανάλωσης </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7.102</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7.214</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6.463</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6.601</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 xml:space="preserve">    2. Φόροι και δασμοί επί εισαγωγών </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298</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322</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240</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286</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 xml:space="preserve">    3. Τακτικοί φόροι ακίνητης περιουσίας </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2.722</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2.829</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2.676</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2.667</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 xml:space="preserve">    4. Λοιποί φόροι επί παραγωγής</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1.060</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1.130</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1.168</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1.109</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 xml:space="preserve">    5. Φόρος εισοδήματος </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16.568</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16.663</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13.676</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14.741</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 xml:space="preserve">        εκ των οποίων: Φόρος εισοδήματος πληρωτέος από Φυσικά Πρόσωπα (ΦΠ) </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10.920</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11.415</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10.030</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10.193</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 xml:space="preserve">                                 Φόρος εισοδήματος πληρωτέος από εταιρίες (ΝΠ) </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4.485</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4.017</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2.586</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3.416</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 xml:space="preserve">    6. Φόροι κεφαλαίου </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249</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273</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175</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214</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 xml:space="preserve">    7. Λοιποί τρέχοντες φόροι </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2.423</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2.391</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2.359</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2.419</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 xml:space="preserve">β. Κοινωνικές εισφορές </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55</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55</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54</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54</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 xml:space="preserve">γ. Μεταβιβάσεις </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4.511</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4.592</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6.832</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6.842</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 xml:space="preserve">δ. Πωλήσεις αγαθών και υπηρεσιών </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722</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687</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569</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656</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 xml:space="preserve">ε. Λοιπά τρέχοντα έσοδα </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2.482</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1.806</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2.719</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2.007</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 xml:space="preserve">   </w:t>
            </w:r>
            <w:r w:rsidRPr="00CB11D5">
              <w:rPr>
                <w:rFonts w:ascii="Arial Narrow" w:hAnsi="Arial Narrow"/>
                <w:sz w:val="16"/>
                <w:szCs w:val="14"/>
              </w:rPr>
              <w:t>εκ των οποίων: ε1. Επιστροφές δαπανών για τόκους</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40</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0</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15</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0</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στ. Πωλήσεις παγίων περιουσιακών στοιχείων</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332</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25</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330</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ζ. Επιστροφές εσόδων</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5.358</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4.926</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5.360</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5.256</w:t>
            </w:r>
          </w:p>
        </w:tc>
      </w:tr>
      <w:tr w:rsidR="0050750B" w:rsidRPr="00091B3B" w:rsidTr="00892230">
        <w:trPr>
          <w:trHeight w:val="113"/>
        </w:trPr>
        <w:tc>
          <w:tcPr>
            <w:tcW w:w="5454" w:type="dxa"/>
            <w:tcBorders>
              <w:top w:val="nil"/>
              <w:left w:val="single" w:sz="4" w:space="0" w:color="auto"/>
              <w:bottom w:val="nil"/>
              <w:right w:val="nil"/>
            </w:tcBorders>
            <w:shd w:val="clear" w:color="000000" w:fill="FFFFFF"/>
            <w:noWrap/>
            <w:vAlign w:val="center"/>
            <w:hideMark/>
          </w:tcPr>
          <w:p w:rsidR="0050750B" w:rsidRPr="00091B3B" w:rsidRDefault="0050750B" w:rsidP="00147730">
            <w:pPr>
              <w:rPr>
                <w:rFonts w:ascii="Arial Narrow" w:hAnsi="Arial Narrow"/>
                <w:b/>
                <w:bCs/>
                <w:sz w:val="10"/>
                <w:szCs w:val="14"/>
              </w:rPr>
            </w:pPr>
          </w:p>
        </w:tc>
        <w:tc>
          <w:tcPr>
            <w:tcW w:w="992" w:type="dxa"/>
            <w:tcBorders>
              <w:top w:val="nil"/>
              <w:left w:val="nil"/>
              <w:bottom w:val="nil"/>
              <w:right w:val="nil"/>
            </w:tcBorders>
            <w:shd w:val="clear" w:color="000000" w:fill="FFFFFF"/>
            <w:noWrap/>
            <w:vAlign w:val="center"/>
            <w:hideMark/>
          </w:tcPr>
          <w:p w:rsidR="0050750B" w:rsidRPr="00091B3B" w:rsidRDefault="0050750B" w:rsidP="0050750B">
            <w:pPr>
              <w:ind w:right="170"/>
              <w:jc w:val="right"/>
              <w:rPr>
                <w:rFonts w:ascii="Arial Narrow" w:hAnsi="Arial Narrow"/>
                <w:sz w:val="10"/>
                <w:szCs w:val="16"/>
              </w:rPr>
            </w:pPr>
          </w:p>
        </w:tc>
        <w:tc>
          <w:tcPr>
            <w:tcW w:w="850" w:type="dxa"/>
            <w:tcBorders>
              <w:top w:val="nil"/>
              <w:left w:val="nil"/>
              <w:bottom w:val="nil"/>
              <w:right w:val="nil"/>
            </w:tcBorders>
            <w:shd w:val="clear" w:color="000000" w:fill="FFFFFF"/>
            <w:noWrap/>
            <w:vAlign w:val="center"/>
            <w:hideMark/>
          </w:tcPr>
          <w:p w:rsidR="0050750B" w:rsidRPr="00091B3B" w:rsidRDefault="0050750B" w:rsidP="0050750B">
            <w:pPr>
              <w:ind w:right="170"/>
              <w:jc w:val="right"/>
              <w:rPr>
                <w:rFonts w:ascii="Arial Narrow" w:hAnsi="Arial Narrow"/>
                <w:sz w:val="10"/>
                <w:szCs w:val="16"/>
              </w:rPr>
            </w:pPr>
          </w:p>
        </w:tc>
        <w:tc>
          <w:tcPr>
            <w:tcW w:w="740" w:type="dxa"/>
            <w:tcBorders>
              <w:top w:val="nil"/>
              <w:left w:val="nil"/>
              <w:bottom w:val="nil"/>
              <w:right w:val="nil"/>
            </w:tcBorders>
            <w:shd w:val="clear" w:color="000000" w:fill="FFFFFF"/>
            <w:noWrap/>
            <w:vAlign w:val="center"/>
            <w:hideMark/>
          </w:tcPr>
          <w:p w:rsidR="0050750B" w:rsidRPr="00091B3B" w:rsidRDefault="0050750B" w:rsidP="0050750B">
            <w:pPr>
              <w:ind w:right="170"/>
              <w:jc w:val="right"/>
              <w:rPr>
                <w:rFonts w:ascii="Arial Narrow" w:hAnsi="Arial Narrow"/>
                <w:sz w:val="10"/>
                <w:szCs w:val="16"/>
              </w:rPr>
            </w:pPr>
          </w:p>
        </w:tc>
        <w:tc>
          <w:tcPr>
            <w:tcW w:w="962" w:type="dxa"/>
            <w:tcBorders>
              <w:top w:val="nil"/>
              <w:left w:val="nil"/>
              <w:bottom w:val="nil"/>
              <w:right w:val="single" w:sz="4" w:space="0" w:color="auto"/>
            </w:tcBorders>
            <w:shd w:val="clear" w:color="000000" w:fill="FFFFFF"/>
            <w:noWrap/>
            <w:vAlign w:val="center"/>
            <w:hideMark/>
          </w:tcPr>
          <w:p w:rsidR="0050750B" w:rsidRPr="00091B3B" w:rsidRDefault="0050750B" w:rsidP="0050750B">
            <w:pPr>
              <w:ind w:right="170"/>
              <w:jc w:val="right"/>
              <w:rPr>
                <w:rFonts w:ascii="Arial Narrow" w:hAnsi="Arial Narrow"/>
                <w:sz w:val="10"/>
                <w:szCs w:val="16"/>
              </w:rPr>
            </w:pP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Πληροφοριακά στοιχεία:</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i/>
                <w:iCs/>
                <w:sz w:val="16"/>
                <w:szCs w:val="14"/>
              </w:rPr>
            </w:pPr>
            <w:r w:rsidRPr="00CB11D5">
              <w:rPr>
                <w:rFonts w:ascii="Arial Narrow" w:hAnsi="Arial Narrow"/>
                <w:i/>
                <w:iCs/>
                <w:sz w:val="16"/>
                <w:szCs w:val="14"/>
              </w:rPr>
              <w:t>Πρόγραμμα Δημοσίων Επενδύσεων (ΠΔΕ)</w:t>
            </w:r>
            <w:r>
              <w:rPr>
                <w:rFonts w:ascii="Arial Narrow" w:hAnsi="Arial Narrow"/>
                <w:i/>
                <w:iCs/>
                <w:sz w:val="16"/>
                <w:szCs w:val="14"/>
                <w:vertAlign w:val="superscript"/>
              </w:rPr>
              <w:t>1</w:t>
            </w:r>
            <w:r w:rsidRPr="00CB11D5">
              <w:rPr>
                <w:rFonts w:ascii="Arial Narrow" w:hAnsi="Arial Narrow"/>
                <w:i/>
                <w:iCs/>
                <w:sz w:val="16"/>
                <w:szCs w:val="14"/>
              </w:rPr>
              <w:t xml:space="preserve"> </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i/>
                <w:iCs/>
                <w:sz w:val="16"/>
                <w:szCs w:val="16"/>
              </w:rPr>
            </w:pPr>
            <w:r>
              <w:rPr>
                <w:rFonts w:ascii="Arial Narrow" w:hAnsi="Arial Narrow"/>
                <w:i/>
                <w:iCs/>
                <w:sz w:val="16"/>
                <w:szCs w:val="16"/>
              </w:rPr>
              <w:t>2.815</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i/>
                <w:iCs/>
                <w:sz w:val="16"/>
                <w:szCs w:val="16"/>
              </w:rPr>
            </w:pPr>
            <w:r>
              <w:rPr>
                <w:rFonts w:ascii="Arial Narrow" w:hAnsi="Arial Narrow"/>
                <w:i/>
                <w:iCs/>
                <w:sz w:val="16"/>
                <w:szCs w:val="16"/>
              </w:rPr>
              <w:t>4.100</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i/>
                <w:iCs/>
                <w:sz w:val="16"/>
                <w:szCs w:val="16"/>
              </w:rPr>
            </w:pPr>
            <w:r>
              <w:rPr>
                <w:rFonts w:ascii="Arial Narrow" w:hAnsi="Arial Narrow"/>
                <w:i/>
                <w:iCs/>
                <w:sz w:val="16"/>
                <w:szCs w:val="16"/>
              </w:rPr>
              <w:t>6.230</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i/>
                <w:iCs/>
                <w:sz w:val="16"/>
                <w:szCs w:val="16"/>
              </w:rPr>
            </w:pPr>
            <w:r>
              <w:rPr>
                <w:rFonts w:ascii="Arial Narrow" w:hAnsi="Arial Narrow"/>
                <w:i/>
                <w:iCs/>
                <w:sz w:val="16"/>
                <w:szCs w:val="16"/>
              </w:rPr>
              <w:t>4.092</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147730" w:rsidRDefault="0050750B" w:rsidP="00147730">
            <w:pPr>
              <w:rPr>
                <w:rFonts w:ascii="Arial Narrow" w:hAnsi="Arial Narrow"/>
                <w:i/>
                <w:iCs/>
                <w:sz w:val="16"/>
                <w:szCs w:val="14"/>
                <w:vertAlign w:val="superscript"/>
              </w:rPr>
            </w:pPr>
            <w:r>
              <w:rPr>
                <w:rFonts w:ascii="Arial Narrow" w:hAnsi="Arial Narrow"/>
                <w:i/>
                <w:iCs/>
                <w:sz w:val="16"/>
                <w:szCs w:val="14"/>
              </w:rPr>
              <w:t>Ταμείο Ανάκαμψης και Σταθερότητας</w:t>
            </w:r>
            <w:r>
              <w:rPr>
                <w:rFonts w:ascii="Arial Narrow" w:hAnsi="Arial Narrow"/>
                <w:i/>
                <w:iCs/>
                <w:sz w:val="16"/>
                <w:szCs w:val="14"/>
                <w:vertAlign w:val="superscript"/>
              </w:rPr>
              <w:t>2</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i/>
                <w:iCs/>
                <w:sz w:val="16"/>
                <w:szCs w:val="16"/>
              </w:rPr>
            </w:pPr>
            <w:r>
              <w:rPr>
                <w:rFonts w:ascii="Arial Narrow" w:hAnsi="Arial Narrow"/>
                <w:i/>
                <w:iCs/>
                <w:sz w:val="16"/>
                <w:szCs w:val="16"/>
              </w:rPr>
              <w:t>0</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i/>
                <w:iCs/>
                <w:sz w:val="16"/>
                <w:szCs w:val="16"/>
              </w:rPr>
            </w:pPr>
            <w:r>
              <w:rPr>
                <w:rFonts w:ascii="Arial Narrow" w:hAnsi="Arial Narrow"/>
                <w:i/>
                <w:iCs/>
                <w:sz w:val="16"/>
                <w:szCs w:val="16"/>
              </w:rPr>
              <w:t>0</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i/>
                <w:iCs/>
                <w:sz w:val="16"/>
                <w:szCs w:val="16"/>
              </w:rPr>
            </w:pPr>
            <w:r>
              <w:rPr>
                <w:rFonts w:ascii="Arial Narrow" w:hAnsi="Arial Narrow"/>
                <w:i/>
                <w:iCs/>
                <w:sz w:val="16"/>
                <w:szCs w:val="16"/>
              </w:rPr>
              <w:t>0</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i/>
                <w:iCs/>
                <w:sz w:val="16"/>
                <w:szCs w:val="16"/>
              </w:rPr>
            </w:pPr>
            <w:r>
              <w:rPr>
                <w:rFonts w:ascii="Arial Narrow" w:hAnsi="Arial Narrow"/>
                <w:i/>
                <w:iCs/>
                <w:sz w:val="16"/>
                <w:szCs w:val="16"/>
              </w:rPr>
              <w:t>2.635</w:t>
            </w:r>
          </w:p>
        </w:tc>
      </w:tr>
      <w:tr w:rsidR="0050750B" w:rsidRPr="00794001" w:rsidTr="00147730">
        <w:trPr>
          <w:trHeight w:val="187"/>
        </w:trPr>
        <w:tc>
          <w:tcPr>
            <w:tcW w:w="5454" w:type="dxa"/>
            <w:tcBorders>
              <w:top w:val="nil"/>
              <w:left w:val="single" w:sz="4" w:space="0" w:color="auto"/>
              <w:bottom w:val="nil"/>
              <w:right w:val="nil"/>
            </w:tcBorders>
            <w:shd w:val="clear" w:color="auto" w:fill="D9D9D9" w:themeFill="background1" w:themeFillShade="D9"/>
            <w:noWrap/>
            <w:vAlign w:val="center"/>
            <w:hideMark/>
          </w:tcPr>
          <w:p w:rsidR="0050750B" w:rsidRPr="00147730" w:rsidRDefault="0050750B" w:rsidP="00147730">
            <w:pPr>
              <w:rPr>
                <w:rFonts w:ascii="Arial Narrow" w:hAnsi="Arial Narrow"/>
                <w:b/>
                <w:bCs/>
                <w:sz w:val="16"/>
                <w:szCs w:val="14"/>
              </w:rPr>
            </w:pPr>
            <w:r w:rsidRPr="00CB11D5">
              <w:rPr>
                <w:rFonts w:ascii="Arial Narrow" w:hAnsi="Arial Narrow"/>
                <w:b/>
                <w:bCs/>
                <w:sz w:val="16"/>
                <w:szCs w:val="14"/>
              </w:rPr>
              <w:t>II. Δαπάνες κρατικού προϋπολογισμού κατά ESA (α+β+γ+δ+ε+στ+ζ+η+θ+ι)</w:t>
            </w:r>
          </w:p>
        </w:tc>
        <w:tc>
          <w:tcPr>
            <w:tcW w:w="992"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55.970</w:t>
            </w:r>
          </w:p>
        </w:tc>
        <w:tc>
          <w:tcPr>
            <w:tcW w:w="850"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57.163</w:t>
            </w:r>
          </w:p>
        </w:tc>
        <w:tc>
          <w:tcPr>
            <w:tcW w:w="740"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69.332</w:t>
            </w:r>
          </w:p>
        </w:tc>
        <w:tc>
          <w:tcPr>
            <w:tcW w:w="962" w:type="dxa"/>
            <w:tcBorders>
              <w:top w:val="nil"/>
              <w:left w:val="nil"/>
              <w:bottom w:val="nil"/>
              <w:right w:val="single" w:sz="4" w:space="0" w:color="auto"/>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67.184</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jc w:val="both"/>
              <w:rPr>
                <w:rFonts w:ascii="Arial Narrow" w:hAnsi="Arial Narrow"/>
                <w:b/>
                <w:bCs/>
                <w:sz w:val="16"/>
                <w:szCs w:val="14"/>
              </w:rPr>
            </w:pPr>
            <w:r w:rsidRPr="00CB11D5">
              <w:rPr>
                <w:rFonts w:ascii="Arial Narrow" w:hAnsi="Arial Narrow"/>
                <w:b/>
                <w:bCs/>
                <w:sz w:val="16"/>
                <w:szCs w:val="14"/>
              </w:rPr>
              <w:t xml:space="preserve">α. Παροχές σε εργαζομένους </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12.914</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13.390</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13.411</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13.531</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 xml:space="preserve">β. Κοινωνικές παροχές </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649</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134</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241</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199</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 xml:space="preserve">γ. Μεταβιβάσεις </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28.296</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27.844</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36.560</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30.804</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 xml:space="preserve">δ. Αγορές αγαθών και υπηρεσιών </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1.500</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968</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1.702</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1.084</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 xml:space="preserve">ε. Επιδοτήσεις </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224</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89</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102</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80</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b/>
                <w:bCs/>
                <w:sz w:val="16"/>
                <w:szCs w:val="14"/>
                <w:vertAlign w:val="superscript"/>
              </w:rPr>
            </w:pPr>
            <w:r w:rsidRPr="00CB11D5">
              <w:rPr>
                <w:rFonts w:ascii="Arial Narrow" w:hAnsi="Arial Narrow"/>
                <w:b/>
                <w:bCs/>
                <w:sz w:val="16"/>
                <w:szCs w:val="14"/>
              </w:rPr>
              <w:t xml:space="preserve">στ. Τόκοι (σε ακαθάριστη βάση) </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6.443</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6.000</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5.850</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5.700</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 xml:space="preserve">ζ. Λοιπές δαπάνες </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50</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71</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72</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91</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 xml:space="preserve">η. Πιστώσεις υπό κατανομή </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5.642</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8.245</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10.783</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14.094</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 xml:space="preserve">θ. Αγορές παγίων περιουσιακών στοιχείων </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252</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421</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612</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1.599</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 xml:space="preserve">ι. Τιμαλφή </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0</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0</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0</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0</w:t>
            </w:r>
          </w:p>
        </w:tc>
      </w:tr>
      <w:tr w:rsidR="0050750B" w:rsidRPr="00091B3B" w:rsidTr="00892230">
        <w:trPr>
          <w:trHeight w:val="113"/>
        </w:trPr>
        <w:tc>
          <w:tcPr>
            <w:tcW w:w="5454" w:type="dxa"/>
            <w:tcBorders>
              <w:top w:val="nil"/>
              <w:left w:val="single" w:sz="4" w:space="0" w:color="auto"/>
              <w:bottom w:val="nil"/>
              <w:right w:val="nil"/>
            </w:tcBorders>
            <w:shd w:val="clear" w:color="000000" w:fill="FFFFFF"/>
            <w:noWrap/>
            <w:vAlign w:val="center"/>
            <w:hideMark/>
          </w:tcPr>
          <w:p w:rsidR="0050750B" w:rsidRPr="00091B3B" w:rsidRDefault="0050750B" w:rsidP="00147730">
            <w:pPr>
              <w:rPr>
                <w:rFonts w:ascii="Arial Narrow" w:hAnsi="Arial Narrow"/>
                <w:b/>
                <w:bCs/>
                <w:sz w:val="10"/>
                <w:szCs w:val="14"/>
              </w:rPr>
            </w:pPr>
          </w:p>
        </w:tc>
        <w:tc>
          <w:tcPr>
            <w:tcW w:w="992" w:type="dxa"/>
            <w:tcBorders>
              <w:top w:val="nil"/>
              <w:left w:val="nil"/>
              <w:bottom w:val="nil"/>
              <w:right w:val="nil"/>
            </w:tcBorders>
            <w:shd w:val="clear" w:color="000000" w:fill="FFFFFF"/>
            <w:noWrap/>
            <w:vAlign w:val="center"/>
            <w:hideMark/>
          </w:tcPr>
          <w:p w:rsidR="0050750B" w:rsidRPr="00091B3B" w:rsidRDefault="0050750B" w:rsidP="0050750B">
            <w:pPr>
              <w:ind w:right="170"/>
              <w:jc w:val="right"/>
              <w:rPr>
                <w:rFonts w:ascii="Arial Narrow" w:hAnsi="Arial Narrow"/>
                <w:b/>
                <w:bCs/>
                <w:sz w:val="10"/>
                <w:szCs w:val="16"/>
              </w:rPr>
            </w:pPr>
          </w:p>
        </w:tc>
        <w:tc>
          <w:tcPr>
            <w:tcW w:w="850" w:type="dxa"/>
            <w:tcBorders>
              <w:top w:val="nil"/>
              <w:left w:val="nil"/>
              <w:bottom w:val="nil"/>
              <w:right w:val="nil"/>
            </w:tcBorders>
            <w:shd w:val="clear" w:color="000000" w:fill="FFFFFF"/>
            <w:noWrap/>
            <w:vAlign w:val="center"/>
            <w:hideMark/>
          </w:tcPr>
          <w:p w:rsidR="0050750B" w:rsidRPr="00091B3B" w:rsidRDefault="0050750B" w:rsidP="0050750B">
            <w:pPr>
              <w:ind w:right="170"/>
              <w:jc w:val="right"/>
              <w:rPr>
                <w:rFonts w:ascii="Arial Narrow" w:hAnsi="Arial Narrow"/>
                <w:b/>
                <w:bCs/>
                <w:sz w:val="10"/>
                <w:szCs w:val="16"/>
              </w:rPr>
            </w:pPr>
          </w:p>
        </w:tc>
        <w:tc>
          <w:tcPr>
            <w:tcW w:w="740" w:type="dxa"/>
            <w:tcBorders>
              <w:top w:val="nil"/>
              <w:left w:val="nil"/>
              <w:bottom w:val="nil"/>
              <w:right w:val="nil"/>
            </w:tcBorders>
            <w:shd w:val="clear" w:color="000000" w:fill="FFFFFF"/>
            <w:noWrap/>
            <w:vAlign w:val="center"/>
            <w:hideMark/>
          </w:tcPr>
          <w:p w:rsidR="0050750B" w:rsidRPr="00091B3B" w:rsidRDefault="0050750B" w:rsidP="0050750B">
            <w:pPr>
              <w:ind w:right="170"/>
              <w:jc w:val="right"/>
              <w:rPr>
                <w:rFonts w:ascii="Arial Narrow" w:hAnsi="Arial Narrow"/>
                <w:b/>
                <w:bCs/>
                <w:sz w:val="10"/>
                <w:szCs w:val="16"/>
              </w:rPr>
            </w:pPr>
          </w:p>
        </w:tc>
        <w:tc>
          <w:tcPr>
            <w:tcW w:w="962" w:type="dxa"/>
            <w:tcBorders>
              <w:top w:val="nil"/>
              <w:left w:val="nil"/>
              <w:bottom w:val="nil"/>
              <w:right w:val="single" w:sz="4" w:space="0" w:color="auto"/>
            </w:tcBorders>
            <w:shd w:val="clear" w:color="000000" w:fill="FFFFFF"/>
            <w:noWrap/>
            <w:vAlign w:val="center"/>
            <w:hideMark/>
          </w:tcPr>
          <w:p w:rsidR="0050750B" w:rsidRPr="00091B3B" w:rsidRDefault="0050750B" w:rsidP="0050750B">
            <w:pPr>
              <w:ind w:right="170"/>
              <w:jc w:val="right"/>
              <w:rPr>
                <w:rFonts w:ascii="Arial Narrow" w:hAnsi="Arial Narrow"/>
                <w:b/>
                <w:bCs/>
                <w:sz w:val="10"/>
                <w:szCs w:val="16"/>
              </w:rPr>
            </w:pP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Πληροφοριακά στοιχεία:</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b/>
                <w:bCs/>
                <w:sz w:val="16"/>
                <w:szCs w:val="16"/>
              </w:rPr>
            </w:pP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i/>
                <w:iCs/>
                <w:sz w:val="16"/>
                <w:szCs w:val="14"/>
              </w:rPr>
            </w:pPr>
            <w:r w:rsidRPr="00CB11D5">
              <w:rPr>
                <w:rFonts w:ascii="Arial Narrow" w:hAnsi="Arial Narrow"/>
                <w:i/>
                <w:iCs/>
                <w:sz w:val="16"/>
                <w:szCs w:val="14"/>
              </w:rPr>
              <w:t>Πρόγραμμα Δημοσίων Επενδύσεων (ΠΔΕ)</w:t>
            </w:r>
            <w:r>
              <w:rPr>
                <w:rFonts w:ascii="Arial Narrow" w:hAnsi="Arial Narrow"/>
                <w:i/>
                <w:iCs/>
                <w:sz w:val="16"/>
                <w:szCs w:val="14"/>
                <w:vertAlign w:val="superscript"/>
              </w:rPr>
              <w:t>1</w:t>
            </w:r>
            <w:r w:rsidRPr="00CB11D5">
              <w:rPr>
                <w:rFonts w:ascii="Arial Narrow" w:hAnsi="Arial Narrow"/>
                <w:i/>
                <w:iCs/>
                <w:sz w:val="16"/>
                <w:szCs w:val="14"/>
              </w:rPr>
              <w:t xml:space="preserve"> </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i/>
                <w:iCs/>
                <w:sz w:val="16"/>
                <w:szCs w:val="16"/>
              </w:rPr>
            </w:pPr>
            <w:r>
              <w:rPr>
                <w:rFonts w:ascii="Arial Narrow" w:hAnsi="Arial Narrow"/>
                <w:i/>
                <w:iCs/>
                <w:sz w:val="16"/>
                <w:szCs w:val="16"/>
              </w:rPr>
              <w:t>5.642</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i/>
                <w:iCs/>
                <w:sz w:val="16"/>
                <w:szCs w:val="16"/>
              </w:rPr>
            </w:pPr>
            <w:r>
              <w:rPr>
                <w:rFonts w:ascii="Arial Narrow" w:hAnsi="Arial Narrow"/>
                <w:i/>
                <w:iCs/>
                <w:sz w:val="16"/>
                <w:szCs w:val="16"/>
              </w:rPr>
              <w:t>6.750</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i/>
                <w:iCs/>
                <w:sz w:val="16"/>
                <w:szCs w:val="16"/>
              </w:rPr>
            </w:pPr>
            <w:r>
              <w:rPr>
                <w:rFonts w:ascii="Arial Narrow" w:hAnsi="Arial Narrow"/>
                <w:i/>
                <w:iCs/>
                <w:sz w:val="16"/>
                <w:szCs w:val="16"/>
              </w:rPr>
              <w:t>10.421</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i/>
                <w:iCs/>
                <w:sz w:val="16"/>
                <w:szCs w:val="16"/>
              </w:rPr>
            </w:pPr>
            <w:r>
              <w:rPr>
                <w:rFonts w:ascii="Arial Narrow" w:hAnsi="Arial Narrow"/>
                <w:i/>
                <w:iCs/>
                <w:sz w:val="16"/>
                <w:szCs w:val="16"/>
              </w:rPr>
              <w:t>6.750</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147730" w:rsidRDefault="0050750B" w:rsidP="00147730">
            <w:pPr>
              <w:rPr>
                <w:rFonts w:ascii="Arial Narrow" w:hAnsi="Arial Narrow"/>
                <w:i/>
                <w:iCs/>
                <w:sz w:val="16"/>
                <w:szCs w:val="14"/>
                <w:vertAlign w:val="superscript"/>
              </w:rPr>
            </w:pPr>
            <w:r>
              <w:rPr>
                <w:rFonts w:ascii="Arial Narrow" w:hAnsi="Arial Narrow"/>
                <w:i/>
                <w:iCs/>
                <w:sz w:val="16"/>
                <w:szCs w:val="14"/>
              </w:rPr>
              <w:t>Ταμείο Ανάκαμψης και Σταθερότητας</w:t>
            </w:r>
            <w:r>
              <w:rPr>
                <w:rFonts w:ascii="Arial Narrow" w:hAnsi="Arial Narrow"/>
                <w:i/>
                <w:iCs/>
                <w:sz w:val="16"/>
                <w:szCs w:val="14"/>
                <w:vertAlign w:val="superscript"/>
              </w:rPr>
              <w:t>2</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i/>
                <w:iCs/>
                <w:sz w:val="16"/>
                <w:szCs w:val="16"/>
              </w:rPr>
            </w:pPr>
            <w:r>
              <w:rPr>
                <w:rFonts w:ascii="Arial Narrow" w:hAnsi="Arial Narrow"/>
                <w:i/>
                <w:iCs/>
                <w:sz w:val="16"/>
                <w:szCs w:val="16"/>
              </w:rPr>
              <w:t>0</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i/>
                <w:iCs/>
                <w:sz w:val="16"/>
                <w:szCs w:val="16"/>
              </w:rPr>
            </w:pPr>
            <w:r>
              <w:rPr>
                <w:rFonts w:ascii="Arial Narrow" w:hAnsi="Arial Narrow"/>
                <w:i/>
                <w:iCs/>
                <w:sz w:val="16"/>
                <w:szCs w:val="16"/>
              </w:rPr>
              <w:t>0</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i/>
                <w:iCs/>
                <w:sz w:val="16"/>
                <w:szCs w:val="16"/>
              </w:rPr>
            </w:pPr>
            <w:r>
              <w:rPr>
                <w:rFonts w:ascii="Arial Narrow" w:hAnsi="Arial Narrow"/>
                <w:i/>
                <w:iCs/>
                <w:sz w:val="16"/>
                <w:szCs w:val="16"/>
              </w:rPr>
              <w:t>0</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i/>
                <w:iCs/>
                <w:sz w:val="16"/>
                <w:szCs w:val="16"/>
              </w:rPr>
            </w:pPr>
            <w:r>
              <w:rPr>
                <w:rFonts w:ascii="Arial Narrow" w:hAnsi="Arial Narrow"/>
                <w:i/>
                <w:iCs/>
                <w:sz w:val="16"/>
                <w:szCs w:val="16"/>
              </w:rPr>
              <w:t>2.635</w:t>
            </w:r>
          </w:p>
        </w:tc>
      </w:tr>
      <w:tr w:rsidR="0050750B" w:rsidRPr="00794001" w:rsidTr="00147730">
        <w:trPr>
          <w:trHeight w:val="187"/>
        </w:trPr>
        <w:tc>
          <w:tcPr>
            <w:tcW w:w="5454" w:type="dxa"/>
            <w:tcBorders>
              <w:top w:val="nil"/>
              <w:left w:val="single" w:sz="4" w:space="0" w:color="auto"/>
              <w:bottom w:val="nil"/>
              <w:right w:val="nil"/>
            </w:tcBorders>
            <w:shd w:val="clear" w:color="auto" w:fill="D9D9D9" w:themeFill="background1" w:themeFillShade="D9"/>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 xml:space="preserve">III. Ισοζύγιο κρατικού προϋπολογισμού κατά ESA (Ι-ΙI) </w:t>
            </w:r>
          </w:p>
        </w:tc>
        <w:tc>
          <w:tcPr>
            <w:tcW w:w="992"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-2.367</w:t>
            </w:r>
          </w:p>
        </w:tc>
        <w:tc>
          <w:tcPr>
            <w:tcW w:w="850"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-2.453</w:t>
            </w:r>
          </w:p>
        </w:tc>
        <w:tc>
          <w:tcPr>
            <w:tcW w:w="740"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-20.228</w:t>
            </w:r>
          </w:p>
        </w:tc>
        <w:tc>
          <w:tcPr>
            <w:tcW w:w="962" w:type="dxa"/>
            <w:tcBorders>
              <w:top w:val="nil"/>
              <w:left w:val="nil"/>
              <w:bottom w:val="nil"/>
              <w:right w:val="single" w:sz="4" w:space="0" w:color="auto"/>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-14.715</w:t>
            </w:r>
          </w:p>
        </w:tc>
      </w:tr>
      <w:tr w:rsidR="0050750B" w:rsidRPr="00794001" w:rsidTr="00147730">
        <w:trPr>
          <w:trHeight w:val="187"/>
        </w:trPr>
        <w:tc>
          <w:tcPr>
            <w:tcW w:w="5454" w:type="dxa"/>
            <w:tcBorders>
              <w:top w:val="nil"/>
              <w:left w:val="single" w:sz="4" w:space="0" w:color="auto"/>
              <w:bottom w:val="nil"/>
              <w:right w:val="nil"/>
            </w:tcBorders>
            <w:shd w:val="clear" w:color="auto" w:fill="D9D9D9" w:themeFill="background1" w:themeFillShade="D9"/>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 ΑΕΠ</w:t>
            </w:r>
          </w:p>
        </w:tc>
        <w:tc>
          <w:tcPr>
            <w:tcW w:w="992"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-1,3%</w:t>
            </w:r>
          </w:p>
        </w:tc>
        <w:tc>
          <w:tcPr>
            <w:tcW w:w="850"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-1,2%</w:t>
            </w:r>
          </w:p>
        </w:tc>
        <w:tc>
          <w:tcPr>
            <w:tcW w:w="740"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-12,4%</w:t>
            </w:r>
          </w:p>
        </w:tc>
        <w:tc>
          <w:tcPr>
            <w:tcW w:w="962" w:type="dxa"/>
            <w:tcBorders>
              <w:top w:val="nil"/>
              <w:left w:val="nil"/>
              <w:bottom w:val="nil"/>
              <w:right w:val="single" w:sz="4" w:space="0" w:color="auto"/>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-8,6%</w:t>
            </w:r>
          </w:p>
        </w:tc>
      </w:tr>
      <w:tr w:rsidR="0050750B" w:rsidRPr="00794001" w:rsidTr="00147730">
        <w:trPr>
          <w:trHeight w:val="187"/>
        </w:trPr>
        <w:tc>
          <w:tcPr>
            <w:tcW w:w="5454" w:type="dxa"/>
            <w:tcBorders>
              <w:top w:val="nil"/>
              <w:left w:val="single" w:sz="4" w:space="0" w:color="auto"/>
              <w:bottom w:val="nil"/>
              <w:right w:val="nil"/>
            </w:tcBorders>
            <w:shd w:val="clear" w:color="auto" w:fill="D9D9D9" w:themeFill="background1" w:themeFillShade="D9"/>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IV. Πρωτογενές αποτέλεσμα κρατικού προϋπολογισμού κατά ESA (III+II.στ-I.ε1)</w:t>
            </w:r>
          </w:p>
        </w:tc>
        <w:tc>
          <w:tcPr>
            <w:tcW w:w="992"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4.036</w:t>
            </w:r>
          </w:p>
        </w:tc>
        <w:tc>
          <w:tcPr>
            <w:tcW w:w="850"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3.547</w:t>
            </w:r>
          </w:p>
        </w:tc>
        <w:tc>
          <w:tcPr>
            <w:tcW w:w="740"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-14.393</w:t>
            </w:r>
          </w:p>
        </w:tc>
        <w:tc>
          <w:tcPr>
            <w:tcW w:w="962" w:type="dxa"/>
            <w:tcBorders>
              <w:top w:val="nil"/>
              <w:left w:val="nil"/>
              <w:bottom w:val="nil"/>
              <w:right w:val="single" w:sz="4" w:space="0" w:color="auto"/>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-9.015</w:t>
            </w:r>
          </w:p>
        </w:tc>
      </w:tr>
      <w:tr w:rsidR="0050750B" w:rsidRPr="00794001" w:rsidTr="00147730">
        <w:trPr>
          <w:trHeight w:val="187"/>
        </w:trPr>
        <w:tc>
          <w:tcPr>
            <w:tcW w:w="5454" w:type="dxa"/>
            <w:tcBorders>
              <w:top w:val="nil"/>
              <w:left w:val="single" w:sz="4" w:space="0" w:color="auto"/>
              <w:bottom w:val="nil"/>
              <w:right w:val="nil"/>
            </w:tcBorders>
            <w:shd w:val="clear" w:color="auto" w:fill="D9D9D9" w:themeFill="background1" w:themeFillShade="D9"/>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 ΑΕΠ</w:t>
            </w:r>
          </w:p>
        </w:tc>
        <w:tc>
          <w:tcPr>
            <w:tcW w:w="992"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2,2%</w:t>
            </w:r>
          </w:p>
        </w:tc>
        <w:tc>
          <w:tcPr>
            <w:tcW w:w="850"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1,8%</w:t>
            </w:r>
          </w:p>
        </w:tc>
        <w:tc>
          <w:tcPr>
            <w:tcW w:w="740"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-8,8%</w:t>
            </w:r>
          </w:p>
        </w:tc>
        <w:tc>
          <w:tcPr>
            <w:tcW w:w="962" w:type="dxa"/>
            <w:tcBorders>
              <w:top w:val="nil"/>
              <w:left w:val="nil"/>
              <w:bottom w:val="nil"/>
              <w:right w:val="single" w:sz="4" w:space="0" w:color="auto"/>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-5,2%</w:t>
            </w:r>
          </w:p>
        </w:tc>
      </w:tr>
      <w:tr w:rsidR="0050750B" w:rsidRPr="00203422" w:rsidTr="004106FC">
        <w:trPr>
          <w:trHeight w:val="57"/>
        </w:trPr>
        <w:tc>
          <w:tcPr>
            <w:tcW w:w="5454" w:type="dxa"/>
            <w:tcBorders>
              <w:top w:val="nil"/>
              <w:left w:val="single" w:sz="4" w:space="0" w:color="auto"/>
              <w:bottom w:val="nil"/>
              <w:right w:val="nil"/>
            </w:tcBorders>
            <w:shd w:val="clear" w:color="000000" w:fill="FFFFFF"/>
            <w:noWrap/>
            <w:vAlign w:val="center"/>
            <w:hideMark/>
          </w:tcPr>
          <w:p w:rsidR="0050750B" w:rsidRPr="00203422" w:rsidRDefault="0050750B" w:rsidP="00147730">
            <w:pPr>
              <w:rPr>
                <w:rFonts w:ascii="Arial Narrow" w:hAnsi="Arial Narrow"/>
                <w:i/>
                <w:iCs/>
                <w:sz w:val="12"/>
                <w:szCs w:val="14"/>
              </w:rPr>
            </w:pPr>
          </w:p>
        </w:tc>
        <w:tc>
          <w:tcPr>
            <w:tcW w:w="992" w:type="dxa"/>
            <w:tcBorders>
              <w:top w:val="nil"/>
              <w:left w:val="nil"/>
              <w:bottom w:val="nil"/>
              <w:right w:val="nil"/>
            </w:tcBorders>
            <w:shd w:val="clear" w:color="000000" w:fill="FFFFFF"/>
            <w:noWrap/>
            <w:vAlign w:val="center"/>
            <w:hideMark/>
          </w:tcPr>
          <w:p w:rsidR="0050750B" w:rsidRPr="00203422" w:rsidRDefault="0050750B" w:rsidP="0050750B">
            <w:pPr>
              <w:ind w:right="170"/>
              <w:jc w:val="right"/>
              <w:rPr>
                <w:rFonts w:ascii="Arial Narrow" w:hAnsi="Arial Narrow"/>
                <w:i/>
                <w:iCs/>
                <w:sz w:val="12"/>
                <w:szCs w:val="16"/>
              </w:rPr>
            </w:pPr>
          </w:p>
        </w:tc>
        <w:tc>
          <w:tcPr>
            <w:tcW w:w="850" w:type="dxa"/>
            <w:tcBorders>
              <w:top w:val="nil"/>
              <w:left w:val="nil"/>
              <w:bottom w:val="nil"/>
              <w:right w:val="nil"/>
            </w:tcBorders>
            <w:shd w:val="clear" w:color="000000" w:fill="FFFFFF"/>
            <w:noWrap/>
            <w:vAlign w:val="center"/>
            <w:hideMark/>
          </w:tcPr>
          <w:p w:rsidR="0050750B" w:rsidRPr="00203422" w:rsidRDefault="0050750B" w:rsidP="0050750B">
            <w:pPr>
              <w:ind w:right="170"/>
              <w:jc w:val="right"/>
              <w:rPr>
                <w:rFonts w:ascii="Arial Narrow" w:hAnsi="Arial Narrow"/>
                <w:b/>
                <w:bCs/>
                <w:i/>
                <w:iCs/>
                <w:sz w:val="12"/>
                <w:szCs w:val="16"/>
              </w:rPr>
            </w:pPr>
          </w:p>
        </w:tc>
        <w:tc>
          <w:tcPr>
            <w:tcW w:w="740" w:type="dxa"/>
            <w:tcBorders>
              <w:top w:val="nil"/>
              <w:left w:val="nil"/>
              <w:bottom w:val="nil"/>
              <w:right w:val="nil"/>
            </w:tcBorders>
            <w:shd w:val="clear" w:color="000000" w:fill="FFFFFF"/>
            <w:noWrap/>
            <w:vAlign w:val="center"/>
            <w:hideMark/>
          </w:tcPr>
          <w:p w:rsidR="0050750B" w:rsidRPr="00203422" w:rsidRDefault="0050750B" w:rsidP="0050750B">
            <w:pPr>
              <w:ind w:right="170"/>
              <w:jc w:val="right"/>
              <w:rPr>
                <w:rFonts w:ascii="Arial Narrow" w:hAnsi="Arial Narrow"/>
                <w:b/>
                <w:bCs/>
                <w:i/>
                <w:iCs/>
                <w:sz w:val="12"/>
                <w:szCs w:val="16"/>
              </w:rPr>
            </w:pPr>
          </w:p>
        </w:tc>
        <w:tc>
          <w:tcPr>
            <w:tcW w:w="962" w:type="dxa"/>
            <w:tcBorders>
              <w:top w:val="nil"/>
              <w:left w:val="nil"/>
              <w:bottom w:val="nil"/>
              <w:right w:val="single" w:sz="4" w:space="0" w:color="auto"/>
            </w:tcBorders>
            <w:shd w:val="clear" w:color="000000" w:fill="FFFFFF"/>
            <w:noWrap/>
            <w:vAlign w:val="center"/>
            <w:hideMark/>
          </w:tcPr>
          <w:p w:rsidR="0050750B" w:rsidRPr="00203422" w:rsidRDefault="0050750B" w:rsidP="0050750B">
            <w:pPr>
              <w:ind w:right="170"/>
              <w:jc w:val="right"/>
              <w:rPr>
                <w:rFonts w:ascii="Arial Narrow" w:hAnsi="Arial Narrow"/>
                <w:b/>
                <w:bCs/>
                <w:i/>
                <w:iCs/>
                <w:sz w:val="12"/>
                <w:szCs w:val="16"/>
              </w:rPr>
            </w:pPr>
          </w:p>
        </w:tc>
      </w:tr>
      <w:tr w:rsidR="0050750B" w:rsidRPr="00794001" w:rsidTr="00147730">
        <w:trPr>
          <w:trHeight w:val="187"/>
        </w:trPr>
        <w:tc>
          <w:tcPr>
            <w:tcW w:w="5454" w:type="dxa"/>
            <w:tcBorders>
              <w:top w:val="nil"/>
              <w:left w:val="single" w:sz="4" w:space="0" w:color="auto"/>
              <w:bottom w:val="nil"/>
              <w:right w:val="nil"/>
            </w:tcBorders>
            <w:shd w:val="clear" w:color="auto" w:fill="D9D9D9" w:themeFill="background1" w:themeFillShade="D9"/>
            <w:noWrap/>
            <w:vAlign w:val="center"/>
            <w:hideMark/>
          </w:tcPr>
          <w:p w:rsidR="0050750B" w:rsidRPr="00CB11D5" w:rsidRDefault="0050750B" w:rsidP="00570B7B">
            <w:pPr>
              <w:rPr>
                <w:rFonts w:ascii="Arial Narrow" w:hAnsi="Arial Narrow"/>
                <w:b/>
                <w:bCs/>
                <w:sz w:val="16"/>
                <w:szCs w:val="14"/>
              </w:rPr>
            </w:pPr>
            <w:r w:rsidRPr="00CB11D5">
              <w:rPr>
                <w:rFonts w:ascii="Arial Narrow" w:hAnsi="Arial Narrow"/>
                <w:b/>
                <w:bCs/>
                <w:sz w:val="16"/>
                <w:szCs w:val="14"/>
              </w:rPr>
              <w:t>V. Ισοζύγιο νομικών προσώπων κατά ESA</w:t>
            </w:r>
          </w:p>
        </w:tc>
        <w:tc>
          <w:tcPr>
            <w:tcW w:w="992"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3.521</w:t>
            </w:r>
          </w:p>
        </w:tc>
        <w:tc>
          <w:tcPr>
            <w:tcW w:w="850"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2.785</w:t>
            </w:r>
          </w:p>
        </w:tc>
        <w:tc>
          <w:tcPr>
            <w:tcW w:w="740"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3.931</w:t>
            </w:r>
          </w:p>
        </w:tc>
        <w:tc>
          <w:tcPr>
            <w:tcW w:w="962" w:type="dxa"/>
            <w:tcBorders>
              <w:top w:val="nil"/>
              <w:left w:val="nil"/>
              <w:bottom w:val="nil"/>
              <w:right w:val="single" w:sz="4" w:space="0" w:color="auto"/>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2.463</w:t>
            </w:r>
          </w:p>
        </w:tc>
      </w:tr>
      <w:tr w:rsidR="0050750B" w:rsidRPr="00A40DA5"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 xml:space="preserve">Έσοδα </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9.559</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9.661</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10.208</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9.302</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Pr>
                <w:rFonts w:ascii="Arial Narrow" w:hAnsi="Arial Narrow"/>
                <w:sz w:val="16"/>
                <w:szCs w:val="14"/>
              </w:rPr>
              <w:t>Τρέχουσες και</w:t>
            </w:r>
            <w:r w:rsidRPr="00CB11D5">
              <w:rPr>
                <w:rFonts w:ascii="Arial Narrow" w:hAnsi="Arial Narrow"/>
                <w:sz w:val="16"/>
                <w:szCs w:val="14"/>
              </w:rPr>
              <w:t xml:space="preserve"> λοιπές κεφαλαιακές μεταβιβάσεις</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4.052</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4.025</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4.793</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3.545</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Τόκοι πιστωτικοί</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897</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755</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700</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600</w:t>
            </w:r>
          </w:p>
        </w:tc>
      </w:tr>
      <w:tr w:rsidR="0050750B" w:rsidRPr="00794001" w:rsidTr="00A4221C">
        <w:trPr>
          <w:trHeight w:val="187"/>
        </w:trPr>
        <w:tc>
          <w:tcPr>
            <w:tcW w:w="5454" w:type="dxa"/>
            <w:tcBorders>
              <w:top w:val="nil"/>
              <w:left w:val="single" w:sz="4" w:space="0" w:color="auto"/>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Φόροι</w:t>
            </w:r>
          </w:p>
        </w:tc>
        <w:tc>
          <w:tcPr>
            <w:tcW w:w="992" w:type="dxa"/>
            <w:tcBorders>
              <w:top w:val="nil"/>
              <w:left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1.840</w:t>
            </w:r>
          </w:p>
        </w:tc>
        <w:tc>
          <w:tcPr>
            <w:tcW w:w="850" w:type="dxa"/>
            <w:tcBorders>
              <w:top w:val="nil"/>
              <w:left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1.936</w:t>
            </w:r>
          </w:p>
        </w:tc>
        <w:tc>
          <w:tcPr>
            <w:tcW w:w="740" w:type="dxa"/>
            <w:tcBorders>
              <w:top w:val="nil"/>
              <w:left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1.591</w:t>
            </w:r>
          </w:p>
        </w:tc>
        <w:tc>
          <w:tcPr>
            <w:tcW w:w="962" w:type="dxa"/>
            <w:tcBorders>
              <w:top w:val="nil"/>
              <w:left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2.116</w:t>
            </w:r>
          </w:p>
        </w:tc>
      </w:tr>
      <w:tr w:rsidR="0050750B" w:rsidRPr="00794001" w:rsidTr="00A4221C">
        <w:trPr>
          <w:trHeight w:val="187"/>
        </w:trPr>
        <w:tc>
          <w:tcPr>
            <w:tcW w:w="5454" w:type="dxa"/>
            <w:tcBorders>
              <w:top w:val="nil"/>
              <w:left w:val="single" w:sz="4" w:space="0" w:color="auto"/>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Αντικριζόμενα έσοδα (καθαρά)</w:t>
            </w:r>
          </w:p>
        </w:tc>
        <w:tc>
          <w:tcPr>
            <w:tcW w:w="992" w:type="dxa"/>
            <w:tcBorders>
              <w:top w:val="nil"/>
              <w:left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-9</w:t>
            </w:r>
          </w:p>
        </w:tc>
        <w:tc>
          <w:tcPr>
            <w:tcW w:w="850" w:type="dxa"/>
            <w:tcBorders>
              <w:top w:val="nil"/>
              <w:left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w:t>
            </w:r>
          </w:p>
        </w:tc>
        <w:tc>
          <w:tcPr>
            <w:tcW w:w="740" w:type="dxa"/>
            <w:tcBorders>
              <w:top w:val="nil"/>
              <w:left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0</w:t>
            </w:r>
          </w:p>
        </w:tc>
        <w:tc>
          <w:tcPr>
            <w:tcW w:w="962" w:type="dxa"/>
            <w:tcBorders>
              <w:top w:val="nil"/>
              <w:left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0</w:t>
            </w:r>
          </w:p>
        </w:tc>
      </w:tr>
      <w:tr w:rsidR="0050750B" w:rsidRPr="00794001" w:rsidTr="00A4221C">
        <w:trPr>
          <w:trHeight w:val="187"/>
        </w:trPr>
        <w:tc>
          <w:tcPr>
            <w:tcW w:w="5454" w:type="dxa"/>
            <w:tcBorders>
              <w:left w:val="single" w:sz="4" w:space="0" w:color="auto"/>
              <w:bottom w:val="single" w:sz="4" w:space="0" w:color="auto"/>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Λοιπά έσοδα</w:t>
            </w:r>
          </w:p>
        </w:tc>
        <w:tc>
          <w:tcPr>
            <w:tcW w:w="992" w:type="dxa"/>
            <w:tcBorders>
              <w:left w:val="nil"/>
              <w:bottom w:val="single" w:sz="4" w:space="0" w:color="auto"/>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2.780</w:t>
            </w:r>
          </w:p>
        </w:tc>
        <w:tc>
          <w:tcPr>
            <w:tcW w:w="850" w:type="dxa"/>
            <w:tcBorders>
              <w:left w:val="nil"/>
              <w:bottom w:val="single" w:sz="4" w:space="0" w:color="auto"/>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2.946</w:t>
            </w:r>
          </w:p>
        </w:tc>
        <w:tc>
          <w:tcPr>
            <w:tcW w:w="740" w:type="dxa"/>
            <w:tcBorders>
              <w:left w:val="nil"/>
              <w:bottom w:val="single" w:sz="4" w:space="0" w:color="auto"/>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3.124</w:t>
            </w:r>
          </w:p>
        </w:tc>
        <w:tc>
          <w:tcPr>
            <w:tcW w:w="962" w:type="dxa"/>
            <w:tcBorders>
              <w:left w:val="nil"/>
              <w:bottom w:val="single" w:sz="4" w:space="0" w:color="auto"/>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3.041</w:t>
            </w:r>
          </w:p>
        </w:tc>
      </w:tr>
      <w:tr w:rsidR="0050750B" w:rsidRPr="00794001" w:rsidTr="00A4221C">
        <w:trPr>
          <w:trHeight w:val="187"/>
        </w:trPr>
        <w:tc>
          <w:tcPr>
            <w:tcW w:w="5454" w:type="dxa"/>
            <w:tcBorders>
              <w:top w:val="single" w:sz="4" w:space="0" w:color="auto"/>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lastRenderedPageBreak/>
              <w:t xml:space="preserve">Έξοδα </w:t>
            </w:r>
          </w:p>
        </w:tc>
        <w:tc>
          <w:tcPr>
            <w:tcW w:w="992" w:type="dxa"/>
            <w:tcBorders>
              <w:top w:val="single" w:sz="4" w:space="0" w:color="auto"/>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6.039</w:t>
            </w:r>
          </w:p>
        </w:tc>
        <w:tc>
          <w:tcPr>
            <w:tcW w:w="850" w:type="dxa"/>
            <w:tcBorders>
              <w:top w:val="single" w:sz="4" w:space="0" w:color="auto"/>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6.876</w:t>
            </w:r>
          </w:p>
        </w:tc>
        <w:tc>
          <w:tcPr>
            <w:tcW w:w="740" w:type="dxa"/>
            <w:tcBorders>
              <w:top w:val="single" w:sz="4" w:space="0" w:color="auto"/>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6.276</w:t>
            </w:r>
          </w:p>
        </w:tc>
        <w:tc>
          <w:tcPr>
            <w:tcW w:w="962" w:type="dxa"/>
            <w:tcBorders>
              <w:top w:val="single" w:sz="4" w:space="0" w:color="auto"/>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6.839</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Pr>
                <w:rFonts w:ascii="Arial Narrow" w:hAnsi="Arial Narrow"/>
                <w:sz w:val="16"/>
                <w:szCs w:val="14"/>
              </w:rPr>
              <w:t>Παροχές σε εργαζομέ</w:t>
            </w:r>
            <w:r w:rsidRPr="00CB11D5">
              <w:rPr>
                <w:rFonts w:ascii="Arial Narrow" w:hAnsi="Arial Narrow"/>
                <w:sz w:val="16"/>
                <w:szCs w:val="14"/>
              </w:rPr>
              <w:t>νους</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1.272</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1.309</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1.287</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1.317</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Τόκοι χρεωστικοί</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436</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442</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405</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388</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Λοιπά έξοδα</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2.127</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2.240</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2.185</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2.390</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Επενδυτικές δαπάνες</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796</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1.396</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843</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1.272</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Λοιπές μεταβιβάσεις</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349</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289</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306</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322</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Επιδοτήσεις</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1.058</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1.200</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1.250</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1.150</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iCs/>
                <w:sz w:val="16"/>
                <w:szCs w:val="14"/>
              </w:rPr>
            </w:pP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i/>
                <w:iCs/>
                <w:sz w:val="16"/>
                <w:szCs w:val="16"/>
              </w:rPr>
            </w:pP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i/>
                <w:iCs/>
                <w:sz w:val="16"/>
                <w:szCs w:val="16"/>
              </w:rPr>
            </w:pP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i/>
                <w:iCs/>
                <w:sz w:val="16"/>
                <w:szCs w:val="16"/>
              </w:rPr>
            </w:pP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b/>
                <w:bCs/>
                <w:i/>
                <w:iCs/>
                <w:sz w:val="16"/>
                <w:szCs w:val="16"/>
              </w:rPr>
            </w:pPr>
          </w:p>
        </w:tc>
      </w:tr>
      <w:tr w:rsidR="0050750B" w:rsidRPr="00794001" w:rsidTr="00147730">
        <w:trPr>
          <w:trHeight w:val="187"/>
        </w:trPr>
        <w:tc>
          <w:tcPr>
            <w:tcW w:w="5454" w:type="dxa"/>
            <w:tcBorders>
              <w:top w:val="nil"/>
              <w:left w:val="single" w:sz="4" w:space="0" w:color="auto"/>
              <w:bottom w:val="nil"/>
              <w:right w:val="nil"/>
            </w:tcBorders>
            <w:shd w:val="clear" w:color="auto" w:fill="D9D9D9" w:themeFill="background1" w:themeFillShade="D9"/>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VΙ. Ισοζύγιο Νοσοκομείων - ΠΦΥ κατά ESA</w:t>
            </w:r>
          </w:p>
        </w:tc>
        <w:tc>
          <w:tcPr>
            <w:tcW w:w="992"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-258</w:t>
            </w:r>
          </w:p>
        </w:tc>
        <w:tc>
          <w:tcPr>
            <w:tcW w:w="850"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-25</w:t>
            </w:r>
          </w:p>
        </w:tc>
        <w:tc>
          <w:tcPr>
            <w:tcW w:w="740"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-70</w:t>
            </w:r>
          </w:p>
        </w:tc>
        <w:tc>
          <w:tcPr>
            <w:tcW w:w="962" w:type="dxa"/>
            <w:tcBorders>
              <w:top w:val="nil"/>
              <w:left w:val="nil"/>
              <w:bottom w:val="nil"/>
              <w:right w:val="single" w:sz="4" w:space="0" w:color="auto"/>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-14</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Έσοδα</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2.353</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2.437</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2.693</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2.690</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Pr>
                <w:rFonts w:ascii="Arial Narrow" w:hAnsi="Arial Narrow"/>
                <w:sz w:val="16"/>
                <w:szCs w:val="14"/>
              </w:rPr>
              <w:t>Τρέχουσες και</w:t>
            </w:r>
            <w:r w:rsidRPr="00CB11D5">
              <w:rPr>
                <w:rFonts w:ascii="Arial Narrow" w:hAnsi="Arial Narrow"/>
                <w:sz w:val="16"/>
                <w:szCs w:val="14"/>
              </w:rPr>
              <w:t xml:space="preserve"> λοιπές κεφαλαιακές μεταβιβάσεις</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1.455</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1.339</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1.584</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1.564</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Μεταβιβάσεις από ΕΟΠΥΥ</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738</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888</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888</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888</w:t>
            </w:r>
          </w:p>
        </w:tc>
      </w:tr>
      <w:tr w:rsidR="0050750B" w:rsidRPr="00794001" w:rsidTr="00A4221C">
        <w:trPr>
          <w:trHeight w:val="187"/>
        </w:trPr>
        <w:tc>
          <w:tcPr>
            <w:tcW w:w="5454" w:type="dxa"/>
            <w:tcBorders>
              <w:top w:val="nil"/>
              <w:left w:val="single" w:sz="4" w:space="0" w:color="auto"/>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Αντικριζόμενα έσοδα (καθαρά)</w:t>
            </w:r>
          </w:p>
        </w:tc>
        <w:tc>
          <w:tcPr>
            <w:tcW w:w="992" w:type="dxa"/>
            <w:tcBorders>
              <w:top w:val="nil"/>
              <w:left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-61</w:t>
            </w:r>
          </w:p>
        </w:tc>
        <w:tc>
          <w:tcPr>
            <w:tcW w:w="850" w:type="dxa"/>
            <w:tcBorders>
              <w:top w:val="nil"/>
              <w:left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0</w:t>
            </w:r>
          </w:p>
        </w:tc>
        <w:tc>
          <w:tcPr>
            <w:tcW w:w="740" w:type="dxa"/>
            <w:tcBorders>
              <w:top w:val="nil"/>
              <w:left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0</w:t>
            </w:r>
          </w:p>
        </w:tc>
        <w:tc>
          <w:tcPr>
            <w:tcW w:w="962" w:type="dxa"/>
            <w:tcBorders>
              <w:top w:val="nil"/>
              <w:left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0</w:t>
            </w:r>
          </w:p>
        </w:tc>
      </w:tr>
      <w:tr w:rsidR="0050750B" w:rsidRPr="00794001" w:rsidTr="00A4221C">
        <w:trPr>
          <w:trHeight w:val="187"/>
        </w:trPr>
        <w:tc>
          <w:tcPr>
            <w:tcW w:w="5454" w:type="dxa"/>
            <w:tcBorders>
              <w:top w:val="nil"/>
              <w:left w:val="single" w:sz="4" w:space="0" w:color="auto"/>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Λοιπά έσοδα</w:t>
            </w:r>
          </w:p>
        </w:tc>
        <w:tc>
          <w:tcPr>
            <w:tcW w:w="992" w:type="dxa"/>
            <w:tcBorders>
              <w:top w:val="nil"/>
              <w:left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221</w:t>
            </w:r>
          </w:p>
        </w:tc>
        <w:tc>
          <w:tcPr>
            <w:tcW w:w="850" w:type="dxa"/>
            <w:tcBorders>
              <w:top w:val="nil"/>
              <w:left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210</w:t>
            </w:r>
          </w:p>
        </w:tc>
        <w:tc>
          <w:tcPr>
            <w:tcW w:w="740" w:type="dxa"/>
            <w:tcBorders>
              <w:top w:val="nil"/>
              <w:left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221</w:t>
            </w:r>
          </w:p>
        </w:tc>
        <w:tc>
          <w:tcPr>
            <w:tcW w:w="962" w:type="dxa"/>
            <w:tcBorders>
              <w:top w:val="nil"/>
              <w:left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238</w:t>
            </w:r>
          </w:p>
        </w:tc>
      </w:tr>
      <w:tr w:rsidR="0050750B" w:rsidRPr="00794001" w:rsidTr="00A4221C">
        <w:trPr>
          <w:trHeight w:val="187"/>
        </w:trPr>
        <w:tc>
          <w:tcPr>
            <w:tcW w:w="5454" w:type="dxa"/>
            <w:tcBorders>
              <w:left w:val="single" w:sz="4" w:space="0" w:color="auto"/>
              <w:right w:val="nil"/>
            </w:tcBorders>
            <w:shd w:val="clear" w:color="000000" w:fill="FFFFFF"/>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Έξοδα</w:t>
            </w:r>
          </w:p>
        </w:tc>
        <w:tc>
          <w:tcPr>
            <w:tcW w:w="992" w:type="dxa"/>
            <w:tcBorders>
              <w:left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2.610</w:t>
            </w:r>
          </w:p>
        </w:tc>
        <w:tc>
          <w:tcPr>
            <w:tcW w:w="850" w:type="dxa"/>
            <w:tcBorders>
              <w:left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2.461</w:t>
            </w:r>
          </w:p>
        </w:tc>
        <w:tc>
          <w:tcPr>
            <w:tcW w:w="740" w:type="dxa"/>
            <w:tcBorders>
              <w:left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2.764</w:t>
            </w:r>
          </w:p>
        </w:tc>
        <w:tc>
          <w:tcPr>
            <w:tcW w:w="962" w:type="dxa"/>
            <w:tcBorders>
              <w:left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2.704</w:t>
            </w:r>
          </w:p>
        </w:tc>
      </w:tr>
      <w:tr w:rsidR="0050750B" w:rsidRPr="00794001" w:rsidTr="00147730">
        <w:trPr>
          <w:trHeight w:val="187"/>
        </w:trPr>
        <w:tc>
          <w:tcPr>
            <w:tcW w:w="5454" w:type="dxa"/>
            <w:tcBorders>
              <w:top w:val="nil"/>
              <w:left w:val="single" w:sz="4" w:space="0" w:color="auto"/>
              <w:right w:val="nil"/>
            </w:tcBorders>
            <w:shd w:val="clear" w:color="000000" w:fill="FFFFFF"/>
            <w:noWrap/>
            <w:vAlign w:val="center"/>
            <w:hideMark/>
          </w:tcPr>
          <w:p w:rsidR="0050750B" w:rsidRPr="00CB11D5" w:rsidRDefault="0050750B" w:rsidP="00147730">
            <w:pPr>
              <w:rPr>
                <w:rFonts w:ascii="Arial Narrow" w:hAnsi="Arial Narrow"/>
                <w:sz w:val="16"/>
                <w:szCs w:val="14"/>
              </w:rPr>
            </w:pPr>
            <w:r>
              <w:rPr>
                <w:rFonts w:ascii="Arial Narrow" w:hAnsi="Arial Narrow"/>
                <w:sz w:val="16"/>
                <w:szCs w:val="14"/>
              </w:rPr>
              <w:t>Παροχές σε ε</w:t>
            </w:r>
            <w:r w:rsidRPr="00CB11D5">
              <w:rPr>
                <w:rFonts w:ascii="Arial Narrow" w:hAnsi="Arial Narrow"/>
                <w:sz w:val="16"/>
                <w:szCs w:val="14"/>
              </w:rPr>
              <w:t>ργαζομένους</w:t>
            </w:r>
          </w:p>
        </w:tc>
        <w:tc>
          <w:tcPr>
            <w:tcW w:w="992" w:type="dxa"/>
            <w:tcBorders>
              <w:top w:val="nil"/>
              <w:left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554</w:t>
            </w:r>
          </w:p>
        </w:tc>
        <w:tc>
          <w:tcPr>
            <w:tcW w:w="850" w:type="dxa"/>
            <w:tcBorders>
              <w:top w:val="nil"/>
              <w:left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596</w:t>
            </w:r>
          </w:p>
        </w:tc>
        <w:tc>
          <w:tcPr>
            <w:tcW w:w="740" w:type="dxa"/>
            <w:tcBorders>
              <w:top w:val="nil"/>
              <w:left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648</w:t>
            </w:r>
          </w:p>
        </w:tc>
        <w:tc>
          <w:tcPr>
            <w:tcW w:w="962" w:type="dxa"/>
            <w:tcBorders>
              <w:top w:val="nil"/>
              <w:left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707</w:t>
            </w:r>
          </w:p>
        </w:tc>
      </w:tr>
      <w:tr w:rsidR="0050750B" w:rsidRPr="00794001" w:rsidTr="00147730">
        <w:trPr>
          <w:trHeight w:val="187"/>
        </w:trPr>
        <w:tc>
          <w:tcPr>
            <w:tcW w:w="5454" w:type="dxa"/>
            <w:tcBorders>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Τόκοι χρεωστικοί</w:t>
            </w:r>
          </w:p>
        </w:tc>
        <w:tc>
          <w:tcPr>
            <w:tcW w:w="992" w:type="dxa"/>
            <w:tcBorders>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0</w:t>
            </w:r>
          </w:p>
        </w:tc>
        <w:tc>
          <w:tcPr>
            <w:tcW w:w="850" w:type="dxa"/>
            <w:tcBorders>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0</w:t>
            </w:r>
          </w:p>
        </w:tc>
        <w:tc>
          <w:tcPr>
            <w:tcW w:w="740" w:type="dxa"/>
            <w:tcBorders>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0</w:t>
            </w:r>
          </w:p>
        </w:tc>
        <w:tc>
          <w:tcPr>
            <w:tcW w:w="962" w:type="dxa"/>
            <w:tcBorders>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0</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Λοιπά έξοδα</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1.955</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1.805</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2.016</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1.895</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Επενδυτικές δαπάνες</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101</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60</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100</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102</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iCs/>
                <w:sz w:val="16"/>
                <w:szCs w:val="14"/>
              </w:rPr>
            </w:pP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i/>
                <w:iCs/>
                <w:sz w:val="16"/>
                <w:szCs w:val="16"/>
              </w:rPr>
            </w:pP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i/>
                <w:iCs/>
                <w:sz w:val="16"/>
                <w:szCs w:val="16"/>
              </w:rPr>
            </w:pP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i/>
                <w:iCs/>
                <w:sz w:val="16"/>
                <w:szCs w:val="16"/>
              </w:rPr>
            </w:pP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b/>
                <w:bCs/>
                <w:i/>
                <w:iCs/>
                <w:sz w:val="16"/>
                <w:szCs w:val="16"/>
              </w:rPr>
            </w:pPr>
          </w:p>
        </w:tc>
      </w:tr>
      <w:tr w:rsidR="0050750B" w:rsidRPr="00794001" w:rsidTr="00147730">
        <w:trPr>
          <w:trHeight w:val="187"/>
        </w:trPr>
        <w:tc>
          <w:tcPr>
            <w:tcW w:w="5454" w:type="dxa"/>
            <w:tcBorders>
              <w:top w:val="nil"/>
              <w:left w:val="single" w:sz="4" w:space="0" w:color="auto"/>
              <w:bottom w:val="nil"/>
              <w:right w:val="nil"/>
            </w:tcBorders>
            <w:shd w:val="clear" w:color="auto" w:fill="D9D9D9" w:themeFill="background1" w:themeFillShade="D9"/>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VΙΙ. Ισοζύγιο Κεντρικής Κυβέρνησης κατά ESA (ΙII+V+VΙ)</w:t>
            </w:r>
          </w:p>
        </w:tc>
        <w:tc>
          <w:tcPr>
            <w:tcW w:w="992"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896</w:t>
            </w:r>
          </w:p>
        </w:tc>
        <w:tc>
          <w:tcPr>
            <w:tcW w:w="850"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308</w:t>
            </w:r>
          </w:p>
        </w:tc>
        <w:tc>
          <w:tcPr>
            <w:tcW w:w="740"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-16.367</w:t>
            </w:r>
          </w:p>
        </w:tc>
        <w:tc>
          <w:tcPr>
            <w:tcW w:w="962" w:type="dxa"/>
            <w:tcBorders>
              <w:top w:val="nil"/>
              <w:left w:val="nil"/>
              <w:bottom w:val="nil"/>
              <w:right w:val="single" w:sz="4" w:space="0" w:color="auto"/>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-12.266</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i/>
                <w:iCs/>
                <w:sz w:val="16"/>
                <w:szCs w:val="14"/>
              </w:rPr>
            </w:pP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i/>
                <w:iCs/>
                <w:sz w:val="16"/>
                <w:szCs w:val="16"/>
              </w:rPr>
            </w:pP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i/>
                <w:iCs/>
                <w:sz w:val="16"/>
                <w:szCs w:val="16"/>
              </w:rPr>
            </w:pP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i/>
                <w:iCs/>
                <w:sz w:val="16"/>
                <w:szCs w:val="16"/>
              </w:rPr>
            </w:pP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b/>
                <w:bCs/>
                <w:i/>
                <w:iCs/>
                <w:sz w:val="16"/>
                <w:szCs w:val="16"/>
              </w:rPr>
            </w:pPr>
          </w:p>
        </w:tc>
      </w:tr>
      <w:tr w:rsidR="0050750B" w:rsidRPr="00794001" w:rsidTr="00147730">
        <w:trPr>
          <w:trHeight w:val="187"/>
        </w:trPr>
        <w:tc>
          <w:tcPr>
            <w:tcW w:w="5454" w:type="dxa"/>
            <w:tcBorders>
              <w:top w:val="nil"/>
              <w:left w:val="single" w:sz="4" w:space="0" w:color="auto"/>
              <w:bottom w:val="nil"/>
              <w:right w:val="nil"/>
            </w:tcBorders>
            <w:shd w:val="clear" w:color="auto" w:fill="D9D9D9" w:themeFill="background1" w:themeFillShade="D9"/>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lang w:val="en-US"/>
              </w:rPr>
              <w:t>V</w:t>
            </w:r>
            <w:r w:rsidRPr="00CB11D5">
              <w:rPr>
                <w:rFonts w:ascii="Arial Narrow" w:hAnsi="Arial Narrow"/>
                <w:b/>
                <w:bCs/>
                <w:sz w:val="16"/>
                <w:szCs w:val="14"/>
              </w:rPr>
              <w:t>I</w:t>
            </w:r>
            <w:r w:rsidRPr="00CB11D5">
              <w:rPr>
                <w:rFonts w:ascii="Arial Narrow" w:hAnsi="Arial Narrow"/>
                <w:b/>
                <w:bCs/>
                <w:sz w:val="16"/>
                <w:szCs w:val="14"/>
                <w:lang w:val="en-US"/>
              </w:rPr>
              <w:t>II</w:t>
            </w:r>
            <w:r w:rsidRPr="00CB11D5">
              <w:rPr>
                <w:rFonts w:ascii="Arial Narrow" w:hAnsi="Arial Narrow"/>
                <w:b/>
                <w:bCs/>
                <w:sz w:val="16"/>
                <w:szCs w:val="14"/>
              </w:rPr>
              <w:t>. Ισοζύγιο OΤΑ κατά ESA</w:t>
            </w:r>
          </w:p>
        </w:tc>
        <w:tc>
          <w:tcPr>
            <w:tcW w:w="992"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88</w:t>
            </w:r>
          </w:p>
        </w:tc>
        <w:tc>
          <w:tcPr>
            <w:tcW w:w="850"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201</w:t>
            </w:r>
          </w:p>
        </w:tc>
        <w:tc>
          <w:tcPr>
            <w:tcW w:w="740"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80</w:t>
            </w:r>
          </w:p>
        </w:tc>
        <w:tc>
          <w:tcPr>
            <w:tcW w:w="962" w:type="dxa"/>
            <w:tcBorders>
              <w:top w:val="nil"/>
              <w:left w:val="nil"/>
              <w:bottom w:val="nil"/>
              <w:right w:val="single" w:sz="4" w:space="0" w:color="auto"/>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-4</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Έσοδα</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5.999</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6.632</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6.342</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6.500</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Pr>
                <w:rFonts w:ascii="Arial Narrow" w:hAnsi="Arial Narrow"/>
                <w:sz w:val="16"/>
                <w:szCs w:val="14"/>
              </w:rPr>
              <w:t>Τρέχουσες και</w:t>
            </w:r>
            <w:r w:rsidRPr="00CB11D5">
              <w:rPr>
                <w:rFonts w:ascii="Arial Narrow" w:hAnsi="Arial Narrow"/>
                <w:sz w:val="16"/>
                <w:szCs w:val="14"/>
              </w:rPr>
              <w:t xml:space="preserve"> λοιπές κεφαλαιακές μεταβιβάσεις</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3.379</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3.820</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3.992</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3.909</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Τόκοι πιστωτικοί</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50</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56</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44</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50</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Αντικριζόμενα έσοδα (καθαρά)</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-25</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-23</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-23</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-23</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Φόροι</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1.741</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1.953</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1.472</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1.659</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Λοιπά έσοδα</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855</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826</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858</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905</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Έξοδα</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5.911</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6.432</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6.263</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6.504</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Pr>
                <w:rFonts w:ascii="Arial Narrow" w:hAnsi="Arial Narrow"/>
                <w:sz w:val="16"/>
                <w:szCs w:val="14"/>
              </w:rPr>
              <w:t>Παροχές σε ε</w:t>
            </w:r>
            <w:r w:rsidRPr="00CB11D5">
              <w:rPr>
                <w:rFonts w:ascii="Arial Narrow" w:hAnsi="Arial Narrow"/>
                <w:sz w:val="16"/>
                <w:szCs w:val="14"/>
              </w:rPr>
              <w:t>ργαζομένους</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2.483</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2.510</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2.558</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2.609</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Τόκοι χρεωστικοί</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59</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55</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46</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51</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Κοινωνικές παροχές</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167</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235</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222</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149</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Λοιπά έξοδα</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1.887</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1.993</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2.000</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1.892</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Επενδυτικές δαπάνες</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1.315</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1.639</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1.437</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1.803</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iCs/>
                <w:sz w:val="16"/>
                <w:szCs w:val="14"/>
              </w:rPr>
            </w:pP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i/>
                <w:iCs/>
                <w:sz w:val="16"/>
                <w:szCs w:val="16"/>
              </w:rPr>
            </w:pP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i/>
                <w:iCs/>
                <w:sz w:val="16"/>
                <w:szCs w:val="16"/>
              </w:rPr>
            </w:pP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i/>
                <w:iCs/>
                <w:sz w:val="16"/>
                <w:szCs w:val="16"/>
              </w:rPr>
            </w:pP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b/>
                <w:bCs/>
                <w:i/>
                <w:iCs/>
                <w:sz w:val="16"/>
                <w:szCs w:val="16"/>
              </w:rPr>
            </w:pPr>
          </w:p>
        </w:tc>
      </w:tr>
      <w:tr w:rsidR="0050750B" w:rsidRPr="00794001" w:rsidTr="00147730">
        <w:trPr>
          <w:trHeight w:val="187"/>
        </w:trPr>
        <w:tc>
          <w:tcPr>
            <w:tcW w:w="5454" w:type="dxa"/>
            <w:tcBorders>
              <w:top w:val="nil"/>
              <w:left w:val="single" w:sz="4" w:space="0" w:color="auto"/>
              <w:bottom w:val="nil"/>
              <w:right w:val="nil"/>
            </w:tcBorders>
            <w:shd w:val="clear" w:color="auto" w:fill="D9D9D9" w:themeFill="background1" w:themeFillShade="D9"/>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lang w:val="en-US"/>
              </w:rPr>
              <w:t>I</w:t>
            </w:r>
            <w:r w:rsidRPr="00CB11D5">
              <w:rPr>
                <w:rFonts w:ascii="Arial Narrow" w:hAnsi="Arial Narrow"/>
                <w:b/>
                <w:bCs/>
                <w:sz w:val="16"/>
                <w:szCs w:val="14"/>
              </w:rPr>
              <w:t>Χ. Ισοζύγιο OKA κατά ESA</w:t>
            </w:r>
          </w:p>
        </w:tc>
        <w:tc>
          <w:tcPr>
            <w:tcW w:w="992"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1.813</w:t>
            </w:r>
          </w:p>
        </w:tc>
        <w:tc>
          <w:tcPr>
            <w:tcW w:w="850"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1.799</w:t>
            </w:r>
          </w:p>
        </w:tc>
        <w:tc>
          <w:tcPr>
            <w:tcW w:w="740"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176</w:t>
            </w:r>
          </w:p>
        </w:tc>
        <w:tc>
          <w:tcPr>
            <w:tcW w:w="962" w:type="dxa"/>
            <w:tcBorders>
              <w:top w:val="nil"/>
              <w:left w:val="nil"/>
              <w:bottom w:val="nil"/>
              <w:right w:val="single" w:sz="4" w:space="0" w:color="auto"/>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754</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Έσοδα</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43.619</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43.360</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44.151</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43.455</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Pr>
                <w:rFonts w:ascii="Arial Narrow" w:hAnsi="Arial Narrow"/>
                <w:sz w:val="16"/>
                <w:szCs w:val="14"/>
              </w:rPr>
              <w:t>Τρέχουσες και</w:t>
            </w:r>
            <w:r w:rsidRPr="00CB11D5">
              <w:rPr>
                <w:rFonts w:ascii="Arial Narrow" w:hAnsi="Arial Narrow"/>
                <w:sz w:val="16"/>
                <w:szCs w:val="14"/>
              </w:rPr>
              <w:t xml:space="preserve"> λοιπές κεφαλαιακές μεταβιβάσεις</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18.832</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18.399</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21.566</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20.403</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Αποδόσεις περιουσίας</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1.376</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1.282</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1.288</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1.263</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Ασφαλιστικές εισφορές (πραγματικές)</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22.409</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22.663</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20.488</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21.197</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Κοινωνικοί πόροι</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762</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764</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591</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393</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Αντικριζόμενα έσοδα (καθαρά)</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-54</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0</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0</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0</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Λοιπά έσοδα</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294</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252</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219</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199</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Έξοδα</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41.806</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41.561</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43.975</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42.701</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Pr>
                <w:rFonts w:ascii="Arial Narrow" w:hAnsi="Arial Narrow"/>
                <w:sz w:val="16"/>
                <w:szCs w:val="14"/>
              </w:rPr>
              <w:t>Παροχές σε ε</w:t>
            </w:r>
            <w:r w:rsidRPr="00CB11D5">
              <w:rPr>
                <w:rFonts w:ascii="Arial Narrow" w:hAnsi="Arial Narrow"/>
                <w:sz w:val="16"/>
                <w:szCs w:val="14"/>
              </w:rPr>
              <w:t>ργαζομένους</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370</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384</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354</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361</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 xml:space="preserve">Κοινωνικές παροχές </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34.881</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35.040</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35.708</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35.820</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ind w:firstLineChars="200" w:firstLine="320"/>
              <w:rPr>
                <w:rFonts w:ascii="Arial Narrow" w:hAnsi="Arial Narrow"/>
                <w:color w:val="000000"/>
                <w:sz w:val="16"/>
                <w:szCs w:val="14"/>
              </w:rPr>
            </w:pPr>
            <w:r w:rsidRPr="00CB11D5">
              <w:rPr>
                <w:rFonts w:ascii="Arial Narrow" w:hAnsi="Arial Narrow"/>
                <w:color w:val="000000"/>
                <w:sz w:val="16"/>
                <w:szCs w:val="14"/>
              </w:rPr>
              <w:t xml:space="preserve">              εκ των οποίων συντάξεις</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29.279</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29.095</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28.881</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29.381</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Κοινωνικές παροχές σε είδος</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3.687</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3.651</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3.968</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3.942</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Λοιπά έξοδα</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370</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598</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534</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555</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Επενδυτικές δαπάνες</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0</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12</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12</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12</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Μεταβιβάσεις</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1.992</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1.500</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2.946</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1.510</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sz w:val="16"/>
                <w:szCs w:val="14"/>
              </w:rPr>
            </w:pPr>
            <w:r w:rsidRPr="00CB11D5">
              <w:rPr>
                <w:rFonts w:ascii="Arial Narrow" w:hAnsi="Arial Narrow"/>
                <w:sz w:val="16"/>
                <w:szCs w:val="14"/>
              </w:rPr>
              <w:t>Επιδοτήσεις</w:t>
            </w: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506</w:t>
            </w: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377</w:t>
            </w: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453</w:t>
            </w: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sz w:val="16"/>
                <w:szCs w:val="16"/>
              </w:rPr>
            </w:pPr>
            <w:r>
              <w:rPr>
                <w:rFonts w:ascii="Arial Narrow" w:hAnsi="Arial Narrow"/>
                <w:sz w:val="16"/>
                <w:szCs w:val="16"/>
              </w:rPr>
              <w:t>500</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color w:val="000000"/>
                <w:sz w:val="16"/>
                <w:szCs w:val="14"/>
                <w:lang w:val="en-US"/>
              </w:rPr>
            </w:pP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i/>
                <w:iCs/>
                <w:sz w:val="16"/>
                <w:szCs w:val="16"/>
              </w:rPr>
            </w:pPr>
          </w:p>
        </w:tc>
        <w:tc>
          <w:tcPr>
            <w:tcW w:w="850" w:type="dxa"/>
            <w:tcBorders>
              <w:top w:val="nil"/>
              <w:left w:val="nil"/>
              <w:bottom w:val="nil"/>
              <w:right w:val="nil"/>
            </w:tcBorders>
            <w:shd w:val="clear" w:color="000000" w:fill="FFFFFF"/>
            <w:noWrap/>
            <w:vAlign w:val="bottom"/>
            <w:hideMark/>
          </w:tcPr>
          <w:p w:rsidR="0050750B" w:rsidRDefault="0050750B" w:rsidP="0050750B">
            <w:pPr>
              <w:ind w:right="170"/>
              <w:jc w:val="right"/>
              <w:rPr>
                <w:rFonts w:ascii="Arial Narrow" w:hAnsi="Arial Narrow"/>
                <w:color w:val="000000"/>
                <w:sz w:val="22"/>
                <w:szCs w:val="22"/>
              </w:rPr>
            </w:pP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i/>
                <w:iCs/>
                <w:sz w:val="16"/>
                <w:szCs w:val="16"/>
              </w:rPr>
            </w:pP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b/>
                <w:bCs/>
                <w:i/>
                <w:iCs/>
                <w:sz w:val="16"/>
                <w:szCs w:val="16"/>
              </w:rPr>
            </w:pPr>
          </w:p>
        </w:tc>
      </w:tr>
      <w:tr w:rsidR="0050750B" w:rsidRPr="00794001" w:rsidTr="00147730">
        <w:trPr>
          <w:trHeight w:val="187"/>
        </w:trPr>
        <w:tc>
          <w:tcPr>
            <w:tcW w:w="5454" w:type="dxa"/>
            <w:tcBorders>
              <w:top w:val="nil"/>
              <w:left w:val="single" w:sz="4" w:space="0" w:color="auto"/>
              <w:bottom w:val="nil"/>
              <w:right w:val="nil"/>
            </w:tcBorders>
            <w:shd w:val="clear" w:color="auto" w:fill="D9D9D9" w:themeFill="background1" w:themeFillShade="D9"/>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Χ. Ισοζύγιο Γενικής Κυβέρνησης κατά ESA (</w:t>
            </w:r>
            <w:r w:rsidRPr="00CB11D5">
              <w:rPr>
                <w:rFonts w:ascii="Arial Narrow" w:hAnsi="Arial Narrow"/>
                <w:b/>
                <w:bCs/>
                <w:sz w:val="16"/>
                <w:szCs w:val="14"/>
                <w:lang w:val="en-US"/>
              </w:rPr>
              <w:t>VII</w:t>
            </w:r>
            <w:r w:rsidRPr="00CB11D5">
              <w:rPr>
                <w:rFonts w:ascii="Arial Narrow" w:hAnsi="Arial Narrow"/>
                <w:b/>
                <w:bCs/>
                <w:sz w:val="16"/>
                <w:szCs w:val="14"/>
              </w:rPr>
              <w:t>+VΙΙ</w:t>
            </w:r>
            <w:r w:rsidRPr="00CB11D5">
              <w:rPr>
                <w:rFonts w:ascii="Arial Narrow" w:hAnsi="Arial Narrow"/>
                <w:b/>
                <w:bCs/>
                <w:sz w:val="16"/>
                <w:szCs w:val="14"/>
                <w:lang w:val="en-US"/>
              </w:rPr>
              <w:t>I</w:t>
            </w:r>
            <w:r w:rsidRPr="00CB11D5">
              <w:rPr>
                <w:rFonts w:ascii="Arial Narrow" w:hAnsi="Arial Narrow"/>
                <w:b/>
                <w:bCs/>
                <w:sz w:val="16"/>
                <w:szCs w:val="14"/>
              </w:rPr>
              <w:t>+IX)</w:t>
            </w:r>
          </w:p>
        </w:tc>
        <w:tc>
          <w:tcPr>
            <w:tcW w:w="992"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2.797</w:t>
            </w:r>
          </w:p>
        </w:tc>
        <w:tc>
          <w:tcPr>
            <w:tcW w:w="850"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2.308</w:t>
            </w:r>
          </w:p>
        </w:tc>
        <w:tc>
          <w:tcPr>
            <w:tcW w:w="740"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-16.111</w:t>
            </w:r>
          </w:p>
        </w:tc>
        <w:tc>
          <w:tcPr>
            <w:tcW w:w="962" w:type="dxa"/>
            <w:tcBorders>
              <w:top w:val="nil"/>
              <w:left w:val="nil"/>
              <w:bottom w:val="nil"/>
              <w:right w:val="single" w:sz="4" w:space="0" w:color="auto"/>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-11.516</w:t>
            </w:r>
          </w:p>
        </w:tc>
      </w:tr>
      <w:tr w:rsidR="0050750B" w:rsidRPr="00794001" w:rsidTr="00147730">
        <w:trPr>
          <w:trHeight w:val="187"/>
        </w:trPr>
        <w:tc>
          <w:tcPr>
            <w:tcW w:w="5454" w:type="dxa"/>
            <w:tcBorders>
              <w:top w:val="nil"/>
              <w:left w:val="single" w:sz="4" w:space="0" w:color="auto"/>
              <w:bottom w:val="nil"/>
              <w:right w:val="nil"/>
            </w:tcBorders>
            <w:shd w:val="clear" w:color="auto" w:fill="D9D9D9" w:themeFill="background1" w:themeFillShade="D9"/>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 ΑΕΠ</w:t>
            </w:r>
          </w:p>
        </w:tc>
        <w:tc>
          <w:tcPr>
            <w:tcW w:w="992"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1,5%</w:t>
            </w:r>
          </w:p>
        </w:tc>
        <w:tc>
          <w:tcPr>
            <w:tcW w:w="850"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1,2%</w:t>
            </w:r>
          </w:p>
        </w:tc>
        <w:tc>
          <w:tcPr>
            <w:tcW w:w="740"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-9,9%</w:t>
            </w:r>
          </w:p>
        </w:tc>
        <w:tc>
          <w:tcPr>
            <w:tcW w:w="962" w:type="dxa"/>
            <w:tcBorders>
              <w:top w:val="nil"/>
              <w:left w:val="nil"/>
              <w:bottom w:val="nil"/>
              <w:right w:val="single" w:sz="4" w:space="0" w:color="auto"/>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-6,7%</w:t>
            </w:r>
          </w:p>
        </w:tc>
      </w:tr>
      <w:tr w:rsidR="0050750B" w:rsidRPr="00794001" w:rsidTr="00147730">
        <w:trPr>
          <w:trHeight w:val="187"/>
        </w:trPr>
        <w:tc>
          <w:tcPr>
            <w:tcW w:w="5454" w:type="dxa"/>
            <w:tcBorders>
              <w:top w:val="nil"/>
              <w:left w:val="single" w:sz="4" w:space="0" w:color="auto"/>
              <w:bottom w:val="nil"/>
              <w:right w:val="nil"/>
            </w:tcBorders>
            <w:shd w:val="clear" w:color="auto" w:fill="D9D9D9" w:themeFill="background1" w:themeFillShade="D9"/>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Χ</w:t>
            </w:r>
            <w:r w:rsidRPr="00CB11D5">
              <w:rPr>
                <w:rFonts w:ascii="Arial Narrow" w:hAnsi="Arial Narrow"/>
                <w:b/>
                <w:bCs/>
                <w:sz w:val="16"/>
                <w:szCs w:val="14"/>
                <w:lang w:val="en-US"/>
              </w:rPr>
              <w:t>I</w:t>
            </w:r>
            <w:r w:rsidRPr="00CB11D5">
              <w:rPr>
                <w:rFonts w:ascii="Arial Narrow" w:hAnsi="Arial Narrow"/>
                <w:b/>
                <w:bCs/>
                <w:sz w:val="16"/>
                <w:szCs w:val="14"/>
              </w:rPr>
              <w:t>. Ενοποιημένοι Τόκοι Γενικής Κυβέρνησης</w:t>
            </w:r>
          </w:p>
        </w:tc>
        <w:tc>
          <w:tcPr>
            <w:tcW w:w="992"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5.507</w:t>
            </w:r>
          </w:p>
        </w:tc>
        <w:tc>
          <w:tcPr>
            <w:tcW w:w="850"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5.180</w:t>
            </w:r>
          </w:p>
        </w:tc>
        <w:tc>
          <w:tcPr>
            <w:tcW w:w="740"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4.970</w:t>
            </w:r>
          </w:p>
        </w:tc>
        <w:tc>
          <w:tcPr>
            <w:tcW w:w="962" w:type="dxa"/>
            <w:tcBorders>
              <w:top w:val="nil"/>
              <w:left w:val="nil"/>
              <w:bottom w:val="nil"/>
              <w:right w:val="single" w:sz="4" w:space="0" w:color="auto"/>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4.925</w:t>
            </w:r>
          </w:p>
        </w:tc>
      </w:tr>
      <w:tr w:rsidR="0050750B" w:rsidRPr="00794001" w:rsidTr="00147730">
        <w:trPr>
          <w:trHeight w:val="187"/>
        </w:trPr>
        <w:tc>
          <w:tcPr>
            <w:tcW w:w="5454" w:type="dxa"/>
            <w:tcBorders>
              <w:top w:val="nil"/>
              <w:left w:val="single" w:sz="4" w:space="0" w:color="auto"/>
              <w:bottom w:val="nil"/>
              <w:right w:val="nil"/>
            </w:tcBorders>
            <w:shd w:val="clear" w:color="auto" w:fill="D9D9D9" w:themeFill="background1" w:themeFillShade="D9"/>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 ΑΕΠ</w:t>
            </w:r>
          </w:p>
        </w:tc>
        <w:tc>
          <w:tcPr>
            <w:tcW w:w="992"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3,0%</w:t>
            </w:r>
          </w:p>
        </w:tc>
        <w:tc>
          <w:tcPr>
            <w:tcW w:w="850"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2,6%</w:t>
            </w:r>
          </w:p>
        </w:tc>
        <w:tc>
          <w:tcPr>
            <w:tcW w:w="740"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3,1%</w:t>
            </w:r>
          </w:p>
        </w:tc>
        <w:tc>
          <w:tcPr>
            <w:tcW w:w="962" w:type="dxa"/>
            <w:tcBorders>
              <w:top w:val="nil"/>
              <w:left w:val="nil"/>
              <w:bottom w:val="nil"/>
              <w:right w:val="single" w:sz="4" w:space="0" w:color="auto"/>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2,9%</w:t>
            </w:r>
          </w:p>
        </w:tc>
      </w:tr>
      <w:tr w:rsidR="0050750B" w:rsidRPr="00794001" w:rsidTr="00147730">
        <w:trPr>
          <w:trHeight w:val="187"/>
        </w:trPr>
        <w:tc>
          <w:tcPr>
            <w:tcW w:w="5454" w:type="dxa"/>
            <w:tcBorders>
              <w:top w:val="nil"/>
              <w:left w:val="single" w:sz="4" w:space="0" w:color="auto"/>
              <w:bottom w:val="nil"/>
              <w:right w:val="nil"/>
            </w:tcBorders>
            <w:shd w:val="clear" w:color="000000" w:fill="FFFFFF"/>
            <w:noWrap/>
            <w:vAlign w:val="center"/>
            <w:hideMark/>
          </w:tcPr>
          <w:p w:rsidR="0050750B" w:rsidRPr="00CB11D5" w:rsidRDefault="0050750B" w:rsidP="00147730">
            <w:pPr>
              <w:rPr>
                <w:rFonts w:ascii="Arial Narrow" w:hAnsi="Arial Narrow"/>
                <w:b/>
                <w:bCs/>
                <w:sz w:val="16"/>
                <w:szCs w:val="14"/>
              </w:rPr>
            </w:pPr>
          </w:p>
        </w:tc>
        <w:tc>
          <w:tcPr>
            <w:tcW w:w="992"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p>
        </w:tc>
        <w:tc>
          <w:tcPr>
            <w:tcW w:w="85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p>
        </w:tc>
        <w:tc>
          <w:tcPr>
            <w:tcW w:w="740" w:type="dxa"/>
            <w:tcBorders>
              <w:top w:val="nil"/>
              <w:left w:val="nil"/>
              <w:bottom w:val="nil"/>
              <w:right w:val="nil"/>
            </w:tcBorders>
            <w:shd w:val="clear" w:color="000000" w:fill="FFFFFF"/>
            <w:noWrap/>
            <w:vAlign w:val="center"/>
            <w:hideMark/>
          </w:tcPr>
          <w:p w:rsidR="0050750B" w:rsidRDefault="0050750B" w:rsidP="0050750B">
            <w:pPr>
              <w:ind w:right="170"/>
              <w:jc w:val="right"/>
              <w:rPr>
                <w:rFonts w:ascii="Arial Narrow" w:hAnsi="Arial Narrow"/>
                <w:b/>
                <w:bCs/>
                <w:sz w:val="16"/>
                <w:szCs w:val="16"/>
              </w:rPr>
            </w:pPr>
          </w:p>
        </w:tc>
        <w:tc>
          <w:tcPr>
            <w:tcW w:w="962" w:type="dxa"/>
            <w:tcBorders>
              <w:top w:val="nil"/>
              <w:left w:val="nil"/>
              <w:bottom w:val="nil"/>
              <w:right w:val="single" w:sz="4" w:space="0" w:color="auto"/>
            </w:tcBorders>
            <w:shd w:val="clear" w:color="000000" w:fill="FFFFFF"/>
            <w:noWrap/>
            <w:vAlign w:val="center"/>
            <w:hideMark/>
          </w:tcPr>
          <w:p w:rsidR="0050750B" w:rsidRDefault="0050750B" w:rsidP="0050750B">
            <w:pPr>
              <w:ind w:right="170"/>
              <w:jc w:val="right"/>
              <w:rPr>
                <w:rFonts w:ascii="Arial Narrow" w:hAnsi="Arial Narrow"/>
                <w:b/>
                <w:bCs/>
                <w:sz w:val="16"/>
                <w:szCs w:val="16"/>
              </w:rPr>
            </w:pPr>
          </w:p>
        </w:tc>
      </w:tr>
      <w:tr w:rsidR="0050750B" w:rsidRPr="00794001" w:rsidTr="00147730">
        <w:trPr>
          <w:trHeight w:val="187"/>
        </w:trPr>
        <w:tc>
          <w:tcPr>
            <w:tcW w:w="5454" w:type="dxa"/>
            <w:tcBorders>
              <w:top w:val="nil"/>
              <w:left w:val="single" w:sz="4" w:space="0" w:color="auto"/>
              <w:bottom w:val="nil"/>
              <w:right w:val="nil"/>
            </w:tcBorders>
            <w:shd w:val="clear" w:color="auto" w:fill="D9D9D9" w:themeFill="background1" w:themeFillShade="D9"/>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ΧΙ</w:t>
            </w:r>
            <w:r w:rsidRPr="00CB11D5">
              <w:rPr>
                <w:rFonts w:ascii="Arial Narrow" w:hAnsi="Arial Narrow"/>
                <w:b/>
                <w:bCs/>
                <w:sz w:val="16"/>
                <w:szCs w:val="14"/>
                <w:lang w:val="en-US"/>
              </w:rPr>
              <w:t>I</w:t>
            </w:r>
            <w:r w:rsidRPr="00CB11D5">
              <w:rPr>
                <w:rFonts w:ascii="Arial Narrow" w:hAnsi="Arial Narrow"/>
                <w:b/>
                <w:bCs/>
                <w:sz w:val="16"/>
                <w:szCs w:val="14"/>
              </w:rPr>
              <w:t>. Πρωτογενές αποτέλεσμα Γενικής Κυβέρνησης κατά ESA (Χ+</w:t>
            </w:r>
            <w:r w:rsidRPr="00CB11D5">
              <w:rPr>
                <w:rFonts w:ascii="Arial Narrow" w:hAnsi="Arial Narrow"/>
                <w:b/>
                <w:bCs/>
                <w:sz w:val="16"/>
                <w:szCs w:val="14"/>
                <w:lang w:val="en-US"/>
              </w:rPr>
              <w:t>XI</w:t>
            </w:r>
            <w:r w:rsidRPr="00CB11D5">
              <w:rPr>
                <w:rFonts w:ascii="Arial Narrow" w:hAnsi="Arial Narrow"/>
                <w:b/>
                <w:bCs/>
                <w:sz w:val="16"/>
                <w:szCs w:val="14"/>
              </w:rPr>
              <w:t>)</w:t>
            </w:r>
          </w:p>
        </w:tc>
        <w:tc>
          <w:tcPr>
            <w:tcW w:w="992"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8.304</w:t>
            </w:r>
          </w:p>
        </w:tc>
        <w:tc>
          <w:tcPr>
            <w:tcW w:w="850"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7.488</w:t>
            </w:r>
          </w:p>
        </w:tc>
        <w:tc>
          <w:tcPr>
            <w:tcW w:w="740" w:type="dxa"/>
            <w:tcBorders>
              <w:top w:val="nil"/>
              <w:left w:val="nil"/>
              <w:bottom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-11.141</w:t>
            </w:r>
          </w:p>
        </w:tc>
        <w:tc>
          <w:tcPr>
            <w:tcW w:w="962" w:type="dxa"/>
            <w:tcBorders>
              <w:top w:val="nil"/>
              <w:left w:val="nil"/>
              <w:bottom w:val="nil"/>
              <w:right w:val="single" w:sz="4" w:space="0" w:color="auto"/>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-6.591</w:t>
            </w:r>
          </w:p>
        </w:tc>
      </w:tr>
      <w:tr w:rsidR="0050750B" w:rsidRPr="00794001" w:rsidTr="00333D56">
        <w:trPr>
          <w:trHeight w:val="187"/>
        </w:trPr>
        <w:tc>
          <w:tcPr>
            <w:tcW w:w="5454" w:type="dxa"/>
            <w:tcBorders>
              <w:top w:val="nil"/>
              <w:left w:val="single" w:sz="4" w:space="0" w:color="auto"/>
              <w:right w:val="nil"/>
            </w:tcBorders>
            <w:shd w:val="clear" w:color="auto" w:fill="D9D9D9" w:themeFill="background1" w:themeFillShade="D9"/>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 ΑΕΠ</w:t>
            </w:r>
          </w:p>
        </w:tc>
        <w:tc>
          <w:tcPr>
            <w:tcW w:w="992" w:type="dxa"/>
            <w:tcBorders>
              <w:top w:val="nil"/>
              <w:left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4,5%</w:t>
            </w:r>
          </w:p>
        </w:tc>
        <w:tc>
          <w:tcPr>
            <w:tcW w:w="850" w:type="dxa"/>
            <w:tcBorders>
              <w:top w:val="nil"/>
              <w:left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3,8%</w:t>
            </w:r>
          </w:p>
        </w:tc>
        <w:tc>
          <w:tcPr>
            <w:tcW w:w="740" w:type="dxa"/>
            <w:tcBorders>
              <w:top w:val="nil"/>
              <w:left w:val="nil"/>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-6,8%</w:t>
            </w:r>
          </w:p>
        </w:tc>
        <w:tc>
          <w:tcPr>
            <w:tcW w:w="962" w:type="dxa"/>
            <w:tcBorders>
              <w:top w:val="nil"/>
              <w:left w:val="nil"/>
              <w:right w:val="single" w:sz="4" w:space="0" w:color="auto"/>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-3,8%</w:t>
            </w:r>
          </w:p>
        </w:tc>
      </w:tr>
      <w:tr w:rsidR="0050750B" w:rsidRPr="00794001" w:rsidTr="00333D56">
        <w:trPr>
          <w:trHeight w:val="187"/>
        </w:trPr>
        <w:tc>
          <w:tcPr>
            <w:tcW w:w="5454" w:type="dxa"/>
            <w:tcBorders>
              <w:top w:val="nil"/>
              <w:left w:val="single" w:sz="4" w:space="0" w:color="auto"/>
              <w:bottom w:val="single" w:sz="4" w:space="0" w:color="auto"/>
              <w:right w:val="nil"/>
            </w:tcBorders>
            <w:shd w:val="clear" w:color="auto" w:fill="D9D9D9" w:themeFill="background1" w:themeFillShade="D9"/>
            <w:noWrap/>
            <w:vAlign w:val="center"/>
            <w:hideMark/>
          </w:tcPr>
          <w:p w:rsidR="0050750B" w:rsidRPr="00CB11D5" w:rsidRDefault="0050750B" w:rsidP="00147730">
            <w:pPr>
              <w:rPr>
                <w:rFonts w:ascii="Arial Narrow" w:hAnsi="Arial Narrow"/>
                <w:b/>
                <w:bCs/>
                <w:sz w:val="16"/>
                <w:szCs w:val="14"/>
              </w:rPr>
            </w:pPr>
            <w:r w:rsidRPr="00CB11D5">
              <w:rPr>
                <w:rFonts w:ascii="Arial Narrow" w:hAnsi="Arial Narrow"/>
                <w:b/>
                <w:bCs/>
                <w:sz w:val="16"/>
                <w:szCs w:val="14"/>
              </w:rPr>
              <w:t>ΑΕΠ</w:t>
            </w:r>
          </w:p>
        </w:tc>
        <w:tc>
          <w:tcPr>
            <w:tcW w:w="992" w:type="dxa"/>
            <w:tcBorders>
              <w:top w:val="nil"/>
              <w:left w:val="nil"/>
              <w:bottom w:val="single" w:sz="4" w:space="0" w:color="auto"/>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183.413</w:t>
            </w:r>
          </w:p>
        </w:tc>
        <w:tc>
          <w:tcPr>
            <w:tcW w:w="850" w:type="dxa"/>
            <w:tcBorders>
              <w:top w:val="nil"/>
              <w:left w:val="nil"/>
              <w:bottom w:val="single" w:sz="4" w:space="0" w:color="auto"/>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197.315</w:t>
            </w:r>
          </w:p>
        </w:tc>
        <w:tc>
          <w:tcPr>
            <w:tcW w:w="740" w:type="dxa"/>
            <w:tcBorders>
              <w:top w:val="nil"/>
              <w:left w:val="nil"/>
              <w:bottom w:val="single" w:sz="4" w:space="0" w:color="auto"/>
              <w:right w:val="nil"/>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162.776</w:t>
            </w:r>
          </w:p>
        </w:tc>
        <w:tc>
          <w:tcPr>
            <w:tcW w:w="962" w:type="dxa"/>
            <w:tcBorders>
              <w:top w:val="nil"/>
              <w:left w:val="nil"/>
              <w:bottom w:val="single" w:sz="4" w:space="0" w:color="auto"/>
              <w:right w:val="single" w:sz="4" w:space="0" w:color="auto"/>
            </w:tcBorders>
            <w:shd w:val="clear" w:color="auto" w:fill="D9D9D9" w:themeFill="background1" w:themeFillShade="D9"/>
            <w:noWrap/>
            <w:vAlign w:val="center"/>
            <w:hideMark/>
          </w:tcPr>
          <w:p w:rsidR="0050750B" w:rsidRDefault="0050750B" w:rsidP="0050750B">
            <w:pPr>
              <w:ind w:right="170"/>
              <w:jc w:val="right"/>
              <w:rPr>
                <w:rFonts w:ascii="Arial Narrow" w:hAnsi="Arial Narrow"/>
                <w:b/>
                <w:bCs/>
                <w:sz w:val="16"/>
                <w:szCs w:val="16"/>
              </w:rPr>
            </w:pPr>
            <w:r>
              <w:rPr>
                <w:rFonts w:ascii="Arial Narrow" w:hAnsi="Arial Narrow"/>
                <w:b/>
                <w:bCs/>
                <w:sz w:val="16"/>
                <w:szCs w:val="16"/>
              </w:rPr>
              <w:t>171.934</w:t>
            </w:r>
          </w:p>
        </w:tc>
      </w:tr>
    </w:tbl>
    <w:p w:rsidR="00174A83" w:rsidRDefault="00174A83" w:rsidP="00174A83">
      <w:pPr>
        <w:ind w:left="426" w:hanging="284"/>
        <w:rPr>
          <w:rFonts w:ascii="Arial Narrow" w:hAnsi="Arial Narrow"/>
          <w:sz w:val="18"/>
          <w:szCs w:val="18"/>
        </w:rPr>
      </w:pPr>
      <w:r w:rsidRPr="00174A83">
        <w:rPr>
          <w:rFonts w:ascii="Arial Narrow" w:hAnsi="Arial Narrow"/>
          <w:sz w:val="18"/>
          <w:szCs w:val="18"/>
          <w:vertAlign w:val="superscript"/>
        </w:rPr>
        <w:t>1</w:t>
      </w:r>
      <w:r w:rsidRPr="00174A83">
        <w:rPr>
          <w:rFonts w:ascii="Arial Narrow" w:hAnsi="Arial Narrow"/>
          <w:sz w:val="18"/>
          <w:szCs w:val="18"/>
        </w:rPr>
        <w:tab/>
        <w:t xml:space="preserve">Τα έσοδα του </w:t>
      </w:r>
      <w:r>
        <w:rPr>
          <w:rFonts w:ascii="Arial Narrow" w:hAnsi="Arial Narrow"/>
          <w:sz w:val="18"/>
          <w:szCs w:val="18"/>
        </w:rPr>
        <w:t>ΠΔΕ περιέχονται στις μεταβιβάσεις και στα λοιπά τρέχοντα έσοδα, ενώ οι δαπάνες του ΠΔΕ περιέχονται στις π</w:t>
      </w:r>
      <w:r>
        <w:rPr>
          <w:rFonts w:ascii="Arial Narrow" w:hAnsi="Arial Narrow"/>
          <w:sz w:val="18"/>
          <w:szCs w:val="18"/>
        </w:rPr>
        <w:t>ι</w:t>
      </w:r>
      <w:r>
        <w:rPr>
          <w:rFonts w:ascii="Arial Narrow" w:hAnsi="Arial Narrow"/>
          <w:sz w:val="18"/>
          <w:szCs w:val="18"/>
        </w:rPr>
        <w:t>στώσεις υπό κατανομή.</w:t>
      </w:r>
    </w:p>
    <w:p w:rsidR="00174A83" w:rsidRDefault="00174A83" w:rsidP="00174A83">
      <w:pPr>
        <w:ind w:left="426" w:hanging="284"/>
        <w:rPr>
          <w:rFonts w:ascii="Arial Narrow" w:hAnsi="Arial Narrow"/>
          <w:sz w:val="18"/>
          <w:szCs w:val="18"/>
        </w:rPr>
      </w:pPr>
      <w:r w:rsidRPr="00174A83">
        <w:rPr>
          <w:rFonts w:ascii="Arial Narrow" w:hAnsi="Arial Narrow"/>
          <w:sz w:val="18"/>
          <w:szCs w:val="18"/>
          <w:vertAlign w:val="superscript"/>
        </w:rPr>
        <w:lastRenderedPageBreak/>
        <w:t>2</w:t>
      </w:r>
      <w:r>
        <w:rPr>
          <w:rFonts w:ascii="Arial Narrow" w:hAnsi="Arial Narrow"/>
          <w:sz w:val="18"/>
          <w:szCs w:val="18"/>
        </w:rPr>
        <w:tab/>
        <w:t>Τα  έσοδα του Ταμείου Ανάκαμψης και Σταθερότητας περιέχονται στις μεταβιβάσεις, ενώ οι αντίστοιχες δαπάνες περιέχονται στις πιστώσεις υπό κατανομή.</w:t>
      </w:r>
    </w:p>
    <w:p w:rsidR="008E7973" w:rsidRDefault="008E7973" w:rsidP="00174A83">
      <w:pPr>
        <w:ind w:left="426" w:hanging="284"/>
        <w:rPr>
          <w:rFonts w:ascii="Arial Narrow" w:hAnsi="Arial Narrow"/>
          <w:sz w:val="18"/>
          <w:szCs w:val="18"/>
        </w:rPr>
      </w:pPr>
    </w:p>
    <w:p w:rsidR="008E7973" w:rsidRDefault="008E7973" w:rsidP="00174A83">
      <w:pPr>
        <w:ind w:left="426" w:hanging="284"/>
        <w:rPr>
          <w:rFonts w:ascii="Arial Narrow" w:hAnsi="Arial Narrow"/>
          <w:sz w:val="18"/>
          <w:szCs w:val="18"/>
        </w:rPr>
      </w:pPr>
    </w:p>
    <w:p w:rsidR="00D25194" w:rsidRDefault="00D25194" w:rsidP="00D25194">
      <w:pPr>
        <w:rPr>
          <w:sz w:val="20"/>
          <w:szCs w:val="22"/>
        </w:rPr>
      </w:pPr>
    </w:p>
    <w:tbl>
      <w:tblPr>
        <w:tblW w:w="8997" w:type="dxa"/>
        <w:tblInd w:w="103" w:type="dxa"/>
        <w:tblLayout w:type="fixed"/>
        <w:tblCellMar>
          <w:left w:w="28" w:type="dxa"/>
          <w:right w:w="28" w:type="dxa"/>
        </w:tblCellMar>
        <w:tblLook w:val="04A0"/>
      </w:tblPr>
      <w:tblGrid>
        <w:gridCol w:w="320"/>
        <w:gridCol w:w="5275"/>
        <w:gridCol w:w="992"/>
        <w:gridCol w:w="850"/>
        <w:gridCol w:w="709"/>
        <w:gridCol w:w="851"/>
      </w:tblGrid>
      <w:tr w:rsidR="00D25194" w:rsidRPr="004F40E8" w:rsidTr="00523EFF">
        <w:trPr>
          <w:trHeight w:val="836"/>
        </w:trPr>
        <w:tc>
          <w:tcPr>
            <w:tcW w:w="8997" w:type="dxa"/>
            <w:gridSpan w:val="6"/>
            <w:tcBorders>
              <w:top w:val="single" w:sz="4" w:space="0" w:color="auto"/>
              <w:left w:val="single" w:sz="4" w:space="0" w:color="auto"/>
              <w:right w:val="single" w:sz="4" w:space="0" w:color="auto"/>
            </w:tcBorders>
            <w:shd w:val="clear" w:color="auto" w:fill="404040" w:themeFill="text1" w:themeFillTint="BF"/>
            <w:vAlign w:val="bottom"/>
            <w:hideMark/>
          </w:tcPr>
          <w:p w:rsidR="00D25194" w:rsidRPr="00F27DD9" w:rsidRDefault="00D25194" w:rsidP="00523EFF">
            <w:pPr>
              <w:jc w:val="center"/>
              <w:rPr>
                <w:rFonts w:ascii="Arial Narrow" w:hAnsi="Arial Narrow"/>
                <w:b/>
                <w:bCs/>
                <w:color w:val="FFFFFF" w:themeColor="background1"/>
                <w:szCs w:val="22"/>
              </w:rPr>
            </w:pPr>
            <w:bookmarkStart w:id="1" w:name="RANGE!A1:G31"/>
            <w:r w:rsidRPr="00F27DD9">
              <w:rPr>
                <w:rFonts w:ascii="Arial Narrow" w:hAnsi="Arial Narrow"/>
                <w:b/>
                <w:bCs/>
                <w:color w:val="FFFFFF" w:themeColor="background1"/>
                <w:szCs w:val="22"/>
              </w:rPr>
              <w:t xml:space="preserve">Πίνακας </w:t>
            </w:r>
            <w:r>
              <w:rPr>
                <w:rFonts w:ascii="Arial Narrow" w:hAnsi="Arial Narrow"/>
                <w:b/>
                <w:bCs/>
                <w:color w:val="FFFFFF" w:themeColor="background1"/>
                <w:szCs w:val="22"/>
              </w:rPr>
              <w:t>3</w:t>
            </w:r>
            <w:r w:rsidRPr="00F27DD9">
              <w:rPr>
                <w:rFonts w:ascii="Arial Narrow" w:hAnsi="Arial Narrow"/>
                <w:b/>
                <w:bCs/>
                <w:color w:val="FFFFFF" w:themeColor="background1"/>
                <w:szCs w:val="22"/>
              </w:rPr>
              <w:t>.</w:t>
            </w:r>
            <w:r>
              <w:rPr>
                <w:rFonts w:ascii="Arial Narrow" w:hAnsi="Arial Narrow"/>
                <w:b/>
                <w:bCs/>
                <w:color w:val="FFFFFF" w:themeColor="background1"/>
                <w:szCs w:val="22"/>
              </w:rPr>
              <w:t>3</w:t>
            </w:r>
            <w:r w:rsidRPr="00F27DD9">
              <w:rPr>
                <w:rFonts w:ascii="Arial Narrow" w:hAnsi="Arial Narrow"/>
                <w:b/>
                <w:bCs/>
                <w:color w:val="FFFFFF" w:themeColor="background1"/>
                <w:szCs w:val="22"/>
              </w:rPr>
              <w:t xml:space="preserve"> Πρωτογενές αποτέλεσμα Γενικής Κυβέρνησης </w:t>
            </w:r>
          </w:p>
          <w:bookmarkEnd w:id="1"/>
          <w:p w:rsidR="00D25194" w:rsidRPr="00D25194" w:rsidRDefault="00D25194" w:rsidP="00523EFF">
            <w:pPr>
              <w:jc w:val="center"/>
              <w:rPr>
                <w:rFonts w:ascii="Arial Narrow" w:hAnsi="Arial Narrow"/>
                <w:b/>
                <w:bCs/>
                <w:color w:val="FFFFFF" w:themeColor="background1"/>
                <w:szCs w:val="22"/>
                <w:vertAlign w:val="superscript"/>
              </w:rPr>
            </w:pPr>
            <w:r w:rsidRPr="00F27DD9">
              <w:rPr>
                <w:rFonts w:ascii="Arial Narrow" w:hAnsi="Arial Narrow"/>
                <w:b/>
                <w:bCs/>
                <w:color w:val="FFFFFF" w:themeColor="background1"/>
                <w:szCs w:val="22"/>
              </w:rPr>
              <w:t xml:space="preserve">σύμφωνα με τους </w:t>
            </w:r>
            <w:r>
              <w:rPr>
                <w:rFonts w:ascii="Arial Narrow" w:hAnsi="Arial Narrow"/>
                <w:b/>
                <w:bCs/>
                <w:color w:val="FFFFFF" w:themeColor="background1"/>
                <w:szCs w:val="22"/>
              </w:rPr>
              <w:t>όρους της Ενισχυμένης Εποπτείας</w:t>
            </w:r>
          </w:p>
          <w:p w:rsidR="00D25194" w:rsidRPr="00F27DD9" w:rsidRDefault="00D25194" w:rsidP="00523EFF">
            <w:pPr>
              <w:jc w:val="center"/>
              <w:rPr>
                <w:rFonts w:ascii="Arial Narrow" w:hAnsi="Arial Narrow"/>
                <w:b/>
                <w:bCs/>
                <w:color w:val="FFFFFF" w:themeColor="background1"/>
                <w:szCs w:val="22"/>
              </w:rPr>
            </w:pPr>
            <w:r w:rsidRPr="00F27DD9">
              <w:rPr>
                <w:rFonts w:ascii="Arial Narrow" w:hAnsi="Arial Narrow"/>
                <w:b/>
                <w:bCs/>
                <w:color w:val="FFFFFF" w:themeColor="background1"/>
                <w:szCs w:val="22"/>
              </w:rPr>
              <w:t>(σε εκατ. ευρώ)</w:t>
            </w:r>
          </w:p>
        </w:tc>
      </w:tr>
      <w:tr w:rsidR="00D25194" w:rsidRPr="004F40E8" w:rsidTr="00523EFF">
        <w:trPr>
          <w:trHeight w:val="227"/>
        </w:trPr>
        <w:tc>
          <w:tcPr>
            <w:tcW w:w="8997" w:type="dxa"/>
            <w:gridSpan w:val="6"/>
            <w:tcBorders>
              <w:top w:val="single" w:sz="4" w:space="0" w:color="auto"/>
              <w:left w:val="single" w:sz="4" w:space="0" w:color="auto"/>
              <w:bottom w:val="single" w:sz="4" w:space="0" w:color="000000"/>
              <w:right w:val="single" w:sz="4" w:space="0" w:color="auto"/>
            </w:tcBorders>
            <w:shd w:val="clear" w:color="000000" w:fill="FFFFFF"/>
            <w:vAlign w:val="center"/>
            <w:hideMark/>
          </w:tcPr>
          <w:p w:rsidR="00D25194" w:rsidRDefault="00D25194" w:rsidP="00523EFF">
            <w:pPr>
              <w:jc w:val="center"/>
              <w:rPr>
                <w:rFonts w:ascii="Arial Narrow" w:hAnsi="Arial Narrow"/>
                <w:b/>
                <w:bCs/>
                <w:sz w:val="16"/>
                <w:szCs w:val="16"/>
              </w:rPr>
            </w:pPr>
          </w:p>
        </w:tc>
      </w:tr>
      <w:tr w:rsidR="00D25194" w:rsidRPr="004F40E8" w:rsidTr="00523EFF">
        <w:trPr>
          <w:trHeight w:val="20"/>
        </w:trPr>
        <w:tc>
          <w:tcPr>
            <w:tcW w:w="5595" w:type="dxa"/>
            <w:gridSpan w:val="2"/>
            <w:vMerge w:val="restart"/>
            <w:tcBorders>
              <w:top w:val="single" w:sz="4" w:space="0" w:color="auto"/>
              <w:left w:val="single" w:sz="4" w:space="0" w:color="auto"/>
              <w:bottom w:val="single" w:sz="4" w:space="0" w:color="000000"/>
              <w:right w:val="nil"/>
            </w:tcBorders>
            <w:shd w:val="clear" w:color="000000" w:fill="FFFFFF"/>
            <w:vAlign w:val="center"/>
            <w:hideMark/>
          </w:tcPr>
          <w:p w:rsidR="00D25194" w:rsidRPr="004F40E8" w:rsidRDefault="00D25194" w:rsidP="00523EFF">
            <w:pPr>
              <w:jc w:val="center"/>
              <w:rPr>
                <w:rFonts w:ascii="Arial Narrow" w:hAnsi="Arial Narrow"/>
                <w:sz w:val="16"/>
                <w:szCs w:val="16"/>
              </w:rPr>
            </w:pPr>
            <w:r w:rsidRPr="004F40E8">
              <w:rPr>
                <w:rFonts w:ascii="Arial Narrow" w:hAnsi="Arial Narrow"/>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5194" w:rsidRPr="00D25194" w:rsidRDefault="00D25194" w:rsidP="00523EFF">
            <w:pPr>
              <w:jc w:val="center"/>
              <w:rPr>
                <w:rFonts w:ascii="Arial Narrow" w:hAnsi="Arial Narrow"/>
                <w:b/>
                <w:bCs/>
                <w:color w:val="000000"/>
                <w:sz w:val="16"/>
                <w:szCs w:val="16"/>
                <w:lang w:val="en-US"/>
              </w:rPr>
            </w:pPr>
            <w:r>
              <w:rPr>
                <w:rFonts w:ascii="Arial Narrow" w:hAnsi="Arial Narrow"/>
                <w:b/>
                <w:bCs/>
                <w:color w:val="000000"/>
                <w:sz w:val="16"/>
                <w:szCs w:val="16"/>
              </w:rPr>
              <w:t>201</w:t>
            </w:r>
            <w:r>
              <w:rPr>
                <w:rFonts w:ascii="Arial Narrow" w:hAnsi="Arial Narrow"/>
                <w:b/>
                <w:bCs/>
                <w:color w:val="000000"/>
                <w:sz w:val="16"/>
                <w:szCs w:val="16"/>
                <w:lang w:val="en-US"/>
              </w:rPr>
              <w:t>9</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25194" w:rsidRPr="004F40E8" w:rsidRDefault="00D25194" w:rsidP="00523EFF">
            <w:pPr>
              <w:jc w:val="center"/>
              <w:rPr>
                <w:rFonts w:ascii="Arial Narrow" w:hAnsi="Arial Narrow"/>
                <w:b/>
                <w:bCs/>
                <w:color w:val="000000"/>
                <w:sz w:val="16"/>
                <w:szCs w:val="16"/>
              </w:rPr>
            </w:pPr>
            <w:r w:rsidRPr="004F40E8">
              <w:rPr>
                <w:rFonts w:ascii="Arial Narrow" w:hAnsi="Arial Narrow"/>
                <w:b/>
                <w:bCs/>
                <w:color w:val="000000"/>
                <w:sz w:val="16"/>
                <w:szCs w:val="16"/>
              </w:rPr>
              <w:t>20</w:t>
            </w:r>
            <w:r>
              <w:rPr>
                <w:rFonts w:ascii="Arial Narrow" w:hAnsi="Arial Narrow"/>
                <w:b/>
                <w:bCs/>
                <w:color w:val="000000"/>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5194" w:rsidRPr="004F40E8" w:rsidRDefault="00D25194" w:rsidP="00523EFF">
            <w:pPr>
              <w:jc w:val="center"/>
              <w:rPr>
                <w:rFonts w:ascii="Arial Narrow" w:hAnsi="Arial Narrow"/>
                <w:b/>
                <w:bCs/>
                <w:sz w:val="16"/>
                <w:szCs w:val="16"/>
              </w:rPr>
            </w:pPr>
            <w:r>
              <w:rPr>
                <w:rFonts w:ascii="Arial Narrow" w:hAnsi="Arial Narrow"/>
                <w:b/>
                <w:bCs/>
                <w:sz w:val="16"/>
                <w:szCs w:val="16"/>
              </w:rPr>
              <w:t>2021</w:t>
            </w:r>
          </w:p>
        </w:tc>
      </w:tr>
      <w:tr w:rsidR="00D25194" w:rsidRPr="004F40E8" w:rsidTr="00523EFF">
        <w:trPr>
          <w:trHeight w:val="20"/>
        </w:trPr>
        <w:tc>
          <w:tcPr>
            <w:tcW w:w="5595" w:type="dxa"/>
            <w:gridSpan w:val="2"/>
            <w:vMerge/>
            <w:tcBorders>
              <w:top w:val="single" w:sz="4" w:space="0" w:color="auto"/>
              <w:left w:val="single" w:sz="4" w:space="0" w:color="auto"/>
              <w:bottom w:val="single" w:sz="4" w:space="0" w:color="000000"/>
              <w:right w:val="nil"/>
            </w:tcBorders>
            <w:vAlign w:val="center"/>
            <w:hideMark/>
          </w:tcPr>
          <w:p w:rsidR="00D25194" w:rsidRPr="004F40E8" w:rsidRDefault="00D25194" w:rsidP="00523EFF">
            <w:pPr>
              <w:rPr>
                <w:rFonts w:ascii="Arial Narrow" w:hAnsi="Arial Narrow"/>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5194" w:rsidRPr="00D25194" w:rsidRDefault="00D25194" w:rsidP="00D25194">
            <w:pPr>
              <w:jc w:val="center"/>
              <w:rPr>
                <w:rFonts w:ascii="Arial Narrow" w:hAnsi="Arial Narrow"/>
                <w:b/>
                <w:bCs/>
                <w:color w:val="000000"/>
                <w:sz w:val="16"/>
                <w:szCs w:val="16"/>
              </w:rPr>
            </w:pPr>
            <w:r>
              <w:rPr>
                <w:rFonts w:ascii="Arial Narrow" w:hAnsi="Arial Narrow"/>
                <w:b/>
                <w:bCs/>
                <w:color w:val="000000"/>
                <w:sz w:val="16"/>
                <w:szCs w:val="16"/>
              </w:rPr>
              <w:t>ΔΥΕ Οκτωβρ</w:t>
            </w:r>
            <w:r>
              <w:rPr>
                <w:rFonts w:ascii="Arial Narrow" w:hAnsi="Arial Narrow"/>
                <w:b/>
                <w:bCs/>
                <w:color w:val="000000"/>
                <w:sz w:val="16"/>
                <w:szCs w:val="16"/>
              </w:rPr>
              <w:t>ί</w:t>
            </w:r>
            <w:r>
              <w:rPr>
                <w:rFonts w:ascii="Arial Narrow" w:hAnsi="Arial Narrow"/>
                <w:b/>
                <w:bCs/>
                <w:color w:val="000000"/>
                <w:sz w:val="16"/>
                <w:szCs w:val="16"/>
              </w:rPr>
              <w:t>ου 2020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5194" w:rsidRPr="004F40E8" w:rsidRDefault="00D25194" w:rsidP="00523EFF">
            <w:pPr>
              <w:jc w:val="center"/>
              <w:rPr>
                <w:rFonts w:ascii="Arial Narrow" w:hAnsi="Arial Narrow"/>
                <w:b/>
                <w:bCs/>
                <w:color w:val="000000"/>
                <w:sz w:val="16"/>
                <w:szCs w:val="16"/>
              </w:rPr>
            </w:pPr>
            <w:r>
              <w:rPr>
                <w:rFonts w:ascii="Arial Narrow" w:hAnsi="Arial Narrow"/>
                <w:b/>
                <w:bCs/>
                <w:color w:val="000000"/>
                <w:sz w:val="16"/>
                <w:szCs w:val="16"/>
              </w:rPr>
              <w:t>Προϋπ/σμός</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5194" w:rsidRPr="004F40E8" w:rsidRDefault="00D25194" w:rsidP="00523EFF">
            <w:pPr>
              <w:jc w:val="center"/>
              <w:rPr>
                <w:rFonts w:ascii="Arial Narrow" w:hAnsi="Arial Narrow"/>
                <w:b/>
                <w:bCs/>
                <w:sz w:val="16"/>
                <w:szCs w:val="16"/>
              </w:rPr>
            </w:pPr>
            <w:r w:rsidRPr="004F40E8">
              <w:rPr>
                <w:rFonts w:ascii="Arial Narrow" w:hAnsi="Arial Narrow"/>
                <w:b/>
                <w:bCs/>
                <w:sz w:val="16"/>
                <w:szCs w:val="16"/>
              </w:rPr>
              <w:t>Εκτίμηση</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5194" w:rsidRPr="004F40E8" w:rsidRDefault="00D25194" w:rsidP="00523EFF">
            <w:pPr>
              <w:jc w:val="center"/>
              <w:rPr>
                <w:rFonts w:ascii="Arial Narrow" w:hAnsi="Arial Narrow"/>
                <w:b/>
                <w:bCs/>
                <w:sz w:val="16"/>
                <w:szCs w:val="16"/>
              </w:rPr>
            </w:pPr>
            <w:r>
              <w:rPr>
                <w:rFonts w:ascii="Arial Narrow" w:hAnsi="Arial Narrow"/>
                <w:b/>
                <w:bCs/>
                <w:sz w:val="16"/>
                <w:szCs w:val="16"/>
              </w:rPr>
              <w:t>Πρόβλεψη</w:t>
            </w:r>
          </w:p>
        </w:tc>
      </w:tr>
      <w:tr w:rsidR="00D25194" w:rsidRPr="004F40E8" w:rsidTr="00523EFF">
        <w:trPr>
          <w:trHeight w:val="20"/>
        </w:trPr>
        <w:tc>
          <w:tcPr>
            <w:tcW w:w="320" w:type="dxa"/>
            <w:tcBorders>
              <w:top w:val="nil"/>
              <w:left w:val="single" w:sz="4" w:space="0" w:color="auto"/>
              <w:bottom w:val="nil"/>
              <w:right w:val="nil"/>
            </w:tcBorders>
            <w:shd w:val="clear" w:color="000000" w:fill="FFFFFF"/>
            <w:hideMark/>
          </w:tcPr>
          <w:p w:rsidR="00D25194" w:rsidRPr="004F40E8" w:rsidRDefault="00D25194" w:rsidP="00523EFF">
            <w:pPr>
              <w:jc w:val="center"/>
              <w:rPr>
                <w:rFonts w:ascii="Arial Narrow" w:hAnsi="Arial Narrow"/>
                <w:b/>
                <w:bCs/>
                <w:i/>
                <w:iCs/>
                <w:color w:val="000000"/>
                <w:sz w:val="15"/>
                <w:szCs w:val="15"/>
              </w:rPr>
            </w:pPr>
            <w:r w:rsidRPr="004F40E8">
              <w:rPr>
                <w:rFonts w:ascii="Arial Narrow" w:hAnsi="Arial Narrow"/>
                <w:b/>
                <w:bCs/>
                <w:i/>
                <w:iCs/>
                <w:color w:val="000000"/>
                <w:sz w:val="15"/>
                <w:szCs w:val="15"/>
              </w:rPr>
              <w:t> </w:t>
            </w:r>
          </w:p>
        </w:tc>
        <w:tc>
          <w:tcPr>
            <w:tcW w:w="5275" w:type="dxa"/>
            <w:tcBorders>
              <w:top w:val="nil"/>
              <w:left w:val="nil"/>
              <w:bottom w:val="nil"/>
              <w:right w:val="nil"/>
            </w:tcBorders>
            <w:shd w:val="clear" w:color="000000" w:fill="FFFFFF"/>
            <w:vAlign w:val="center"/>
            <w:hideMark/>
          </w:tcPr>
          <w:p w:rsidR="00D25194" w:rsidRPr="004F40E8" w:rsidRDefault="00D25194" w:rsidP="00523EFF">
            <w:pPr>
              <w:jc w:val="center"/>
              <w:rPr>
                <w:rFonts w:ascii="Arial Narrow" w:hAnsi="Arial Narrow"/>
                <w:b/>
                <w:bCs/>
                <w:i/>
                <w:iCs/>
                <w:color w:val="000000"/>
                <w:sz w:val="15"/>
                <w:szCs w:val="15"/>
              </w:rPr>
            </w:pPr>
            <w:r w:rsidRPr="004F40E8">
              <w:rPr>
                <w:rFonts w:ascii="Arial Narrow" w:hAnsi="Arial Narrow"/>
                <w:b/>
                <w:bCs/>
                <w:i/>
                <w:iCs/>
                <w:color w:val="000000"/>
                <w:sz w:val="15"/>
                <w:szCs w:val="15"/>
              </w:rPr>
              <w:t> </w:t>
            </w:r>
          </w:p>
        </w:tc>
        <w:tc>
          <w:tcPr>
            <w:tcW w:w="992" w:type="dxa"/>
            <w:tcBorders>
              <w:top w:val="nil"/>
              <w:left w:val="nil"/>
              <w:bottom w:val="nil"/>
              <w:right w:val="nil"/>
            </w:tcBorders>
            <w:shd w:val="clear" w:color="000000" w:fill="FFFFFF"/>
            <w:vAlign w:val="center"/>
            <w:hideMark/>
          </w:tcPr>
          <w:p w:rsidR="00D25194" w:rsidRPr="004F40E8" w:rsidRDefault="00D25194" w:rsidP="00523EFF">
            <w:pPr>
              <w:rPr>
                <w:rFonts w:ascii="Arial Narrow" w:hAnsi="Arial Narrow"/>
                <w:b/>
                <w:bCs/>
                <w:sz w:val="15"/>
                <w:szCs w:val="15"/>
              </w:rPr>
            </w:pPr>
            <w:r w:rsidRPr="004F40E8">
              <w:rPr>
                <w:rFonts w:ascii="Arial Narrow" w:hAnsi="Arial Narrow"/>
                <w:b/>
                <w:bCs/>
                <w:sz w:val="15"/>
                <w:szCs w:val="15"/>
              </w:rPr>
              <w:t> </w:t>
            </w:r>
          </w:p>
        </w:tc>
        <w:tc>
          <w:tcPr>
            <w:tcW w:w="850" w:type="dxa"/>
            <w:tcBorders>
              <w:top w:val="nil"/>
              <w:left w:val="nil"/>
              <w:bottom w:val="nil"/>
              <w:right w:val="nil"/>
            </w:tcBorders>
            <w:shd w:val="clear" w:color="000000" w:fill="FFFFFF"/>
            <w:vAlign w:val="center"/>
            <w:hideMark/>
          </w:tcPr>
          <w:p w:rsidR="00D25194" w:rsidRPr="004F40E8" w:rsidRDefault="00D25194" w:rsidP="00523EFF">
            <w:pPr>
              <w:rPr>
                <w:rFonts w:ascii="Arial Narrow" w:hAnsi="Arial Narrow"/>
                <w:b/>
                <w:bCs/>
                <w:color w:val="0000FF"/>
                <w:sz w:val="15"/>
                <w:szCs w:val="15"/>
              </w:rPr>
            </w:pPr>
            <w:r w:rsidRPr="004F40E8">
              <w:rPr>
                <w:rFonts w:ascii="Arial Narrow" w:hAnsi="Arial Narrow"/>
                <w:b/>
                <w:bCs/>
                <w:color w:val="0000FF"/>
                <w:sz w:val="15"/>
                <w:szCs w:val="15"/>
              </w:rPr>
              <w:t> </w:t>
            </w:r>
          </w:p>
        </w:tc>
        <w:tc>
          <w:tcPr>
            <w:tcW w:w="709" w:type="dxa"/>
            <w:tcBorders>
              <w:top w:val="nil"/>
              <w:left w:val="nil"/>
              <w:bottom w:val="nil"/>
              <w:right w:val="nil"/>
            </w:tcBorders>
            <w:shd w:val="clear" w:color="000000" w:fill="FFFFFF"/>
            <w:vAlign w:val="center"/>
            <w:hideMark/>
          </w:tcPr>
          <w:p w:rsidR="00D25194" w:rsidRPr="004F40E8" w:rsidRDefault="00D25194" w:rsidP="00523EFF">
            <w:pPr>
              <w:rPr>
                <w:rFonts w:ascii="Arial Narrow" w:hAnsi="Arial Narrow"/>
                <w:b/>
                <w:bCs/>
                <w:sz w:val="15"/>
                <w:szCs w:val="15"/>
              </w:rPr>
            </w:pPr>
            <w:r w:rsidRPr="004F40E8">
              <w:rPr>
                <w:rFonts w:ascii="Arial Narrow" w:hAnsi="Arial Narrow"/>
                <w:b/>
                <w:bCs/>
                <w:sz w:val="15"/>
                <w:szCs w:val="15"/>
              </w:rPr>
              <w:t> </w:t>
            </w:r>
          </w:p>
        </w:tc>
        <w:tc>
          <w:tcPr>
            <w:tcW w:w="851" w:type="dxa"/>
            <w:tcBorders>
              <w:top w:val="nil"/>
              <w:left w:val="nil"/>
              <w:bottom w:val="nil"/>
              <w:right w:val="single" w:sz="4" w:space="0" w:color="auto"/>
            </w:tcBorders>
            <w:shd w:val="clear" w:color="000000" w:fill="FFFFFF"/>
            <w:vAlign w:val="center"/>
            <w:hideMark/>
          </w:tcPr>
          <w:p w:rsidR="00D25194" w:rsidRPr="004F40E8" w:rsidRDefault="00D25194" w:rsidP="00523EFF">
            <w:pPr>
              <w:rPr>
                <w:rFonts w:ascii="Arial Narrow" w:hAnsi="Arial Narrow"/>
                <w:sz w:val="15"/>
                <w:szCs w:val="15"/>
              </w:rPr>
            </w:pPr>
          </w:p>
        </w:tc>
      </w:tr>
      <w:tr w:rsidR="00523EFF" w:rsidRPr="004F40E8" w:rsidTr="00523EFF">
        <w:trPr>
          <w:trHeight w:val="20"/>
        </w:trPr>
        <w:tc>
          <w:tcPr>
            <w:tcW w:w="320" w:type="dxa"/>
            <w:tcBorders>
              <w:top w:val="nil"/>
              <w:left w:val="single" w:sz="4" w:space="0" w:color="auto"/>
              <w:bottom w:val="nil"/>
              <w:right w:val="nil"/>
            </w:tcBorders>
            <w:shd w:val="clear" w:color="000000" w:fill="D8D8D8"/>
            <w:hideMark/>
          </w:tcPr>
          <w:p w:rsidR="00523EFF" w:rsidRPr="004F40E8" w:rsidRDefault="00523EFF" w:rsidP="00523EFF">
            <w:pPr>
              <w:jc w:val="center"/>
              <w:rPr>
                <w:rFonts w:ascii="Arial Narrow" w:hAnsi="Arial Narrow"/>
                <w:b/>
                <w:bCs/>
                <w:sz w:val="15"/>
                <w:szCs w:val="15"/>
              </w:rPr>
            </w:pPr>
            <w:r>
              <w:rPr>
                <w:rFonts w:ascii="Arial Narrow" w:hAnsi="Arial Narrow"/>
                <w:b/>
                <w:bCs/>
                <w:sz w:val="15"/>
                <w:szCs w:val="15"/>
              </w:rPr>
              <w:t>Ι</w:t>
            </w:r>
            <w:r w:rsidRPr="004F40E8">
              <w:rPr>
                <w:rFonts w:ascii="Arial Narrow" w:hAnsi="Arial Narrow"/>
                <w:b/>
                <w:bCs/>
                <w:sz w:val="15"/>
                <w:szCs w:val="15"/>
              </w:rPr>
              <w:t>.</w:t>
            </w:r>
          </w:p>
        </w:tc>
        <w:tc>
          <w:tcPr>
            <w:tcW w:w="5275" w:type="dxa"/>
            <w:tcBorders>
              <w:top w:val="nil"/>
              <w:left w:val="nil"/>
              <w:bottom w:val="nil"/>
              <w:right w:val="nil"/>
            </w:tcBorders>
            <w:shd w:val="clear" w:color="000000" w:fill="D8D8D8"/>
            <w:vAlign w:val="center"/>
            <w:hideMark/>
          </w:tcPr>
          <w:p w:rsidR="00523EFF" w:rsidRPr="004F40E8" w:rsidRDefault="00523EFF" w:rsidP="00523EFF">
            <w:pPr>
              <w:rPr>
                <w:rFonts w:ascii="Arial Narrow" w:hAnsi="Arial Narrow"/>
                <w:b/>
                <w:bCs/>
                <w:sz w:val="15"/>
                <w:szCs w:val="15"/>
              </w:rPr>
            </w:pPr>
            <w:r w:rsidRPr="004F40E8">
              <w:rPr>
                <w:rFonts w:ascii="Arial Narrow" w:hAnsi="Arial Narrow"/>
                <w:b/>
                <w:bCs/>
                <w:sz w:val="15"/>
                <w:szCs w:val="15"/>
              </w:rPr>
              <w:t xml:space="preserve">Πρωτογενές αποτέλεσμα Γενικής Κυβέρνησης </w:t>
            </w:r>
            <w:r>
              <w:rPr>
                <w:rFonts w:ascii="Arial Narrow" w:hAnsi="Arial Narrow"/>
                <w:b/>
                <w:bCs/>
                <w:sz w:val="15"/>
                <w:szCs w:val="15"/>
              </w:rPr>
              <w:t xml:space="preserve">κατά </w:t>
            </w:r>
            <w:r w:rsidRPr="004F40E8">
              <w:rPr>
                <w:rFonts w:ascii="Arial Narrow" w:hAnsi="Arial Narrow"/>
                <w:b/>
                <w:bCs/>
                <w:sz w:val="15"/>
                <w:szCs w:val="15"/>
              </w:rPr>
              <w:t>ESA</w:t>
            </w:r>
          </w:p>
        </w:tc>
        <w:tc>
          <w:tcPr>
            <w:tcW w:w="992" w:type="dxa"/>
            <w:tcBorders>
              <w:top w:val="nil"/>
              <w:left w:val="nil"/>
              <w:bottom w:val="nil"/>
              <w:right w:val="nil"/>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8.304</w:t>
            </w:r>
          </w:p>
        </w:tc>
        <w:tc>
          <w:tcPr>
            <w:tcW w:w="850" w:type="dxa"/>
            <w:tcBorders>
              <w:top w:val="nil"/>
              <w:left w:val="nil"/>
              <w:bottom w:val="nil"/>
              <w:right w:val="nil"/>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7.488</w:t>
            </w:r>
          </w:p>
        </w:tc>
        <w:tc>
          <w:tcPr>
            <w:tcW w:w="709" w:type="dxa"/>
            <w:tcBorders>
              <w:top w:val="nil"/>
              <w:left w:val="nil"/>
              <w:bottom w:val="nil"/>
              <w:right w:val="nil"/>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-11.141</w:t>
            </w:r>
          </w:p>
        </w:tc>
        <w:tc>
          <w:tcPr>
            <w:tcW w:w="851" w:type="dxa"/>
            <w:tcBorders>
              <w:top w:val="nil"/>
              <w:left w:val="nil"/>
              <w:bottom w:val="nil"/>
              <w:right w:val="single" w:sz="4" w:space="0" w:color="auto"/>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-6.591</w:t>
            </w:r>
          </w:p>
        </w:tc>
      </w:tr>
      <w:tr w:rsidR="00523EFF" w:rsidRPr="004F40E8" w:rsidTr="00523EFF">
        <w:trPr>
          <w:trHeight w:val="20"/>
        </w:trPr>
        <w:tc>
          <w:tcPr>
            <w:tcW w:w="320" w:type="dxa"/>
            <w:tcBorders>
              <w:top w:val="nil"/>
              <w:left w:val="single" w:sz="4" w:space="0" w:color="auto"/>
              <w:bottom w:val="nil"/>
              <w:right w:val="nil"/>
            </w:tcBorders>
            <w:shd w:val="clear" w:color="000000" w:fill="FFFFFF"/>
            <w:hideMark/>
          </w:tcPr>
          <w:p w:rsidR="00523EFF" w:rsidRPr="004F40E8" w:rsidRDefault="00523EFF" w:rsidP="00523EFF">
            <w:pPr>
              <w:jc w:val="center"/>
              <w:rPr>
                <w:rFonts w:ascii="Arial Narrow" w:hAnsi="Arial Narrow"/>
                <w:b/>
                <w:bCs/>
                <w:sz w:val="15"/>
                <w:szCs w:val="15"/>
              </w:rPr>
            </w:pPr>
          </w:p>
        </w:tc>
        <w:tc>
          <w:tcPr>
            <w:tcW w:w="5275" w:type="dxa"/>
            <w:tcBorders>
              <w:top w:val="nil"/>
              <w:left w:val="nil"/>
              <w:bottom w:val="nil"/>
              <w:right w:val="nil"/>
            </w:tcBorders>
            <w:shd w:val="clear" w:color="000000" w:fill="FFFFFF"/>
            <w:vAlign w:val="center"/>
            <w:hideMark/>
          </w:tcPr>
          <w:p w:rsidR="00523EFF" w:rsidRPr="004F40E8" w:rsidRDefault="00523EFF" w:rsidP="00523EFF">
            <w:pPr>
              <w:rPr>
                <w:rFonts w:ascii="Arial Narrow" w:hAnsi="Arial Narrow"/>
                <w:b/>
                <w:bCs/>
                <w:sz w:val="15"/>
                <w:szCs w:val="15"/>
              </w:rPr>
            </w:pPr>
            <w:r w:rsidRPr="004F40E8">
              <w:rPr>
                <w:rFonts w:ascii="Arial Narrow" w:hAnsi="Arial Narrow"/>
                <w:b/>
                <w:bCs/>
                <w:sz w:val="15"/>
                <w:szCs w:val="15"/>
              </w:rPr>
              <w:t> </w:t>
            </w:r>
          </w:p>
        </w:tc>
        <w:tc>
          <w:tcPr>
            <w:tcW w:w="992" w:type="dxa"/>
            <w:tcBorders>
              <w:top w:val="nil"/>
              <w:left w:val="nil"/>
              <w:bottom w:val="nil"/>
              <w:right w:val="nil"/>
            </w:tcBorders>
            <w:shd w:val="clear" w:color="000000" w:fill="FFFFFF"/>
            <w:vAlign w:val="center"/>
            <w:hideMark/>
          </w:tcPr>
          <w:p w:rsidR="00523EFF" w:rsidRDefault="00523EFF" w:rsidP="00523EFF">
            <w:pPr>
              <w:ind w:right="170"/>
              <w:jc w:val="right"/>
              <w:rPr>
                <w:rFonts w:ascii="Arial Narrow" w:hAnsi="Arial Narrow"/>
                <w:b/>
                <w:bCs/>
                <w:color w:val="000000"/>
                <w:sz w:val="16"/>
                <w:szCs w:val="16"/>
              </w:rPr>
            </w:pPr>
            <w:r>
              <w:rPr>
                <w:rFonts w:ascii="Arial Narrow" w:hAnsi="Arial Narrow"/>
                <w:b/>
                <w:bCs/>
                <w:color w:val="000000"/>
                <w:sz w:val="16"/>
                <w:szCs w:val="16"/>
              </w:rPr>
              <w:t> </w:t>
            </w:r>
          </w:p>
        </w:tc>
        <w:tc>
          <w:tcPr>
            <w:tcW w:w="850" w:type="dxa"/>
            <w:tcBorders>
              <w:top w:val="nil"/>
              <w:left w:val="nil"/>
              <w:bottom w:val="nil"/>
              <w:right w:val="nil"/>
            </w:tcBorders>
            <w:shd w:val="clear" w:color="000000" w:fill="FFFFFF"/>
            <w:vAlign w:val="center"/>
            <w:hideMark/>
          </w:tcPr>
          <w:p w:rsidR="00523EFF" w:rsidRDefault="00523EFF" w:rsidP="00523EFF">
            <w:pPr>
              <w:ind w:right="170"/>
              <w:jc w:val="right"/>
              <w:rPr>
                <w:rFonts w:ascii="Arial Narrow" w:hAnsi="Arial Narrow"/>
                <w:b/>
                <w:bCs/>
                <w:color w:val="000000"/>
                <w:sz w:val="16"/>
                <w:szCs w:val="16"/>
              </w:rPr>
            </w:pPr>
            <w:r>
              <w:rPr>
                <w:rFonts w:ascii="Arial Narrow" w:hAnsi="Arial Narrow"/>
                <w:b/>
                <w:bCs/>
                <w:color w:val="000000"/>
                <w:sz w:val="16"/>
                <w:szCs w:val="16"/>
              </w:rPr>
              <w:t> </w:t>
            </w:r>
          </w:p>
        </w:tc>
        <w:tc>
          <w:tcPr>
            <w:tcW w:w="709" w:type="dxa"/>
            <w:tcBorders>
              <w:top w:val="nil"/>
              <w:left w:val="nil"/>
              <w:bottom w:val="nil"/>
              <w:right w:val="nil"/>
            </w:tcBorders>
            <w:shd w:val="clear" w:color="000000" w:fill="FFFFFF"/>
            <w:vAlign w:val="center"/>
            <w:hideMark/>
          </w:tcPr>
          <w:p w:rsidR="00523EFF" w:rsidRDefault="00523EFF" w:rsidP="00523EFF">
            <w:pPr>
              <w:ind w:right="170"/>
              <w:jc w:val="right"/>
              <w:rPr>
                <w:rFonts w:ascii="Arial Narrow" w:hAnsi="Arial Narrow"/>
                <w:b/>
                <w:bCs/>
                <w:color w:val="000000"/>
                <w:sz w:val="16"/>
                <w:szCs w:val="16"/>
              </w:rPr>
            </w:pPr>
            <w:r>
              <w:rPr>
                <w:rFonts w:ascii="Arial Narrow" w:hAnsi="Arial Narrow"/>
                <w:b/>
                <w:bCs/>
                <w:color w:val="000000"/>
                <w:sz w:val="16"/>
                <w:szCs w:val="16"/>
              </w:rPr>
              <w:t> </w:t>
            </w:r>
          </w:p>
        </w:tc>
        <w:tc>
          <w:tcPr>
            <w:tcW w:w="851" w:type="dxa"/>
            <w:tcBorders>
              <w:top w:val="nil"/>
              <w:left w:val="nil"/>
              <w:bottom w:val="nil"/>
              <w:right w:val="single" w:sz="4" w:space="0" w:color="auto"/>
            </w:tcBorders>
            <w:shd w:val="clear" w:color="000000" w:fill="FFFFFF"/>
            <w:vAlign w:val="center"/>
            <w:hideMark/>
          </w:tcPr>
          <w:p w:rsidR="00523EFF" w:rsidRDefault="00523EFF" w:rsidP="00523EFF">
            <w:pPr>
              <w:ind w:right="170"/>
              <w:jc w:val="right"/>
              <w:rPr>
                <w:rFonts w:ascii="Arial Narrow" w:hAnsi="Arial Narrow"/>
                <w:b/>
                <w:bCs/>
                <w:color w:val="000000"/>
                <w:sz w:val="16"/>
                <w:szCs w:val="16"/>
              </w:rPr>
            </w:pPr>
            <w:r>
              <w:rPr>
                <w:rFonts w:ascii="Arial Narrow" w:hAnsi="Arial Narrow"/>
                <w:b/>
                <w:bCs/>
                <w:color w:val="000000"/>
                <w:sz w:val="16"/>
                <w:szCs w:val="16"/>
              </w:rPr>
              <w:t> </w:t>
            </w:r>
          </w:p>
        </w:tc>
      </w:tr>
      <w:tr w:rsidR="00523EFF" w:rsidRPr="004F40E8" w:rsidTr="00523EFF">
        <w:trPr>
          <w:trHeight w:val="20"/>
        </w:trPr>
        <w:tc>
          <w:tcPr>
            <w:tcW w:w="320" w:type="dxa"/>
            <w:tcBorders>
              <w:top w:val="nil"/>
              <w:left w:val="single" w:sz="4" w:space="0" w:color="auto"/>
              <w:bottom w:val="nil"/>
              <w:right w:val="nil"/>
            </w:tcBorders>
            <w:shd w:val="clear" w:color="000000" w:fill="D8D8D8"/>
            <w:hideMark/>
          </w:tcPr>
          <w:p w:rsidR="00523EFF" w:rsidRPr="004F40E8" w:rsidRDefault="00523EFF" w:rsidP="00523EFF">
            <w:pPr>
              <w:jc w:val="center"/>
              <w:rPr>
                <w:rFonts w:ascii="Arial Narrow" w:hAnsi="Arial Narrow"/>
                <w:b/>
                <w:bCs/>
                <w:sz w:val="15"/>
                <w:szCs w:val="15"/>
              </w:rPr>
            </w:pPr>
            <w:r>
              <w:rPr>
                <w:rFonts w:ascii="Arial Narrow" w:hAnsi="Arial Narrow"/>
                <w:b/>
                <w:bCs/>
                <w:sz w:val="15"/>
                <w:szCs w:val="15"/>
              </w:rPr>
              <w:t>ΙΙ.</w:t>
            </w:r>
          </w:p>
        </w:tc>
        <w:tc>
          <w:tcPr>
            <w:tcW w:w="5275" w:type="dxa"/>
            <w:tcBorders>
              <w:top w:val="nil"/>
              <w:left w:val="nil"/>
              <w:bottom w:val="nil"/>
              <w:right w:val="nil"/>
            </w:tcBorders>
            <w:shd w:val="clear" w:color="000000" w:fill="D8D8D8"/>
            <w:vAlign w:val="center"/>
            <w:hideMark/>
          </w:tcPr>
          <w:p w:rsidR="00523EFF" w:rsidRPr="004F40E8" w:rsidRDefault="00523EFF" w:rsidP="00523EFF">
            <w:pPr>
              <w:rPr>
                <w:rFonts w:ascii="Arial Narrow" w:hAnsi="Arial Narrow"/>
                <w:b/>
                <w:bCs/>
                <w:sz w:val="15"/>
                <w:szCs w:val="15"/>
              </w:rPr>
            </w:pPr>
            <w:r>
              <w:rPr>
                <w:rFonts w:ascii="Arial Narrow" w:hAnsi="Arial Narrow"/>
                <w:b/>
                <w:bCs/>
                <w:sz w:val="15"/>
                <w:szCs w:val="15"/>
              </w:rPr>
              <w:t>Προσαρμογές ενισχυμένης εποπτείας</w:t>
            </w:r>
          </w:p>
        </w:tc>
        <w:tc>
          <w:tcPr>
            <w:tcW w:w="992" w:type="dxa"/>
            <w:tcBorders>
              <w:top w:val="nil"/>
              <w:left w:val="nil"/>
              <w:bottom w:val="nil"/>
              <w:right w:val="nil"/>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-1.692</w:t>
            </w:r>
          </w:p>
        </w:tc>
        <w:tc>
          <w:tcPr>
            <w:tcW w:w="850" w:type="dxa"/>
            <w:tcBorders>
              <w:top w:val="nil"/>
              <w:left w:val="nil"/>
              <w:bottom w:val="nil"/>
              <w:right w:val="nil"/>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-418</w:t>
            </w:r>
          </w:p>
        </w:tc>
        <w:tc>
          <w:tcPr>
            <w:tcW w:w="709" w:type="dxa"/>
            <w:tcBorders>
              <w:top w:val="nil"/>
              <w:left w:val="nil"/>
              <w:bottom w:val="nil"/>
              <w:right w:val="nil"/>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-619</w:t>
            </w:r>
          </w:p>
        </w:tc>
        <w:tc>
          <w:tcPr>
            <w:tcW w:w="851" w:type="dxa"/>
            <w:tcBorders>
              <w:top w:val="nil"/>
              <w:left w:val="nil"/>
              <w:bottom w:val="nil"/>
              <w:right w:val="single" w:sz="4" w:space="0" w:color="auto"/>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-78</w:t>
            </w:r>
          </w:p>
        </w:tc>
      </w:tr>
      <w:tr w:rsidR="00523EFF" w:rsidRPr="004F40E8" w:rsidTr="00523EFF">
        <w:trPr>
          <w:trHeight w:val="20"/>
        </w:trPr>
        <w:tc>
          <w:tcPr>
            <w:tcW w:w="320" w:type="dxa"/>
            <w:tcBorders>
              <w:top w:val="nil"/>
              <w:left w:val="single" w:sz="4" w:space="0" w:color="auto"/>
              <w:bottom w:val="nil"/>
              <w:right w:val="nil"/>
            </w:tcBorders>
            <w:shd w:val="clear" w:color="000000" w:fill="FFFFFF"/>
            <w:hideMark/>
          </w:tcPr>
          <w:p w:rsidR="00523EFF" w:rsidRPr="004F40E8" w:rsidRDefault="00523EFF" w:rsidP="00523EFF">
            <w:pPr>
              <w:jc w:val="center"/>
              <w:rPr>
                <w:rFonts w:ascii="Arial Narrow" w:hAnsi="Arial Narrow"/>
                <w:b/>
                <w:bCs/>
                <w:color w:val="000000"/>
                <w:sz w:val="15"/>
                <w:szCs w:val="15"/>
              </w:rPr>
            </w:pPr>
          </w:p>
        </w:tc>
        <w:tc>
          <w:tcPr>
            <w:tcW w:w="5275" w:type="dxa"/>
            <w:tcBorders>
              <w:top w:val="nil"/>
              <w:left w:val="nil"/>
              <w:bottom w:val="nil"/>
              <w:right w:val="nil"/>
            </w:tcBorders>
            <w:shd w:val="clear" w:color="000000" w:fill="FFFFFF"/>
            <w:vAlign w:val="center"/>
            <w:hideMark/>
          </w:tcPr>
          <w:p w:rsidR="00523EFF" w:rsidRPr="00D25194" w:rsidRDefault="00523EFF" w:rsidP="00523EFF">
            <w:pPr>
              <w:rPr>
                <w:rFonts w:ascii="Arial Narrow" w:hAnsi="Arial Narrow"/>
                <w:sz w:val="15"/>
                <w:szCs w:val="15"/>
              </w:rPr>
            </w:pPr>
            <w:r w:rsidRPr="004F40E8">
              <w:rPr>
                <w:rFonts w:ascii="Arial Narrow" w:hAnsi="Arial Narrow"/>
                <w:sz w:val="15"/>
                <w:szCs w:val="15"/>
              </w:rPr>
              <w:t xml:space="preserve">Μεταφορά εσόδων από ANFA και SMP </w:t>
            </w:r>
            <w:r>
              <w:rPr>
                <w:rFonts w:ascii="Arial Narrow" w:hAnsi="Arial Narrow"/>
                <w:sz w:val="15"/>
                <w:szCs w:val="15"/>
              </w:rPr>
              <w:t xml:space="preserve">και επιστροφή τόκων </w:t>
            </w:r>
            <w:r>
              <w:rPr>
                <w:rFonts w:ascii="Arial Narrow" w:hAnsi="Arial Narrow"/>
                <w:sz w:val="15"/>
                <w:szCs w:val="15"/>
                <w:lang w:val="en-US"/>
              </w:rPr>
              <w:t>EFSF</w:t>
            </w:r>
          </w:p>
        </w:tc>
        <w:tc>
          <w:tcPr>
            <w:tcW w:w="992" w:type="dxa"/>
            <w:tcBorders>
              <w:top w:val="nil"/>
              <w:left w:val="nil"/>
              <w:bottom w:val="nil"/>
              <w:right w:val="nil"/>
            </w:tcBorders>
            <w:shd w:val="clear" w:color="000000" w:fill="FFFFFF"/>
            <w:vAlign w:val="center"/>
            <w:hideMark/>
          </w:tcPr>
          <w:p w:rsidR="00523EFF" w:rsidRDefault="00523EFF" w:rsidP="00523EFF">
            <w:pPr>
              <w:ind w:right="170"/>
              <w:jc w:val="right"/>
              <w:rPr>
                <w:rFonts w:ascii="Arial Narrow" w:hAnsi="Arial Narrow"/>
                <w:color w:val="000000"/>
                <w:sz w:val="16"/>
                <w:szCs w:val="16"/>
              </w:rPr>
            </w:pPr>
            <w:r>
              <w:rPr>
                <w:rFonts w:ascii="Arial Narrow" w:hAnsi="Arial Narrow"/>
                <w:color w:val="000000"/>
                <w:sz w:val="16"/>
                <w:szCs w:val="16"/>
              </w:rPr>
              <w:t>-1.683</w:t>
            </w:r>
          </w:p>
        </w:tc>
        <w:tc>
          <w:tcPr>
            <w:tcW w:w="850" w:type="dxa"/>
            <w:tcBorders>
              <w:top w:val="nil"/>
              <w:left w:val="nil"/>
              <w:bottom w:val="nil"/>
              <w:right w:val="nil"/>
            </w:tcBorders>
            <w:shd w:val="clear" w:color="000000" w:fill="FFFFFF"/>
            <w:vAlign w:val="center"/>
            <w:hideMark/>
          </w:tcPr>
          <w:p w:rsidR="00523EFF" w:rsidRDefault="00523EFF" w:rsidP="00523EFF">
            <w:pPr>
              <w:ind w:right="170"/>
              <w:jc w:val="right"/>
              <w:rPr>
                <w:rFonts w:ascii="Arial Narrow" w:hAnsi="Arial Narrow"/>
                <w:color w:val="000000"/>
                <w:sz w:val="16"/>
                <w:szCs w:val="16"/>
              </w:rPr>
            </w:pPr>
            <w:r>
              <w:rPr>
                <w:rFonts w:ascii="Arial Narrow" w:hAnsi="Arial Narrow"/>
                <w:color w:val="000000"/>
                <w:sz w:val="16"/>
                <w:szCs w:val="16"/>
              </w:rPr>
              <w:t>-251</w:t>
            </w:r>
          </w:p>
        </w:tc>
        <w:tc>
          <w:tcPr>
            <w:tcW w:w="709" w:type="dxa"/>
            <w:tcBorders>
              <w:top w:val="nil"/>
              <w:left w:val="nil"/>
              <w:bottom w:val="nil"/>
              <w:right w:val="nil"/>
            </w:tcBorders>
            <w:shd w:val="clear" w:color="000000" w:fill="FFFFFF"/>
            <w:vAlign w:val="center"/>
            <w:hideMark/>
          </w:tcPr>
          <w:p w:rsidR="00523EFF" w:rsidRDefault="00523EFF" w:rsidP="00523EFF">
            <w:pPr>
              <w:ind w:right="170"/>
              <w:jc w:val="right"/>
              <w:rPr>
                <w:rFonts w:ascii="Arial Narrow" w:hAnsi="Arial Narrow"/>
                <w:color w:val="000000"/>
                <w:sz w:val="16"/>
                <w:szCs w:val="16"/>
              </w:rPr>
            </w:pPr>
            <w:r>
              <w:rPr>
                <w:rFonts w:ascii="Arial Narrow" w:hAnsi="Arial Narrow"/>
                <w:color w:val="000000"/>
                <w:sz w:val="16"/>
                <w:szCs w:val="16"/>
              </w:rPr>
              <w:t>-999</w:t>
            </w:r>
          </w:p>
        </w:tc>
        <w:tc>
          <w:tcPr>
            <w:tcW w:w="851" w:type="dxa"/>
            <w:tcBorders>
              <w:top w:val="nil"/>
              <w:left w:val="nil"/>
              <w:bottom w:val="nil"/>
              <w:right w:val="single" w:sz="4" w:space="0" w:color="auto"/>
            </w:tcBorders>
            <w:shd w:val="clear" w:color="000000" w:fill="FFFFFF"/>
            <w:vAlign w:val="center"/>
            <w:hideMark/>
          </w:tcPr>
          <w:p w:rsidR="00523EFF" w:rsidRDefault="00523EFF" w:rsidP="00523EFF">
            <w:pPr>
              <w:ind w:right="170"/>
              <w:jc w:val="right"/>
              <w:rPr>
                <w:rFonts w:ascii="Arial Narrow" w:hAnsi="Arial Narrow"/>
                <w:color w:val="000000"/>
                <w:sz w:val="16"/>
                <w:szCs w:val="16"/>
              </w:rPr>
            </w:pPr>
            <w:r>
              <w:rPr>
                <w:rFonts w:ascii="Arial Narrow" w:hAnsi="Arial Narrow"/>
                <w:color w:val="000000"/>
                <w:sz w:val="16"/>
                <w:szCs w:val="16"/>
              </w:rPr>
              <w:t>-163</w:t>
            </w:r>
          </w:p>
        </w:tc>
      </w:tr>
      <w:tr w:rsidR="00523EFF" w:rsidRPr="004F40E8" w:rsidTr="00523EFF">
        <w:trPr>
          <w:trHeight w:val="52"/>
        </w:trPr>
        <w:tc>
          <w:tcPr>
            <w:tcW w:w="320" w:type="dxa"/>
            <w:tcBorders>
              <w:top w:val="nil"/>
              <w:left w:val="single" w:sz="4" w:space="0" w:color="auto"/>
              <w:bottom w:val="nil"/>
              <w:right w:val="nil"/>
            </w:tcBorders>
            <w:shd w:val="clear" w:color="000000" w:fill="FFFFFF"/>
            <w:hideMark/>
          </w:tcPr>
          <w:p w:rsidR="00523EFF" w:rsidRPr="004F40E8" w:rsidRDefault="00523EFF" w:rsidP="00523EFF">
            <w:pPr>
              <w:jc w:val="center"/>
              <w:rPr>
                <w:rFonts w:ascii="Arial Narrow" w:hAnsi="Arial Narrow"/>
                <w:b/>
                <w:bCs/>
                <w:color w:val="000000"/>
                <w:sz w:val="15"/>
                <w:szCs w:val="15"/>
              </w:rPr>
            </w:pPr>
          </w:p>
        </w:tc>
        <w:tc>
          <w:tcPr>
            <w:tcW w:w="5275" w:type="dxa"/>
            <w:tcBorders>
              <w:top w:val="nil"/>
              <w:left w:val="nil"/>
              <w:bottom w:val="nil"/>
              <w:right w:val="nil"/>
            </w:tcBorders>
            <w:shd w:val="clear" w:color="000000" w:fill="FFFFFF"/>
            <w:vAlign w:val="center"/>
            <w:hideMark/>
          </w:tcPr>
          <w:p w:rsidR="00523EFF" w:rsidRPr="004F40E8" w:rsidRDefault="00523EFF" w:rsidP="00523EFF">
            <w:pPr>
              <w:rPr>
                <w:rFonts w:ascii="Arial Narrow" w:hAnsi="Arial Narrow"/>
                <w:sz w:val="15"/>
                <w:szCs w:val="15"/>
              </w:rPr>
            </w:pPr>
            <w:r w:rsidRPr="004F40E8">
              <w:rPr>
                <w:rFonts w:ascii="Arial Narrow" w:hAnsi="Arial Narrow"/>
                <w:sz w:val="15"/>
                <w:szCs w:val="15"/>
              </w:rPr>
              <w:t>Επιστροφές εσόδων</w:t>
            </w:r>
          </w:p>
        </w:tc>
        <w:tc>
          <w:tcPr>
            <w:tcW w:w="992" w:type="dxa"/>
            <w:tcBorders>
              <w:top w:val="nil"/>
              <w:left w:val="nil"/>
              <w:bottom w:val="nil"/>
              <w:right w:val="nil"/>
            </w:tcBorders>
            <w:shd w:val="clear" w:color="000000" w:fill="FFFFFF"/>
            <w:vAlign w:val="center"/>
            <w:hideMark/>
          </w:tcPr>
          <w:p w:rsidR="00523EFF" w:rsidRDefault="00523EFF" w:rsidP="00523EFF">
            <w:pPr>
              <w:ind w:right="170"/>
              <w:jc w:val="right"/>
              <w:rPr>
                <w:rFonts w:ascii="Arial Narrow" w:hAnsi="Arial Narrow"/>
                <w:color w:val="000000"/>
                <w:sz w:val="16"/>
                <w:szCs w:val="16"/>
              </w:rPr>
            </w:pPr>
            <w:r>
              <w:rPr>
                <w:rFonts w:ascii="Arial Narrow" w:hAnsi="Arial Narrow"/>
                <w:color w:val="000000"/>
                <w:sz w:val="16"/>
                <w:szCs w:val="16"/>
              </w:rPr>
              <w:t>101</w:t>
            </w:r>
          </w:p>
        </w:tc>
        <w:tc>
          <w:tcPr>
            <w:tcW w:w="850" w:type="dxa"/>
            <w:tcBorders>
              <w:top w:val="nil"/>
              <w:left w:val="nil"/>
              <w:bottom w:val="nil"/>
              <w:right w:val="nil"/>
            </w:tcBorders>
            <w:shd w:val="clear" w:color="000000" w:fill="FFFFFF"/>
            <w:vAlign w:val="center"/>
            <w:hideMark/>
          </w:tcPr>
          <w:p w:rsidR="00523EFF" w:rsidRDefault="00523EFF" w:rsidP="00523EFF">
            <w:pPr>
              <w:ind w:right="170"/>
              <w:jc w:val="right"/>
              <w:rPr>
                <w:rFonts w:ascii="Arial Narrow" w:hAnsi="Arial Narrow"/>
                <w:color w:val="000000"/>
                <w:sz w:val="16"/>
                <w:szCs w:val="16"/>
              </w:rPr>
            </w:pPr>
            <w:r>
              <w:rPr>
                <w:rFonts w:ascii="Arial Narrow" w:hAnsi="Arial Narrow"/>
                <w:color w:val="000000"/>
                <w:sz w:val="16"/>
                <w:szCs w:val="16"/>
              </w:rPr>
              <w:t>0</w:t>
            </w:r>
          </w:p>
        </w:tc>
        <w:tc>
          <w:tcPr>
            <w:tcW w:w="709" w:type="dxa"/>
            <w:tcBorders>
              <w:top w:val="nil"/>
              <w:left w:val="nil"/>
              <w:bottom w:val="nil"/>
              <w:right w:val="nil"/>
            </w:tcBorders>
            <w:shd w:val="clear" w:color="000000" w:fill="FFFFFF"/>
            <w:vAlign w:val="center"/>
            <w:hideMark/>
          </w:tcPr>
          <w:p w:rsidR="00523EFF" w:rsidRDefault="00523EFF" w:rsidP="00523EFF">
            <w:pPr>
              <w:ind w:right="170"/>
              <w:jc w:val="right"/>
              <w:rPr>
                <w:rFonts w:ascii="Arial Narrow" w:hAnsi="Arial Narrow"/>
                <w:color w:val="000000"/>
                <w:sz w:val="16"/>
                <w:szCs w:val="16"/>
              </w:rPr>
            </w:pPr>
            <w:r>
              <w:rPr>
                <w:rFonts w:ascii="Arial Narrow" w:hAnsi="Arial Narrow"/>
                <w:color w:val="000000"/>
                <w:sz w:val="16"/>
                <w:szCs w:val="16"/>
              </w:rPr>
              <w:t>0</w:t>
            </w:r>
          </w:p>
        </w:tc>
        <w:tc>
          <w:tcPr>
            <w:tcW w:w="851" w:type="dxa"/>
            <w:tcBorders>
              <w:top w:val="nil"/>
              <w:left w:val="nil"/>
              <w:bottom w:val="nil"/>
              <w:right w:val="single" w:sz="4" w:space="0" w:color="auto"/>
            </w:tcBorders>
            <w:shd w:val="clear" w:color="000000" w:fill="FFFFFF"/>
            <w:vAlign w:val="center"/>
            <w:hideMark/>
          </w:tcPr>
          <w:p w:rsidR="00523EFF" w:rsidRDefault="00523EFF" w:rsidP="00523EFF">
            <w:pPr>
              <w:ind w:right="170"/>
              <w:jc w:val="right"/>
              <w:rPr>
                <w:rFonts w:ascii="Arial Narrow" w:hAnsi="Arial Narrow"/>
                <w:color w:val="000000"/>
                <w:sz w:val="16"/>
                <w:szCs w:val="16"/>
              </w:rPr>
            </w:pPr>
            <w:r>
              <w:rPr>
                <w:rFonts w:ascii="Arial Narrow" w:hAnsi="Arial Narrow"/>
                <w:color w:val="000000"/>
                <w:sz w:val="16"/>
                <w:szCs w:val="16"/>
              </w:rPr>
              <w:t>0</w:t>
            </w:r>
          </w:p>
        </w:tc>
      </w:tr>
      <w:tr w:rsidR="00523EFF" w:rsidRPr="004F40E8" w:rsidTr="00523EFF">
        <w:trPr>
          <w:trHeight w:val="20"/>
        </w:trPr>
        <w:tc>
          <w:tcPr>
            <w:tcW w:w="320" w:type="dxa"/>
            <w:tcBorders>
              <w:top w:val="nil"/>
              <w:left w:val="single" w:sz="4" w:space="0" w:color="auto"/>
              <w:bottom w:val="nil"/>
              <w:right w:val="nil"/>
            </w:tcBorders>
            <w:shd w:val="clear" w:color="000000" w:fill="FFFFFF"/>
            <w:hideMark/>
          </w:tcPr>
          <w:p w:rsidR="00523EFF" w:rsidRPr="004F40E8" w:rsidRDefault="00523EFF" w:rsidP="00523EFF">
            <w:pPr>
              <w:jc w:val="center"/>
              <w:rPr>
                <w:rFonts w:ascii="Arial Narrow" w:hAnsi="Arial Narrow"/>
                <w:b/>
                <w:bCs/>
                <w:color w:val="000000"/>
                <w:sz w:val="15"/>
                <w:szCs w:val="15"/>
              </w:rPr>
            </w:pPr>
          </w:p>
        </w:tc>
        <w:tc>
          <w:tcPr>
            <w:tcW w:w="5275" w:type="dxa"/>
            <w:tcBorders>
              <w:top w:val="nil"/>
              <w:left w:val="nil"/>
              <w:bottom w:val="nil"/>
              <w:right w:val="nil"/>
            </w:tcBorders>
            <w:shd w:val="clear" w:color="000000" w:fill="FFFFFF"/>
            <w:vAlign w:val="center"/>
            <w:hideMark/>
          </w:tcPr>
          <w:p w:rsidR="00523EFF" w:rsidRPr="004F40E8" w:rsidRDefault="00523EFF" w:rsidP="00523EFF">
            <w:pPr>
              <w:rPr>
                <w:rFonts w:ascii="Arial Narrow" w:hAnsi="Arial Narrow"/>
                <w:sz w:val="15"/>
                <w:szCs w:val="15"/>
              </w:rPr>
            </w:pPr>
            <w:r w:rsidRPr="004F40E8">
              <w:rPr>
                <w:rFonts w:ascii="Arial Narrow" w:hAnsi="Arial Narrow"/>
                <w:sz w:val="15"/>
                <w:szCs w:val="15"/>
              </w:rPr>
              <w:t>Έσοδα αποκρατικοποιήσεων</w:t>
            </w:r>
          </w:p>
        </w:tc>
        <w:tc>
          <w:tcPr>
            <w:tcW w:w="992" w:type="dxa"/>
            <w:tcBorders>
              <w:top w:val="nil"/>
              <w:left w:val="nil"/>
              <w:bottom w:val="nil"/>
              <w:right w:val="nil"/>
            </w:tcBorders>
            <w:shd w:val="clear" w:color="000000" w:fill="FFFFFF"/>
            <w:vAlign w:val="center"/>
            <w:hideMark/>
          </w:tcPr>
          <w:p w:rsidR="00523EFF" w:rsidRDefault="00523EFF" w:rsidP="00523EFF">
            <w:pPr>
              <w:ind w:right="170"/>
              <w:jc w:val="right"/>
              <w:rPr>
                <w:rFonts w:ascii="Arial Narrow" w:hAnsi="Arial Narrow"/>
                <w:color w:val="000000"/>
                <w:sz w:val="16"/>
                <w:szCs w:val="16"/>
              </w:rPr>
            </w:pPr>
            <w:r>
              <w:rPr>
                <w:rFonts w:ascii="Arial Narrow" w:hAnsi="Arial Narrow"/>
                <w:color w:val="000000"/>
                <w:sz w:val="16"/>
                <w:szCs w:val="16"/>
              </w:rPr>
              <w:t>-2</w:t>
            </w:r>
          </w:p>
        </w:tc>
        <w:tc>
          <w:tcPr>
            <w:tcW w:w="850" w:type="dxa"/>
            <w:tcBorders>
              <w:top w:val="nil"/>
              <w:left w:val="nil"/>
              <w:bottom w:val="nil"/>
              <w:right w:val="nil"/>
            </w:tcBorders>
            <w:shd w:val="clear" w:color="000000" w:fill="FFFFFF"/>
            <w:vAlign w:val="center"/>
            <w:hideMark/>
          </w:tcPr>
          <w:p w:rsidR="00523EFF" w:rsidRDefault="00523EFF" w:rsidP="00523EFF">
            <w:pPr>
              <w:ind w:right="170"/>
              <w:jc w:val="right"/>
              <w:rPr>
                <w:rFonts w:ascii="Arial Narrow" w:hAnsi="Arial Narrow"/>
                <w:color w:val="000000"/>
                <w:sz w:val="16"/>
                <w:szCs w:val="16"/>
              </w:rPr>
            </w:pPr>
            <w:r>
              <w:rPr>
                <w:rFonts w:ascii="Arial Narrow" w:hAnsi="Arial Narrow"/>
                <w:color w:val="000000"/>
                <w:sz w:val="16"/>
                <w:szCs w:val="16"/>
              </w:rPr>
              <w:t>-332</w:t>
            </w:r>
          </w:p>
        </w:tc>
        <w:tc>
          <w:tcPr>
            <w:tcW w:w="709" w:type="dxa"/>
            <w:tcBorders>
              <w:top w:val="nil"/>
              <w:left w:val="nil"/>
              <w:bottom w:val="nil"/>
              <w:right w:val="nil"/>
            </w:tcBorders>
            <w:shd w:val="clear" w:color="000000" w:fill="FFFFFF"/>
            <w:vAlign w:val="center"/>
            <w:hideMark/>
          </w:tcPr>
          <w:p w:rsidR="00523EFF" w:rsidRDefault="00523EFF" w:rsidP="00523EFF">
            <w:pPr>
              <w:ind w:right="170"/>
              <w:jc w:val="right"/>
              <w:rPr>
                <w:rFonts w:ascii="Arial Narrow" w:hAnsi="Arial Narrow"/>
                <w:color w:val="000000"/>
                <w:sz w:val="16"/>
                <w:szCs w:val="16"/>
              </w:rPr>
            </w:pPr>
            <w:r>
              <w:rPr>
                <w:rFonts w:ascii="Arial Narrow" w:hAnsi="Arial Narrow"/>
                <w:color w:val="000000"/>
                <w:sz w:val="16"/>
                <w:szCs w:val="16"/>
              </w:rPr>
              <w:t>-25</w:t>
            </w:r>
          </w:p>
        </w:tc>
        <w:tc>
          <w:tcPr>
            <w:tcW w:w="851" w:type="dxa"/>
            <w:tcBorders>
              <w:top w:val="nil"/>
              <w:left w:val="nil"/>
              <w:bottom w:val="nil"/>
              <w:right w:val="single" w:sz="4" w:space="0" w:color="auto"/>
            </w:tcBorders>
            <w:shd w:val="clear" w:color="000000" w:fill="FFFFFF"/>
            <w:vAlign w:val="center"/>
            <w:hideMark/>
          </w:tcPr>
          <w:p w:rsidR="00523EFF" w:rsidRDefault="00523EFF" w:rsidP="00523EFF">
            <w:pPr>
              <w:ind w:right="170"/>
              <w:jc w:val="right"/>
              <w:rPr>
                <w:rFonts w:ascii="Arial Narrow" w:hAnsi="Arial Narrow"/>
                <w:color w:val="000000"/>
                <w:sz w:val="16"/>
                <w:szCs w:val="16"/>
              </w:rPr>
            </w:pPr>
            <w:r>
              <w:rPr>
                <w:rFonts w:ascii="Arial Narrow" w:hAnsi="Arial Narrow"/>
                <w:color w:val="000000"/>
                <w:sz w:val="16"/>
                <w:szCs w:val="16"/>
              </w:rPr>
              <w:t>-330</w:t>
            </w:r>
          </w:p>
        </w:tc>
      </w:tr>
      <w:tr w:rsidR="00523EFF" w:rsidRPr="004F40E8" w:rsidTr="00523EFF">
        <w:trPr>
          <w:trHeight w:val="20"/>
        </w:trPr>
        <w:tc>
          <w:tcPr>
            <w:tcW w:w="320" w:type="dxa"/>
            <w:tcBorders>
              <w:top w:val="nil"/>
              <w:left w:val="single" w:sz="4" w:space="0" w:color="auto"/>
              <w:bottom w:val="nil"/>
              <w:right w:val="nil"/>
            </w:tcBorders>
            <w:shd w:val="clear" w:color="000000" w:fill="FFFFFF"/>
            <w:hideMark/>
          </w:tcPr>
          <w:p w:rsidR="00523EFF" w:rsidRPr="004F40E8" w:rsidRDefault="00523EFF" w:rsidP="00523EFF">
            <w:pPr>
              <w:jc w:val="center"/>
              <w:rPr>
                <w:rFonts w:ascii="Arial Narrow" w:hAnsi="Arial Narrow"/>
                <w:b/>
                <w:bCs/>
                <w:color w:val="000000"/>
                <w:sz w:val="15"/>
                <w:szCs w:val="15"/>
              </w:rPr>
            </w:pPr>
          </w:p>
        </w:tc>
        <w:tc>
          <w:tcPr>
            <w:tcW w:w="5275" w:type="dxa"/>
            <w:tcBorders>
              <w:top w:val="nil"/>
              <w:left w:val="nil"/>
              <w:bottom w:val="nil"/>
              <w:right w:val="nil"/>
            </w:tcBorders>
            <w:shd w:val="clear" w:color="000000" w:fill="FFFFFF"/>
            <w:vAlign w:val="center"/>
            <w:hideMark/>
          </w:tcPr>
          <w:p w:rsidR="00523EFF" w:rsidRPr="004F40E8" w:rsidRDefault="00523EFF" w:rsidP="00523EFF">
            <w:pPr>
              <w:rPr>
                <w:rFonts w:ascii="Arial Narrow" w:hAnsi="Arial Narrow"/>
                <w:sz w:val="15"/>
                <w:szCs w:val="15"/>
              </w:rPr>
            </w:pPr>
            <w:r w:rsidRPr="004F40E8">
              <w:rPr>
                <w:rFonts w:ascii="Arial Narrow" w:hAnsi="Arial Narrow"/>
                <w:sz w:val="15"/>
                <w:szCs w:val="15"/>
              </w:rPr>
              <w:t>Δαπάνες</w:t>
            </w:r>
            <w:r>
              <w:rPr>
                <w:rFonts w:ascii="Arial Narrow" w:hAnsi="Arial Narrow"/>
                <w:sz w:val="15"/>
                <w:szCs w:val="15"/>
              </w:rPr>
              <w:t xml:space="preserve"> μεταναστευτικών ροών μη αντικρι</w:t>
            </w:r>
            <w:r w:rsidRPr="004F40E8">
              <w:rPr>
                <w:rFonts w:ascii="Arial Narrow" w:hAnsi="Arial Narrow"/>
                <w:sz w:val="15"/>
                <w:szCs w:val="15"/>
              </w:rPr>
              <w:t>ζόμενες</w:t>
            </w:r>
          </w:p>
        </w:tc>
        <w:tc>
          <w:tcPr>
            <w:tcW w:w="992" w:type="dxa"/>
            <w:tcBorders>
              <w:top w:val="nil"/>
              <w:left w:val="nil"/>
              <w:bottom w:val="nil"/>
              <w:right w:val="nil"/>
            </w:tcBorders>
            <w:shd w:val="clear" w:color="000000" w:fill="FFFFFF"/>
            <w:vAlign w:val="center"/>
            <w:hideMark/>
          </w:tcPr>
          <w:p w:rsidR="00523EFF" w:rsidRDefault="00523EFF" w:rsidP="00523EFF">
            <w:pPr>
              <w:ind w:right="170"/>
              <w:jc w:val="right"/>
              <w:rPr>
                <w:rFonts w:ascii="Arial Narrow" w:hAnsi="Arial Narrow"/>
                <w:color w:val="000000"/>
                <w:sz w:val="16"/>
                <w:szCs w:val="16"/>
              </w:rPr>
            </w:pPr>
            <w:r>
              <w:rPr>
                <w:rFonts w:ascii="Arial Narrow" w:hAnsi="Arial Narrow"/>
                <w:color w:val="000000"/>
                <w:sz w:val="16"/>
                <w:szCs w:val="16"/>
              </w:rPr>
              <w:t>126</w:t>
            </w:r>
          </w:p>
        </w:tc>
        <w:tc>
          <w:tcPr>
            <w:tcW w:w="850" w:type="dxa"/>
            <w:tcBorders>
              <w:top w:val="nil"/>
              <w:left w:val="nil"/>
              <w:bottom w:val="nil"/>
              <w:right w:val="nil"/>
            </w:tcBorders>
            <w:shd w:val="clear" w:color="000000" w:fill="FFFFFF"/>
            <w:vAlign w:val="center"/>
            <w:hideMark/>
          </w:tcPr>
          <w:p w:rsidR="00523EFF" w:rsidRDefault="00523EFF" w:rsidP="00523EFF">
            <w:pPr>
              <w:ind w:right="170"/>
              <w:jc w:val="right"/>
              <w:rPr>
                <w:rFonts w:ascii="Arial Narrow" w:hAnsi="Arial Narrow"/>
                <w:color w:val="000000"/>
                <w:sz w:val="16"/>
                <w:szCs w:val="16"/>
              </w:rPr>
            </w:pPr>
            <w:r>
              <w:rPr>
                <w:rFonts w:ascii="Arial Narrow" w:hAnsi="Arial Narrow"/>
                <w:color w:val="000000"/>
                <w:sz w:val="16"/>
                <w:szCs w:val="16"/>
              </w:rPr>
              <w:t>165</w:t>
            </w:r>
          </w:p>
        </w:tc>
        <w:tc>
          <w:tcPr>
            <w:tcW w:w="709" w:type="dxa"/>
            <w:tcBorders>
              <w:top w:val="nil"/>
              <w:left w:val="nil"/>
              <w:bottom w:val="nil"/>
              <w:right w:val="nil"/>
            </w:tcBorders>
            <w:shd w:val="clear" w:color="000000" w:fill="FFFFFF"/>
            <w:vAlign w:val="center"/>
            <w:hideMark/>
          </w:tcPr>
          <w:p w:rsidR="00523EFF" w:rsidRDefault="00523EFF" w:rsidP="00523EFF">
            <w:pPr>
              <w:ind w:right="170"/>
              <w:jc w:val="right"/>
              <w:rPr>
                <w:rFonts w:ascii="Arial Narrow" w:hAnsi="Arial Narrow"/>
                <w:color w:val="000000"/>
                <w:sz w:val="16"/>
                <w:szCs w:val="16"/>
              </w:rPr>
            </w:pPr>
            <w:r>
              <w:rPr>
                <w:rFonts w:ascii="Arial Narrow" w:hAnsi="Arial Narrow"/>
                <w:color w:val="000000"/>
                <w:sz w:val="16"/>
                <w:szCs w:val="16"/>
              </w:rPr>
              <w:t>405</w:t>
            </w:r>
          </w:p>
        </w:tc>
        <w:tc>
          <w:tcPr>
            <w:tcW w:w="851" w:type="dxa"/>
            <w:tcBorders>
              <w:top w:val="nil"/>
              <w:left w:val="nil"/>
              <w:bottom w:val="nil"/>
              <w:right w:val="single" w:sz="4" w:space="0" w:color="auto"/>
            </w:tcBorders>
            <w:shd w:val="clear" w:color="000000" w:fill="FFFFFF"/>
            <w:vAlign w:val="center"/>
            <w:hideMark/>
          </w:tcPr>
          <w:p w:rsidR="00523EFF" w:rsidRDefault="00523EFF" w:rsidP="00523EFF">
            <w:pPr>
              <w:ind w:right="170"/>
              <w:jc w:val="right"/>
              <w:rPr>
                <w:rFonts w:ascii="Arial Narrow" w:hAnsi="Arial Narrow"/>
                <w:color w:val="000000"/>
                <w:sz w:val="16"/>
                <w:szCs w:val="16"/>
              </w:rPr>
            </w:pPr>
            <w:r>
              <w:rPr>
                <w:rFonts w:ascii="Arial Narrow" w:hAnsi="Arial Narrow"/>
                <w:color w:val="000000"/>
                <w:sz w:val="16"/>
                <w:szCs w:val="16"/>
              </w:rPr>
              <w:t>414</w:t>
            </w:r>
          </w:p>
        </w:tc>
      </w:tr>
      <w:tr w:rsidR="00523EFF" w:rsidRPr="004F40E8" w:rsidTr="00523EFF">
        <w:trPr>
          <w:trHeight w:val="20"/>
        </w:trPr>
        <w:tc>
          <w:tcPr>
            <w:tcW w:w="320" w:type="dxa"/>
            <w:tcBorders>
              <w:top w:val="nil"/>
              <w:left w:val="single" w:sz="4" w:space="0" w:color="auto"/>
              <w:bottom w:val="nil"/>
              <w:right w:val="nil"/>
            </w:tcBorders>
            <w:shd w:val="clear" w:color="000000" w:fill="FFFFFF"/>
            <w:hideMark/>
          </w:tcPr>
          <w:p w:rsidR="00523EFF" w:rsidRPr="004F40E8" w:rsidRDefault="00523EFF" w:rsidP="00523EFF">
            <w:pPr>
              <w:jc w:val="center"/>
              <w:rPr>
                <w:rFonts w:ascii="Arial Narrow" w:hAnsi="Arial Narrow"/>
                <w:b/>
                <w:bCs/>
                <w:color w:val="000000"/>
                <w:sz w:val="15"/>
                <w:szCs w:val="15"/>
              </w:rPr>
            </w:pPr>
          </w:p>
        </w:tc>
        <w:tc>
          <w:tcPr>
            <w:tcW w:w="5275" w:type="dxa"/>
            <w:tcBorders>
              <w:top w:val="nil"/>
              <w:left w:val="nil"/>
              <w:bottom w:val="nil"/>
              <w:right w:val="nil"/>
            </w:tcBorders>
            <w:shd w:val="clear" w:color="000000" w:fill="FFFFFF"/>
            <w:vAlign w:val="center"/>
            <w:hideMark/>
          </w:tcPr>
          <w:p w:rsidR="00523EFF" w:rsidRPr="004F40E8" w:rsidRDefault="00523EFF" w:rsidP="00523EFF">
            <w:pPr>
              <w:rPr>
                <w:rFonts w:ascii="Arial Narrow" w:hAnsi="Arial Narrow"/>
                <w:sz w:val="15"/>
                <w:szCs w:val="15"/>
              </w:rPr>
            </w:pPr>
            <w:r>
              <w:rPr>
                <w:rFonts w:ascii="Arial Narrow" w:hAnsi="Arial Narrow"/>
                <w:sz w:val="15"/>
                <w:szCs w:val="15"/>
              </w:rPr>
              <w:t>Στήριξη χρηματοπιστωτικών ιδρυμάτων</w:t>
            </w:r>
            <w:r w:rsidRPr="004F40E8">
              <w:rPr>
                <w:rFonts w:ascii="Arial Narrow" w:hAnsi="Arial Narrow"/>
                <w:sz w:val="15"/>
                <w:szCs w:val="15"/>
              </w:rPr>
              <w:t> </w:t>
            </w:r>
          </w:p>
        </w:tc>
        <w:tc>
          <w:tcPr>
            <w:tcW w:w="992" w:type="dxa"/>
            <w:tcBorders>
              <w:top w:val="nil"/>
              <w:left w:val="nil"/>
              <w:bottom w:val="nil"/>
              <w:right w:val="nil"/>
            </w:tcBorders>
            <w:shd w:val="clear" w:color="000000" w:fill="FFFFFF"/>
            <w:vAlign w:val="center"/>
            <w:hideMark/>
          </w:tcPr>
          <w:p w:rsidR="00523EFF" w:rsidRDefault="00523EFF" w:rsidP="00523EFF">
            <w:pPr>
              <w:ind w:right="170"/>
              <w:jc w:val="right"/>
              <w:rPr>
                <w:rFonts w:ascii="Arial Narrow" w:hAnsi="Arial Narrow"/>
                <w:color w:val="000000"/>
                <w:sz w:val="16"/>
                <w:szCs w:val="16"/>
              </w:rPr>
            </w:pPr>
            <w:r>
              <w:rPr>
                <w:rFonts w:ascii="Arial Narrow" w:hAnsi="Arial Narrow"/>
                <w:color w:val="000000"/>
                <w:sz w:val="16"/>
                <w:szCs w:val="16"/>
              </w:rPr>
              <w:t>-233</w:t>
            </w:r>
          </w:p>
        </w:tc>
        <w:tc>
          <w:tcPr>
            <w:tcW w:w="850" w:type="dxa"/>
            <w:tcBorders>
              <w:top w:val="nil"/>
              <w:left w:val="nil"/>
              <w:bottom w:val="nil"/>
              <w:right w:val="nil"/>
            </w:tcBorders>
            <w:shd w:val="clear" w:color="000000" w:fill="FFFFFF"/>
            <w:vAlign w:val="center"/>
            <w:hideMark/>
          </w:tcPr>
          <w:p w:rsidR="00523EFF" w:rsidRDefault="00523EFF" w:rsidP="00523EFF">
            <w:pPr>
              <w:ind w:right="170"/>
              <w:jc w:val="right"/>
              <w:rPr>
                <w:rFonts w:ascii="Arial Narrow" w:hAnsi="Arial Narrow"/>
                <w:color w:val="000000"/>
                <w:sz w:val="16"/>
                <w:szCs w:val="16"/>
              </w:rPr>
            </w:pPr>
            <w:r>
              <w:rPr>
                <w:rFonts w:ascii="Arial Narrow" w:hAnsi="Arial Narrow"/>
                <w:color w:val="000000"/>
                <w:sz w:val="16"/>
                <w:szCs w:val="16"/>
              </w:rPr>
              <w:t>0</w:t>
            </w:r>
          </w:p>
        </w:tc>
        <w:tc>
          <w:tcPr>
            <w:tcW w:w="709" w:type="dxa"/>
            <w:tcBorders>
              <w:top w:val="nil"/>
              <w:left w:val="nil"/>
              <w:bottom w:val="nil"/>
              <w:right w:val="nil"/>
            </w:tcBorders>
            <w:shd w:val="clear" w:color="000000" w:fill="FFFFFF"/>
            <w:vAlign w:val="center"/>
            <w:hideMark/>
          </w:tcPr>
          <w:p w:rsidR="00523EFF" w:rsidRDefault="00523EFF" w:rsidP="00523EFF">
            <w:pPr>
              <w:ind w:right="170"/>
              <w:jc w:val="right"/>
              <w:rPr>
                <w:rFonts w:ascii="Arial Narrow" w:hAnsi="Arial Narrow"/>
                <w:color w:val="000000"/>
                <w:sz w:val="16"/>
                <w:szCs w:val="16"/>
              </w:rPr>
            </w:pPr>
            <w:r>
              <w:rPr>
                <w:rFonts w:ascii="Arial Narrow" w:hAnsi="Arial Narrow"/>
                <w:color w:val="000000"/>
                <w:sz w:val="16"/>
                <w:szCs w:val="16"/>
              </w:rPr>
              <w:t>0</w:t>
            </w:r>
          </w:p>
        </w:tc>
        <w:tc>
          <w:tcPr>
            <w:tcW w:w="851" w:type="dxa"/>
            <w:tcBorders>
              <w:top w:val="nil"/>
              <w:left w:val="nil"/>
              <w:bottom w:val="nil"/>
              <w:right w:val="single" w:sz="4" w:space="0" w:color="auto"/>
            </w:tcBorders>
            <w:shd w:val="clear" w:color="000000" w:fill="FFFFFF"/>
            <w:vAlign w:val="center"/>
            <w:hideMark/>
          </w:tcPr>
          <w:p w:rsidR="00523EFF" w:rsidRDefault="00523EFF" w:rsidP="00523EFF">
            <w:pPr>
              <w:ind w:right="170"/>
              <w:jc w:val="right"/>
              <w:rPr>
                <w:rFonts w:ascii="Arial Narrow" w:hAnsi="Arial Narrow"/>
                <w:color w:val="000000"/>
                <w:sz w:val="16"/>
                <w:szCs w:val="16"/>
              </w:rPr>
            </w:pPr>
            <w:r>
              <w:rPr>
                <w:rFonts w:ascii="Arial Narrow" w:hAnsi="Arial Narrow"/>
                <w:color w:val="000000"/>
                <w:sz w:val="16"/>
                <w:szCs w:val="16"/>
              </w:rPr>
              <w:t>0</w:t>
            </w:r>
          </w:p>
        </w:tc>
      </w:tr>
      <w:tr w:rsidR="00523EFF" w:rsidRPr="004F40E8" w:rsidTr="00523EFF">
        <w:trPr>
          <w:trHeight w:val="20"/>
        </w:trPr>
        <w:tc>
          <w:tcPr>
            <w:tcW w:w="320" w:type="dxa"/>
            <w:tcBorders>
              <w:top w:val="nil"/>
              <w:left w:val="single" w:sz="4" w:space="0" w:color="auto"/>
              <w:bottom w:val="nil"/>
              <w:right w:val="nil"/>
            </w:tcBorders>
            <w:shd w:val="clear" w:color="000000" w:fill="FFFFFF"/>
            <w:hideMark/>
          </w:tcPr>
          <w:p w:rsidR="00523EFF" w:rsidRPr="004F40E8" w:rsidRDefault="00523EFF" w:rsidP="00523EFF">
            <w:pPr>
              <w:jc w:val="center"/>
              <w:rPr>
                <w:rFonts w:ascii="Arial Narrow" w:hAnsi="Arial Narrow"/>
                <w:b/>
                <w:bCs/>
                <w:sz w:val="15"/>
                <w:szCs w:val="15"/>
              </w:rPr>
            </w:pPr>
          </w:p>
        </w:tc>
        <w:tc>
          <w:tcPr>
            <w:tcW w:w="5275" w:type="dxa"/>
            <w:tcBorders>
              <w:top w:val="nil"/>
              <w:left w:val="nil"/>
              <w:bottom w:val="nil"/>
              <w:right w:val="nil"/>
            </w:tcBorders>
            <w:shd w:val="clear" w:color="000000" w:fill="FFFFFF"/>
            <w:vAlign w:val="center"/>
            <w:hideMark/>
          </w:tcPr>
          <w:p w:rsidR="00523EFF" w:rsidRPr="004F40E8" w:rsidRDefault="00523EFF" w:rsidP="00523EFF">
            <w:pPr>
              <w:rPr>
                <w:rFonts w:ascii="Arial Narrow" w:hAnsi="Arial Narrow"/>
                <w:b/>
                <w:bCs/>
                <w:sz w:val="15"/>
                <w:szCs w:val="15"/>
              </w:rPr>
            </w:pPr>
            <w:r w:rsidRPr="004F40E8">
              <w:rPr>
                <w:rFonts w:ascii="Arial Narrow" w:hAnsi="Arial Narrow"/>
                <w:b/>
                <w:bCs/>
                <w:sz w:val="15"/>
                <w:szCs w:val="15"/>
              </w:rPr>
              <w:t> </w:t>
            </w:r>
          </w:p>
        </w:tc>
        <w:tc>
          <w:tcPr>
            <w:tcW w:w="992" w:type="dxa"/>
            <w:tcBorders>
              <w:top w:val="nil"/>
              <w:left w:val="nil"/>
              <w:bottom w:val="nil"/>
              <w:right w:val="nil"/>
            </w:tcBorders>
            <w:shd w:val="clear" w:color="000000" w:fill="FFFFFF"/>
            <w:vAlign w:val="center"/>
            <w:hideMark/>
          </w:tcPr>
          <w:p w:rsidR="00523EFF" w:rsidRDefault="00523EFF" w:rsidP="00523EFF">
            <w:pPr>
              <w:ind w:right="170"/>
              <w:jc w:val="right"/>
              <w:rPr>
                <w:rFonts w:ascii="Arial Narrow" w:hAnsi="Arial Narrow"/>
                <w:color w:val="000000"/>
                <w:sz w:val="16"/>
                <w:szCs w:val="16"/>
              </w:rPr>
            </w:pPr>
          </w:p>
        </w:tc>
        <w:tc>
          <w:tcPr>
            <w:tcW w:w="850" w:type="dxa"/>
            <w:tcBorders>
              <w:top w:val="nil"/>
              <w:left w:val="nil"/>
              <w:bottom w:val="nil"/>
              <w:right w:val="nil"/>
            </w:tcBorders>
            <w:shd w:val="clear" w:color="000000" w:fill="FFFFFF"/>
            <w:vAlign w:val="center"/>
            <w:hideMark/>
          </w:tcPr>
          <w:p w:rsidR="00523EFF" w:rsidRDefault="00523EFF" w:rsidP="00523EFF">
            <w:pPr>
              <w:ind w:right="170"/>
              <w:jc w:val="right"/>
              <w:rPr>
                <w:rFonts w:ascii="Arial Narrow" w:hAnsi="Arial Narrow"/>
                <w:color w:val="000000"/>
                <w:sz w:val="16"/>
                <w:szCs w:val="16"/>
              </w:rPr>
            </w:pPr>
          </w:p>
        </w:tc>
        <w:tc>
          <w:tcPr>
            <w:tcW w:w="709" w:type="dxa"/>
            <w:tcBorders>
              <w:top w:val="nil"/>
              <w:left w:val="nil"/>
              <w:bottom w:val="nil"/>
              <w:right w:val="nil"/>
            </w:tcBorders>
            <w:shd w:val="clear" w:color="000000" w:fill="FFFFFF"/>
            <w:vAlign w:val="center"/>
            <w:hideMark/>
          </w:tcPr>
          <w:p w:rsidR="00523EFF" w:rsidRDefault="00523EFF" w:rsidP="00523EFF">
            <w:pPr>
              <w:ind w:right="170"/>
              <w:jc w:val="right"/>
              <w:rPr>
                <w:rFonts w:ascii="Arial Narrow" w:hAnsi="Arial Narrow"/>
                <w:color w:val="000000"/>
                <w:sz w:val="16"/>
                <w:szCs w:val="16"/>
              </w:rPr>
            </w:pPr>
          </w:p>
        </w:tc>
        <w:tc>
          <w:tcPr>
            <w:tcW w:w="851" w:type="dxa"/>
            <w:tcBorders>
              <w:top w:val="nil"/>
              <w:left w:val="nil"/>
              <w:bottom w:val="nil"/>
              <w:right w:val="single" w:sz="4" w:space="0" w:color="auto"/>
            </w:tcBorders>
            <w:shd w:val="clear" w:color="000000" w:fill="FFFFFF"/>
            <w:vAlign w:val="center"/>
            <w:hideMark/>
          </w:tcPr>
          <w:p w:rsidR="00523EFF" w:rsidRDefault="00523EFF" w:rsidP="00523EFF">
            <w:pPr>
              <w:ind w:right="170"/>
              <w:jc w:val="right"/>
              <w:rPr>
                <w:rFonts w:ascii="Arial Narrow" w:hAnsi="Arial Narrow"/>
                <w:color w:val="000000"/>
                <w:sz w:val="16"/>
                <w:szCs w:val="16"/>
              </w:rPr>
            </w:pPr>
          </w:p>
        </w:tc>
      </w:tr>
      <w:tr w:rsidR="00523EFF" w:rsidRPr="004F40E8" w:rsidTr="00523EFF">
        <w:trPr>
          <w:trHeight w:val="20"/>
        </w:trPr>
        <w:tc>
          <w:tcPr>
            <w:tcW w:w="320" w:type="dxa"/>
            <w:tcBorders>
              <w:top w:val="nil"/>
              <w:left w:val="single" w:sz="4" w:space="0" w:color="auto"/>
              <w:bottom w:val="nil"/>
              <w:right w:val="nil"/>
            </w:tcBorders>
            <w:shd w:val="clear" w:color="000000" w:fill="D8D8D8"/>
            <w:hideMark/>
          </w:tcPr>
          <w:p w:rsidR="00523EFF" w:rsidRPr="004F40E8" w:rsidRDefault="00523EFF" w:rsidP="00523EFF">
            <w:pPr>
              <w:jc w:val="center"/>
              <w:rPr>
                <w:rFonts w:ascii="Arial Narrow" w:hAnsi="Arial Narrow"/>
                <w:b/>
                <w:bCs/>
                <w:sz w:val="15"/>
                <w:szCs w:val="15"/>
              </w:rPr>
            </w:pPr>
            <w:r>
              <w:rPr>
                <w:rFonts w:ascii="Arial Narrow" w:hAnsi="Arial Narrow"/>
                <w:b/>
                <w:bCs/>
                <w:sz w:val="15"/>
                <w:szCs w:val="15"/>
              </w:rPr>
              <w:t>ΙΙΙ.</w:t>
            </w:r>
          </w:p>
        </w:tc>
        <w:tc>
          <w:tcPr>
            <w:tcW w:w="5275" w:type="dxa"/>
            <w:tcBorders>
              <w:top w:val="nil"/>
              <w:left w:val="nil"/>
              <w:bottom w:val="nil"/>
              <w:right w:val="nil"/>
            </w:tcBorders>
            <w:shd w:val="clear" w:color="000000" w:fill="D8D8D8"/>
            <w:vAlign w:val="center"/>
            <w:hideMark/>
          </w:tcPr>
          <w:p w:rsidR="00523EFF" w:rsidRDefault="00523EFF" w:rsidP="00523EFF">
            <w:pPr>
              <w:rPr>
                <w:rFonts w:ascii="Arial Narrow" w:hAnsi="Arial Narrow"/>
                <w:b/>
                <w:bCs/>
                <w:sz w:val="15"/>
                <w:szCs w:val="15"/>
              </w:rPr>
            </w:pPr>
            <w:r w:rsidRPr="004F40E8">
              <w:rPr>
                <w:rFonts w:ascii="Arial Narrow" w:hAnsi="Arial Narrow"/>
                <w:b/>
                <w:bCs/>
                <w:sz w:val="15"/>
                <w:szCs w:val="15"/>
              </w:rPr>
              <w:t xml:space="preserve">Πρωτογενές αποτέλεσμα Γενικής Κυβέρνησης σύμφωνα  με τη μεθοδολογία της </w:t>
            </w:r>
          </w:p>
          <w:p w:rsidR="00523EFF" w:rsidRPr="004F40E8" w:rsidRDefault="00523EFF" w:rsidP="00523EFF">
            <w:pPr>
              <w:rPr>
                <w:rFonts w:ascii="Arial Narrow" w:hAnsi="Arial Narrow"/>
                <w:b/>
                <w:bCs/>
                <w:sz w:val="15"/>
                <w:szCs w:val="15"/>
              </w:rPr>
            </w:pPr>
            <w:r>
              <w:rPr>
                <w:rFonts w:ascii="Arial Narrow" w:hAnsi="Arial Narrow"/>
                <w:b/>
                <w:bCs/>
                <w:sz w:val="15"/>
                <w:szCs w:val="15"/>
              </w:rPr>
              <w:t>ενισχυμένης εποπτείας (Ι + ΙΙ)</w:t>
            </w:r>
          </w:p>
        </w:tc>
        <w:tc>
          <w:tcPr>
            <w:tcW w:w="992" w:type="dxa"/>
            <w:tcBorders>
              <w:top w:val="nil"/>
              <w:left w:val="nil"/>
              <w:bottom w:val="nil"/>
              <w:right w:val="nil"/>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6.613</w:t>
            </w:r>
          </w:p>
        </w:tc>
        <w:tc>
          <w:tcPr>
            <w:tcW w:w="850" w:type="dxa"/>
            <w:tcBorders>
              <w:top w:val="nil"/>
              <w:left w:val="nil"/>
              <w:bottom w:val="nil"/>
              <w:right w:val="nil"/>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7.070</w:t>
            </w:r>
          </w:p>
        </w:tc>
        <w:tc>
          <w:tcPr>
            <w:tcW w:w="709" w:type="dxa"/>
            <w:tcBorders>
              <w:top w:val="nil"/>
              <w:left w:val="nil"/>
              <w:bottom w:val="nil"/>
              <w:right w:val="nil"/>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-11.760</w:t>
            </w:r>
          </w:p>
        </w:tc>
        <w:tc>
          <w:tcPr>
            <w:tcW w:w="851" w:type="dxa"/>
            <w:tcBorders>
              <w:top w:val="nil"/>
              <w:left w:val="nil"/>
              <w:bottom w:val="nil"/>
              <w:right w:val="single" w:sz="4" w:space="0" w:color="auto"/>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-6.670</w:t>
            </w:r>
          </w:p>
        </w:tc>
      </w:tr>
      <w:tr w:rsidR="00523EFF" w:rsidRPr="004F40E8" w:rsidTr="00523EFF">
        <w:trPr>
          <w:trHeight w:val="20"/>
        </w:trPr>
        <w:tc>
          <w:tcPr>
            <w:tcW w:w="320" w:type="dxa"/>
            <w:tcBorders>
              <w:top w:val="nil"/>
              <w:left w:val="single" w:sz="4" w:space="0" w:color="auto"/>
              <w:bottom w:val="nil"/>
              <w:right w:val="nil"/>
            </w:tcBorders>
            <w:shd w:val="clear" w:color="000000" w:fill="D8D8D8"/>
            <w:hideMark/>
          </w:tcPr>
          <w:p w:rsidR="00523EFF" w:rsidRPr="004F40E8" w:rsidRDefault="00523EFF" w:rsidP="00523EFF">
            <w:pPr>
              <w:jc w:val="center"/>
              <w:rPr>
                <w:rFonts w:ascii="Arial Narrow" w:hAnsi="Arial Narrow"/>
                <w:b/>
                <w:bCs/>
                <w:sz w:val="15"/>
                <w:szCs w:val="15"/>
              </w:rPr>
            </w:pPr>
          </w:p>
        </w:tc>
        <w:tc>
          <w:tcPr>
            <w:tcW w:w="5275" w:type="dxa"/>
            <w:tcBorders>
              <w:top w:val="nil"/>
              <w:left w:val="nil"/>
              <w:bottom w:val="nil"/>
              <w:right w:val="nil"/>
            </w:tcBorders>
            <w:shd w:val="clear" w:color="000000" w:fill="D8D8D8"/>
            <w:vAlign w:val="center"/>
            <w:hideMark/>
          </w:tcPr>
          <w:p w:rsidR="00523EFF" w:rsidRPr="004F40E8" w:rsidRDefault="00523EFF" w:rsidP="00523EFF">
            <w:pPr>
              <w:rPr>
                <w:rFonts w:ascii="Arial Narrow" w:hAnsi="Arial Narrow"/>
                <w:b/>
                <w:bCs/>
                <w:sz w:val="15"/>
                <w:szCs w:val="15"/>
              </w:rPr>
            </w:pPr>
            <w:r w:rsidRPr="004F40E8">
              <w:rPr>
                <w:rFonts w:ascii="Arial Narrow" w:hAnsi="Arial Narrow"/>
                <w:b/>
                <w:bCs/>
                <w:sz w:val="15"/>
                <w:szCs w:val="15"/>
              </w:rPr>
              <w:t>% ΑΕΠ</w:t>
            </w:r>
          </w:p>
        </w:tc>
        <w:tc>
          <w:tcPr>
            <w:tcW w:w="992" w:type="dxa"/>
            <w:tcBorders>
              <w:top w:val="nil"/>
              <w:left w:val="nil"/>
              <w:bottom w:val="nil"/>
              <w:right w:val="nil"/>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3,61%</w:t>
            </w:r>
          </w:p>
        </w:tc>
        <w:tc>
          <w:tcPr>
            <w:tcW w:w="850" w:type="dxa"/>
            <w:tcBorders>
              <w:top w:val="nil"/>
              <w:left w:val="nil"/>
              <w:bottom w:val="nil"/>
              <w:right w:val="nil"/>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3,58%</w:t>
            </w:r>
          </w:p>
        </w:tc>
        <w:tc>
          <w:tcPr>
            <w:tcW w:w="709" w:type="dxa"/>
            <w:tcBorders>
              <w:top w:val="nil"/>
              <w:left w:val="nil"/>
              <w:bottom w:val="nil"/>
              <w:right w:val="nil"/>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-7,22%</w:t>
            </w:r>
          </w:p>
        </w:tc>
        <w:tc>
          <w:tcPr>
            <w:tcW w:w="851" w:type="dxa"/>
            <w:tcBorders>
              <w:top w:val="nil"/>
              <w:left w:val="nil"/>
              <w:bottom w:val="nil"/>
              <w:right w:val="single" w:sz="4" w:space="0" w:color="auto"/>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-3,88%</w:t>
            </w:r>
          </w:p>
        </w:tc>
      </w:tr>
      <w:tr w:rsidR="00523EFF" w:rsidRPr="004F40E8" w:rsidTr="00523EFF">
        <w:trPr>
          <w:trHeight w:val="20"/>
        </w:trPr>
        <w:tc>
          <w:tcPr>
            <w:tcW w:w="320" w:type="dxa"/>
            <w:tcBorders>
              <w:top w:val="nil"/>
              <w:left w:val="single" w:sz="4" w:space="0" w:color="auto"/>
              <w:bottom w:val="nil"/>
              <w:right w:val="nil"/>
            </w:tcBorders>
            <w:shd w:val="clear" w:color="000000" w:fill="FFFFFF"/>
            <w:hideMark/>
          </w:tcPr>
          <w:p w:rsidR="00523EFF" w:rsidRPr="004F40E8" w:rsidRDefault="00523EFF" w:rsidP="00523EFF">
            <w:pPr>
              <w:jc w:val="center"/>
              <w:rPr>
                <w:rFonts w:ascii="Arial Narrow" w:hAnsi="Arial Narrow"/>
                <w:b/>
                <w:bCs/>
                <w:color w:val="000000"/>
                <w:sz w:val="15"/>
                <w:szCs w:val="15"/>
              </w:rPr>
            </w:pPr>
          </w:p>
        </w:tc>
        <w:tc>
          <w:tcPr>
            <w:tcW w:w="5275" w:type="dxa"/>
            <w:tcBorders>
              <w:top w:val="nil"/>
              <w:left w:val="nil"/>
              <w:bottom w:val="nil"/>
              <w:right w:val="nil"/>
            </w:tcBorders>
            <w:shd w:val="clear" w:color="000000" w:fill="FFFFFF"/>
            <w:vAlign w:val="center"/>
            <w:hideMark/>
          </w:tcPr>
          <w:p w:rsidR="00523EFF" w:rsidRPr="004F40E8" w:rsidRDefault="00523EFF" w:rsidP="00523EFF">
            <w:pPr>
              <w:rPr>
                <w:rFonts w:ascii="Arial Narrow" w:hAnsi="Arial Narrow"/>
                <w:sz w:val="15"/>
                <w:szCs w:val="15"/>
              </w:rPr>
            </w:pPr>
            <w:r w:rsidRPr="004F40E8">
              <w:rPr>
                <w:rFonts w:ascii="Arial Narrow" w:hAnsi="Arial Narrow"/>
                <w:sz w:val="15"/>
                <w:szCs w:val="15"/>
              </w:rPr>
              <w:t> </w:t>
            </w:r>
          </w:p>
        </w:tc>
        <w:tc>
          <w:tcPr>
            <w:tcW w:w="992" w:type="dxa"/>
            <w:tcBorders>
              <w:top w:val="nil"/>
              <w:left w:val="nil"/>
              <w:bottom w:val="nil"/>
              <w:right w:val="nil"/>
            </w:tcBorders>
            <w:shd w:val="clear" w:color="000000" w:fill="FFFFFF"/>
            <w:vAlign w:val="center"/>
            <w:hideMark/>
          </w:tcPr>
          <w:p w:rsidR="00523EFF" w:rsidRDefault="00523EFF" w:rsidP="00523EFF">
            <w:pPr>
              <w:ind w:right="170"/>
              <w:jc w:val="right"/>
              <w:rPr>
                <w:rFonts w:ascii="Arial Narrow" w:hAnsi="Arial Narrow"/>
                <w:b/>
                <w:bCs/>
                <w:sz w:val="16"/>
                <w:szCs w:val="16"/>
              </w:rPr>
            </w:pPr>
          </w:p>
        </w:tc>
        <w:tc>
          <w:tcPr>
            <w:tcW w:w="850" w:type="dxa"/>
            <w:tcBorders>
              <w:top w:val="nil"/>
              <w:left w:val="nil"/>
              <w:bottom w:val="nil"/>
              <w:right w:val="nil"/>
            </w:tcBorders>
            <w:shd w:val="clear" w:color="000000" w:fill="FFFFFF"/>
            <w:vAlign w:val="center"/>
            <w:hideMark/>
          </w:tcPr>
          <w:p w:rsidR="00523EFF" w:rsidRDefault="00523EFF" w:rsidP="00523EFF">
            <w:pPr>
              <w:ind w:right="170"/>
              <w:jc w:val="right"/>
              <w:rPr>
                <w:rFonts w:ascii="Arial Narrow" w:hAnsi="Arial Narrow"/>
                <w:b/>
                <w:bCs/>
                <w:sz w:val="16"/>
                <w:szCs w:val="16"/>
              </w:rPr>
            </w:pPr>
          </w:p>
        </w:tc>
        <w:tc>
          <w:tcPr>
            <w:tcW w:w="709" w:type="dxa"/>
            <w:tcBorders>
              <w:top w:val="nil"/>
              <w:left w:val="nil"/>
              <w:bottom w:val="nil"/>
              <w:right w:val="nil"/>
            </w:tcBorders>
            <w:shd w:val="clear" w:color="000000" w:fill="FFFFFF"/>
            <w:vAlign w:val="center"/>
            <w:hideMark/>
          </w:tcPr>
          <w:p w:rsidR="00523EFF" w:rsidRDefault="00523EFF" w:rsidP="00523EFF">
            <w:pPr>
              <w:ind w:right="170"/>
              <w:jc w:val="right"/>
              <w:rPr>
                <w:rFonts w:ascii="Arial Narrow" w:hAnsi="Arial Narrow"/>
                <w:b/>
                <w:bCs/>
                <w:sz w:val="16"/>
                <w:szCs w:val="16"/>
              </w:rPr>
            </w:pPr>
          </w:p>
        </w:tc>
        <w:tc>
          <w:tcPr>
            <w:tcW w:w="851" w:type="dxa"/>
            <w:tcBorders>
              <w:top w:val="nil"/>
              <w:left w:val="nil"/>
              <w:bottom w:val="nil"/>
              <w:right w:val="single" w:sz="4" w:space="0" w:color="auto"/>
            </w:tcBorders>
            <w:shd w:val="clear" w:color="000000" w:fill="FFFFFF"/>
            <w:vAlign w:val="center"/>
            <w:hideMark/>
          </w:tcPr>
          <w:p w:rsidR="00523EFF" w:rsidRDefault="00523EFF" w:rsidP="00523EFF">
            <w:pPr>
              <w:ind w:right="170"/>
              <w:jc w:val="right"/>
              <w:rPr>
                <w:rFonts w:ascii="Arial Narrow" w:hAnsi="Arial Narrow"/>
                <w:b/>
                <w:bCs/>
                <w:sz w:val="16"/>
                <w:szCs w:val="16"/>
              </w:rPr>
            </w:pPr>
          </w:p>
        </w:tc>
      </w:tr>
      <w:tr w:rsidR="00523EFF" w:rsidRPr="004F40E8" w:rsidTr="00523EFF">
        <w:trPr>
          <w:trHeight w:val="20"/>
        </w:trPr>
        <w:tc>
          <w:tcPr>
            <w:tcW w:w="320" w:type="dxa"/>
            <w:tcBorders>
              <w:top w:val="nil"/>
              <w:left w:val="single" w:sz="4" w:space="0" w:color="auto"/>
              <w:bottom w:val="nil"/>
              <w:right w:val="nil"/>
            </w:tcBorders>
            <w:shd w:val="clear" w:color="000000" w:fill="D8D8D8"/>
            <w:hideMark/>
          </w:tcPr>
          <w:p w:rsidR="00523EFF" w:rsidRPr="004F40E8" w:rsidRDefault="00523EFF" w:rsidP="00523EFF">
            <w:pPr>
              <w:jc w:val="center"/>
              <w:rPr>
                <w:rFonts w:ascii="Arial Narrow" w:hAnsi="Arial Narrow"/>
                <w:b/>
                <w:bCs/>
                <w:sz w:val="15"/>
                <w:szCs w:val="15"/>
              </w:rPr>
            </w:pPr>
            <w:r>
              <w:rPr>
                <w:rFonts w:ascii="Arial Narrow" w:hAnsi="Arial Narrow"/>
                <w:b/>
                <w:bCs/>
                <w:sz w:val="15"/>
                <w:szCs w:val="15"/>
                <w:lang w:val="en-GB"/>
              </w:rPr>
              <w:t>IV</w:t>
            </w:r>
            <w:r w:rsidRPr="004F40E8">
              <w:rPr>
                <w:rFonts w:ascii="Arial Narrow" w:hAnsi="Arial Narrow"/>
                <w:b/>
                <w:bCs/>
                <w:sz w:val="15"/>
                <w:szCs w:val="15"/>
              </w:rPr>
              <w:t>.</w:t>
            </w:r>
          </w:p>
        </w:tc>
        <w:tc>
          <w:tcPr>
            <w:tcW w:w="5275" w:type="dxa"/>
            <w:tcBorders>
              <w:top w:val="nil"/>
              <w:left w:val="nil"/>
              <w:bottom w:val="nil"/>
              <w:right w:val="nil"/>
            </w:tcBorders>
            <w:shd w:val="clear" w:color="000000" w:fill="D8D8D8"/>
            <w:vAlign w:val="center"/>
            <w:hideMark/>
          </w:tcPr>
          <w:p w:rsidR="00523EFF" w:rsidRPr="00CD5C1E" w:rsidRDefault="00523EFF" w:rsidP="00523EFF">
            <w:pPr>
              <w:rPr>
                <w:rFonts w:ascii="Arial Narrow" w:hAnsi="Arial Narrow"/>
                <w:b/>
                <w:bCs/>
                <w:sz w:val="15"/>
                <w:szCs w:val="15"/>
              </w:rPr>
            </w:pPr>
            <w:r w:rsidRPr="004F40E8">
              <w:rPr>
                <w:rFonts w:ascii="Arial Narrow" w:hAnsi="Arial Narrow"/>
                <w:b/>
                <w:bCs/>
                <w:sz w:val="15"/>
                <w:szCs w:val="15"/>
              </w:rPr>
              <w:t xml:space="preserve">Στόχος </w:t>
            </w:r>
            <w:r>
              <w:rPr>
                <w:rFonts w:ascii="Arial Narrow" w:hAnsi="Arial Narrow"/>
                <w:b/>
                <w:bCs/>
                <w:sz w:val="15"/>
                <w:szCs w:val="15"/>
              </w:rPr>
              <w:t>ενισχυμένης εποπτείας</w:t>
            </w:r>
          </w:p>
        </w:tc>
        <w:tc>
          <w:tcPr>
            <w:tcW w:w="992" w:type="dxa"/>
            <w:tcBorders>
              <w:top w:val="nil"/>
              <w:left w:val="nil"/>
              <w:bottom w:val="nil"/>
              <w:right w:val="nil"/>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6.419</w:t>
            </w:r>
          </w:p>
        </w:tc>
        <w:tc>
          <w:tcPr>
            <w:tcW w:w="850" w:type="dxa"/>
            <w:tcBorders>
              <w:top w:val="nil"/>
              <w:left w:val="nil"/>
              <w:bottom w:val="nil"/>
              <w:right w:val="nil"/>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6.906</w:t>
            </w:r>
          </w:p>
        </w:tc>
        <w:tc>
          <w:tcPr>
            <w:tcW w:w="709" w:type="dxa"/>
            <w:tcBorders>
              <w:top w:val="nil"/>
              <w:left w:val="nil"/>
              <w:bottom w:val="nil"/>
              <w:right w:val="nil"/>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w:t>
            </w:r>
          </w:p>
        </w:tc>
        <w:tc>
          <w:tcPr>
            <w:tcW w:w="851" w:type="dxa"/>
            <w:tcBorders>
              <w:top w:val="nil"/>
              <w:left w:val="nil"/>
              <w:bottom w:val="nil"/>
              <w:right w:val="single" w:sz="4" w:space="0" w:color="auto"/>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w:t>
            </w:r>
          </w:p>
        </w:tc>
      </w:tr>
      <w:tr w:rsidR="00523EFF" w:rsidRPr="004F40E8" w:rsidTr="00523EFF">
        <w:trPr>
          <w:trHeight w:val="20"/>
        </w:trPr>
        <w:tc>
          <w:tcPr>
            <w:tcW w:w="320" w:type="dxa"/>
            <w:tcBorders>
              <w:top w:val="nil"/>
              <w:left w:val="single" w:sz="4" w:space="0" w:color="auto"/>
              <w:bottom w:val="nil"/>
              <w:right w:val="nil"/>
            </w:tcBorders>
            <w:shd w:val="clear" w:color="000000" w:fill="D8D8D8"/>
            <w:hideMark/>
          </w:tcPr>
          <w:p w:rsidR="00523EFF" w:rsidRPr="004F40E8" w:rsidRDefault="00523EFF" w:rsidP="00523EFF">
            <w:pPr>
              <w:jc w:val="center"/>
              <w:rPr>
                <w:rFonts w:ascii="Arial Narrow" w:hAnsi="Arial Narrow"/>
                <w:b/>
                <w:bCs/>
                <w:sz w:val="15"/>
                <w:szCs w:val="15"/>
              </w:rPr>
            </w:pPr>
          </w:p>
        </w:tc>
        <w:tc>
          <w:tcPr>
            <w:tcW w:w="5275" w:type="dxa"/>
            <w:tcBorders>
              <w:top w:val="nil"/>
              <w:left w:val="nil"/>
              <w:bottom w:val="nil"/>
              <w:right w:val="nil"/>
            </w:tcBorders>
            <w:shd w:val="clear" w:color="000000" w:fill="D8D8D8"/>
            <w:vAlign w:val="center"/>
            <w:hideMark/>
          </w:tcPr>
          <w:p w:rsidR="00523EFF" w:rsidRPr="004F40E8" w:rsidRDefault="00523EFF" w:rsidP="00523EFF">
            <w:pPr>
              <w:rPr>
                <w:rFonts w:ascii="Arial Narrow" w:hAnsi="Arial Narrow"/>
                <w:b/>
                <w:bCs/>
                <w:sz w:val="15"/>
                <w:szCs w:val="15"/>
              </w:rPr>
            </w:pPr>
            <w:r w:rsidRPr="004F40E8">
              <w:rPr>
                <w:rFonts w:ascii="Arial Narrow" w:hAnsi="Arial Narrow"/>
                <w:b/>
                <w:bCs/>
                <w:sz w:val="15"/>
                <w:szCs w:val="15"/>
              </w:rPr>
              <w:t>% ΑΕΠ</w:t>
            </w:r>
          </w:p>
        </w:tc>
        <w:tc>
          <w:tcPr>
            <w:tcW w:w="992" w:type="dxa"/>
            <w:tcBorders>
              <w:top w:val="nil"/>
              <w:left w:val="nil"/>
              <w:bottom w:val="nil"/>
              <w:right w:val="nil"/>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3,50%</w:t>
            </w:r>
          </w:p>
        </w:tc>
        <w:tc>
          <w:tcPr>
            <w:tcW w:w="850" w:type="dxa"/>
            <w:tcBorders>
              <w:top w:val="nil"/>
              <w:left w:val="nil"/>
              <w:bottom w:val="nil"/>
              <w:right w:val="nil"/>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3,50%</w:t>
            </w:r>
          </w:p>
        </w:tc>
        <w:tc>
          <w:tcPr>
            <w:tcW w:w="709" w:type="dxa"/>
            <w:tcBorders>
              <w:top w:val="nil"/>
              <w:left w:val="nil"/>
              <w:bottom w:val="nil"/>
              <w:right w:val="nil"/>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w:t>
            </w:r>
          </w:p>
        </w:tc>
        <w:tc>
          <w:tcPr>
            <w:tcW w:w="851" w:type="dxa"/>
            <w:tcBorders>
              <w:top w:val="nil"/>
              <w:left w:val="nil"/>
              <w:bottom w:val="nil"/>
              <w:right w:val="single" w:sz="4" w:space="0" w:color="auto"/>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w:t>
            </w:r>
          </w:p>
        </w:tc>
      </w:tr>
      <w:tr w:rsidR="00523EFF" w:rsidRPr="004F40E8" w:rsidTr="00523EFF">
        <w:trPr>
          <w:trHeight w:val="20"/>
        </w:trPr>
        <w:tc>
          <w:tcPr>
            <w:tcW w:w="320" w:type="dxa"/>
            <w:tcBorders>
              <w:top w:val="nil"/>
              <w:left w:val="single" w:sz="4" w:space="0" w:color="auto"/>
              <w:bottom w:val="nil"/>
              <w:right w:val="nil"/>
            </w:tcBorders>
            <w:shd w:val="clear" w:color="000000" w:fill="FFFFFF"/>
            <w:hideMark/>
          </w:tcPr>
          <w:p w:rsidR="00523EFF" w:rsidRPr="004F40E8" w:rsidRDefault="00523EFF" w:rsidP="00523EFF">
            <w:pPr>
              <w:jc w:val="center"/>
              <w:rPr>
                <w:rFonts w:ascii="Arial Narrow" w:hAnsi="Arial Narrow"/>
                <w:b/>
                <w:bCs/>
                <w:color w:val="000000"/>
                <w:sz w:val="15"/>
                <w:szCs w:val="15"/>
              </w:rPr>
            </w:pPr>
          </w:p>
        </w:tc>
        <w:tc>
          <w:tcPr>
            <w:tcW w:w="5275" w:type="dxa"/>
            <w:tcBorders>
              <w:top w:val="nil"/>
              <w:left w:val="nil"/>
              <w:bottom w:val="nil"/>
              <w:right w:val="nil"/>
            </w:tcBorders>
            <w:shd w:val="clear" w:color="000000" w:fill="FFFFFF"/>
            <w:vAlign w:val="center"/>
            <w:hideMark/>
          </w:tcPr>
          <w:p w:rsidR="00523EFF" w:rsidRPr="004F40E8" w:rsidRDefault="00523EFF" w:rsidP="00523EFF">
            <w:pPr>
              <w:rPr>
                <w:rFonts w:ascii="Arial Narrow" w:hAnsi="Arial Narrow"/>
                <w:sz w:val="15"/>
                <w:szCs w:val="15"/>
              </w:rPr>
            </w:pPr>
            <w:r w:rsidRPr="004F40E8">
              <w:rPr>
                <w:rFonts w:ascii="Arial Narrow" w:hAnsi="Arial Narrow"/>
                <w:sz w:val="15"/>
                <w:szCs w:val="15"/>
              </w:rPr>
              <w:t> </w:t>
            </w:r>
          </w:p>
        </w:tc>
        <w:tc>
          <w:tcPr>
            <w:tcW w:w="992" w:type="dxa"/>
            <w:tcBorders>
              <w:top w:val="nil"/>
              <w:left w:val="nil"/>
              <w:bottom w:val="nil"/>
              <w:right w:val="nil"/>
            </w:tcBorders>
            <w:shd w:val="clear" w:color="000000" w:fill="FFFFFF"/>
            <w:vAlign w:val="center"/>
            <w:hideMark/>
          </w:tcPr>
          <w:p w:rsidR="00523EFF" w:rsidRDefault="00523EFF" w:rsidP="00523EFF">
            <w:pPr>
              <w:ind w:right="170"/>
              <w:jc w:val="right"/>
              <w:rPr>
                <w:rFonts w:ascii="Arial Narrow" w:hAnsi="Arial Narrow"/>
                <w:b/>
                <w:bCs/>
                <w:sz w:val="16"/>
                <w:szCs w:val="16"/>
              </w:rPr>
            </w:pPr>
          </w:p>
        </w:tc>
        <w:tc>
          <w:tcPr>
            <w:tcW w:w="850" w:type="dxa"/>
            <w:tcBorders>
              <w:top w:val="nil"/>
              <w:left w:val="nil"/>
              <w:bottom w:val="nil"/>
              <w:right w:val="nil"/>
            </w:tcBorders>
            <w:shd w:val="clear" w:color="000000" w:fill="FFFFFF"/>
            <w:vAlign w:val="center"/>
            <w:hideMark/>
          </w:tcPr>
          <w:p w:rsidR="00523EFF" w:rsidRDefault="00523EFF" w:rsidP="00523EFF">
            <w:pPr>
              <w:ind w:right="170"/>
              <w:jc w:val="right"/>
              <w:rPr>
                <w:rFonts w:ascii="Arial Narrow" w:hAnsi="Arial Narrow"/>
                <w:b/>
                <w:bCs/>
                <w:sz w:val="16"/>
                <w:szCs w:val="16"/>
              </w:rPr>
            </w:pPr>
          </w:p>
        </w:tc>
        <w:tc>
          <w:tcPr>
            <w:tcW w:w="709" w:type="dxa"/>
            <w:tcBorders>
              <w:top w:val="nil"/>
              <w:left w:val="nil"/>
              <w:bottom w:val="nil"/>
              <w:right w:val="nil"/>
            </w:tcBorders>
            <w:shd w:val="clear" w:color="000000" w:fill="FFFFFF"/>
            <w:vAlign w:val="center"/>
            <w:hideMark/>
          </w:tcPr>
          <w:p w:rsidR="00523EFF" w:rsidRDefault="00523EFF" w:rsidP="00523EFF">
            <w:pPr>
              <w:ind w:right="170"/>
              <w:jc w:val="right"/>
              <w:rPr>
                <w:rFonts w:ascii="Arial Narrow" w:hAnsi="Arial Narrow"/>
                <w:b/>
                <w:bCs/>
                <w:sz w:val="16"/>
                <w:szCs w:val="16"/>
              </w:rPr>
            </w:pPr>
          </w:p>
        </w:tc>
        <w:tc>
          <w:tcPr>
            <w:tcW w:w="851" w:type="dxa"/>
            <w:tcBorders>
              <w:top w:val="nil"/>
              <w:left w:val="nil"/>
              <w:bottom w:val="nil"/>
              <w:right w:val="single" w:sz="4" w:space="0" w:color="auto"/>
            </w:tcBorders>
            <w:shd w:val="clear" w:color="000000" w:fill="FFFFFF"/>
            <w:vAlign w:val="center"/>
            <w:hideMark/>
          </w:tcPr>
          <w:p w:rsidR="00523EFF" w:rsidRDefault="00523EFF" w:rsidP="00523EFF">
            <w:pPr>
              <w:ind w:right="170"/>
              <w:jc w:val="right"/>
              <w:rPr>
                <w:rFonts w:ascii="Arial Narrow" w:hAnsi="Arial Narrow"/>
                <w:b/>
                <w:bCs/>
                <w:sz w:val="16"/>
                <w:szCs w:val="16"/>
              </w:rPr>
            </w:pPr>
          </w:p>
        </w:tc>
      </w:tr>
      <w:tr w:rsidR="00523EFF" w:rsidRPr="004F40E8" w:rsidTr="00523EFF">
        <w:trPr>
          <w:trHeight w:val="20"/>
        </w:trPr>
        <w:tc>
          <w:tcPr>
            <w:tcW w:w="320" w:type="dxa"/>
            <w:tcBorders>
              <w:top w:val="nil"/>
              <w:left w:val="single" w:sz="4" w:space="0" w:color="auto"/>
              <w:bottom w:val="nil"/>
              <w:right w:val="nil"/>
            </w:tcBorders>
            <w:shd w:val="clear" w:color="000000" w:fill="D8D8D8"/>
            <w:hideMark/>
          </w:tcPr>
          <w:p w:rsidR="00523EFF" w:rsidRPr="004F40E8" w:rsidRDefault="00523EFF" w:rsidP="00523EFF">
            <w:pPr>
              <w:jc w:val="center"/>
              <w:rPr>
                <w:rFonts w:ascii="Arial Narrow" w:hAnsi="Arial Narrow"/>
                <w:b/>
                <w:bCs/>
                <w:sz w:val="15"/>
                <w:szCs w:val="15"/>
              </w:rPr>
            </w:pPr>
            <w:r>
              <w:rPr>
                <w:rFonts w:ascii="Arial Narrow" w:hAnsi="Arial Narrow"/>
                <w:b/>
                <w:bCs/>
                <w:sz w:val="15"/>
                <w:szCs w:val="15"/>
                <w:lang w:val="en-GB"/>
              </w:rPr>
              <w:t>V</w:t>
            </w:r>
            <w:r w:rsidRPr="004F40E8">
              <w:rPr>
                <w:rFonts w:ascii="Arial Narrow" w:hAnsi="Arial Narrow"/>
                <w:b/>
                <w:bCs/>
                <w:sz w:val="15"/>
                <w:szCs w:val="15"/>
              </w:rPr>
              <w:t>.</w:t>
            </w:r>
          </w:p>
        </w:tc>
        <w:tc>
          <w:tcPr>
            <w:tcW w:w="5275" w:type="dxa"/>
            <w:tcBorders>
              <w:top w:val="nil"/>
              <w:left w:val="nil"/>
              <w:bottom w:val="nil"/>
              <w:right w:val="nil"/>
            </w:tcBorders>
            <w:shd w:val="clear" w:color="000000" w:fill="D8D8D8"/>
            <w:vAlign w:val="center"/>
            <w:hideMark/>
          </w:tcPr>
          <w:p w:rsidR="00523EFF" w:rsidRDefault="00523EFF" w:rsidP="00523EFF">
            <w:pPr>
              <w:rPr>
                <w:rFonts w:ascii="Arial Narrow" w:hAnsi="Arial Narrow"/>
                <w:b/>
                <w:bCs/>
                <w:sz w:val="15"/>
                <w:szCs w:val="15"/>
              </w:rPr>
            </w:pPr>
            <w:r w:rsidRPr="004F40E8">
              <w:rPr>
                <w:rFonts w:ascii="Arial Narrow" w:hAnsi="Arial Narrow"/>
                <w:b/>
                <w:bCs/>
                <w:sz w:val="15"/>
                <w:szCs w:val="15"/>
              </w:rPr>
              <w:t xml:space="preserve">Δημοσιονομικό Πλεόνασμα (+) ή Κενό (-) </w:t>
            </w:r>
            <w:r>
              <w:rPr>
                <w:rFonts w:ascii="Arial Narrow" w:hAnsi="Arial Narrow"/>
                <w:b/>
                <w:bCs/>
                <w:sz w:val="15"/>
                <w:szCs w:val="15"/>
              </w:rPr>
              <w:t>σύμφωνα με τη μεθοδολογία της</w:t>
            </w:r>
          </w:p>
          <w:p w:rsidR="00523EFF" w:rsidRPr="00CD5C1E" w:rsidRDefault="00523EFF" w:rsidP="00523EFF">
            <w:pPr>
              <w:rPr>
                <w:rFonts w:ascii="Arial Narrow" w:hAnsi="Arial Narrow"/>
                <w:b/>
                <w:bCs/>
                <w:sz w:val="15"/>
                <w:szCs w:val="15"/>
              </w:rPr>
            </w:pPr>
            <w:r>
              <w:rPr>
                <w:rFonts w:ascii="Arial Narrow" w:hAnsi="Arial Narrow"/>
                <w:b/>
                <w:bCs/>
                <w:sz w:val="15"/>
                <w:szCs w:val="15"/>
              </w:rPr>
              <w:t>ενισχυμένης εποπτείας (</w:t>
            </w:r>
            <w:r>
              <w:rPr>
                <w:rFonts w:ascii="Arial Narrow" w:hAnsi="Arial Narrow"/>
                <w:b/>
                <w:bCs/>
                <w:sz w:val="15"/>
                <w:szCs w:val="15"/>
                <w:lang w:val="en-GB"/>
              </w:rPr>
              <w:t>III</w:t>
            </w:r>
            <w:r w:rsidRPr="00CD5C1E">
              <w:rPr>
                <w:rFonts w:ascii="Arial Narrow" w:hAnsi="Arial Narrow"/>
                <w:b/>
                <w:bCs/>
                <w:sz w:val="15"/>
                <w:szCs w:val="15"/>
              </w:rPr>
              <w:t>-</w:t>
            </w:r>
            <w:r>
              <w:rPr>
                <w:rFonts w:ascii="Arial Narrow" w:hAnsi="Arial Narrow"/>
                <w:b/>
                <w:bCs/>
                <w:sz w:val="15"/>
                <w:szCs w:val="15"/>
                <w:lang w:val="en-GB"/>
              </w:rPr>
              <w:t>IV</w:t>
            </w:r>
            <w:r w:rsidRPr="00CD5C1E">
              <w:rPr>
                <w:rFonts w:ascii="Arial Narrow" w:hAnsi="Arial Narrow"/>
                <w:b/>
                <w:bCs/>
                <w:sz w:val="15"/>
                <w:szCs w:val="15"/>
              </w:rPr>
              <w:t>)</w:t>
            </w:r>
          </w:p>
        </w:tc>
        <w:tc>
          <w:tcPr>
            <w:tcW w:w="992" w:type="dxa"/>
            <w:tcBorders>
              <w:top w:val="nil"/>
              <w:left w:val="nil"/>
              <w:bottom w:val="nil"/>
              <w:right w:val="nil"/>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193</w:t>
            </w:r>
          </w:p>
        </w:tc>
        <w:tc>
          <w:tcPr>
            <w:tcW w:w="850" w:type="dxa"/>
            <w:tcBorders>
              <w:top w:val="nil"/>
              <w:left w:val="nil"/>
              <w:bottom w:val="nil"/>
              <w:right w:val="nil"/>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164</w:t>
            </w:r>
          </w:p>
        </w:tc>
        <w:tc>
          <w:tcPr>
            <w:tcW w:w="709" w:type="dxa"/>
            <w:tcBorders>
              <w:top w:val="nil"/>
              <w:left w:val="nil"/>
              <w:bottom w:val="nil"/>
              <w:right w:val="nil"/>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w:t>
            </w:r>
          </w:p>
        </w:tc>
        <w:tc>
          <w:tcPr>
            <w:tcW w:w="851" w:type="dxa"/>
            <w:tcBorders>
              <w:top w:val="nil"/>
              <w:left w:val="nil"/>
              <w:bottom w:val="nil"/>
              <w:right w:val="single" w:sz="4" w:space="0" w:color="auto"/>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w:t>
            </w:r>
          </w:p>
        </w:tc>
      </w:tr>
      <w:tr w:rsidR="00523EFF" w:rsidRPr="004F40E8" w:rsidTr="00523EFF">
        <w:trPr>
          <w:trHeight w:val="20"/>
        </w:trPr>
        <w:tc>
          <w:tcPr>
            <w:tcW w:w="320" w:type="dxa"/>
            <w:tcBorders>
              <w:top w:val="nil"/>
              <w:left w:val="single" w:sz="4" w:space="0" w:color="auto"/>
              <w:right w:val="nil"/>
            </w:tcBorders>
            <w:shd w:val="clear" w:color="000000" w:fill="D8D8D8"/>
            <w:hideMark/>
          </w:tcPr>
          <w:p w:rsidR="00523EFF" w:rsidRPr="004F40E8" w:rsidRDefault="00523EFF" w:rsidP="00523EFF">
            <w:pPr>
              <w:jc w:val="center"/>
              <w:rPr>
                <w:rFonts w:ascii="Arial Narrow" w:hAnsi="Arial Narrow"/>
                <w:b/>
                <w:bCs/>
                <w:sz w:val="15"/>
                <w:szCs w:val="15"/>
              </w:rPr>
            </w:pPr>
          </w:p>
        </w:tc>
        <w:tc>
          <w:tcPr>
            <w:tcW w:w="5275" w:type="dxa"/>
            <w:tcBorders>
              <w:top w:val="nil"/>
              <w:left w:val="nil"/>
              <w:right w:val="nil"/>
            </w:tcBorders>
            <w:shd w:val="clear" w:color="000000" w:fill="D8D8D8"/>
            <w:vAlign w:val="center"/>
            <w:hideMark/>
          </w:tcPr>
          <w:p w:rsidR="00523EFF" w:rsidRPr="004F40E8" w:rsidRDefault="00523EFF" w:rsidP="00523EFF">
            <w:pPr>
              <w:rPr>
                <w:rFonts w:ascii="Arial Narrow" w:hAnsi="Arial Narrow"/>
                <w:b/>
                <w:bCs/>
                <w:sz w:val="15"/>
                <w:szCs w:val="15"/>
              </w:rPr>
            </w:pPr>
            <w:r w:rsidRPr="004F40E8">
              <w:rPr>
                <w:rFonts w:ascii="Arial Narrow" w:hAnsi="Arial Narrow"/>
                <w:b/>
                <w:bCs/>
                <w:sz w:val="15"/>
                <w:szCs w:val="15"/>
              </w:rPr>
              <w:t>% ΑΕΠ</w:t>
            </w:r>
          </w:p>
        </w:tc>
        <w:tc>
          <w:tcPr>
            <w:tcW w:w="992" w:type="dxa"/>
            <w:tcBorders>
              <w:top w:val="nil"/>
              <w:left w:val="nil"/>
              <w:right w:val="nil"/>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0,11%</w:t>
            </w:r>
          </w:p>
        </w:tc>
        <w:tc>
          <w:tcPr>
            <w:tcW w:w="850" w:type="dxa"/>
            <w:tcBorders>
              <w:top w:val="nil"/>
              <w:left w:val="nil"/>
              <w:right w:val="nil"/>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0,08%</w:t>
            </w:r>
          </w:p>
        </w:tc>
        <w:tc>
          <w:tcPr>
            <w:tcW w:w="709" w:type="dxa"/>
            <w:tcBorders>
              <w:top w:val="nil"/>
              <w:left w:val="nil"/>
              <w:right w:val="nil"/>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w:t>
            </w:r>
          </w:p>
        </w:tc>
        <w:tc>
          <w:tcPr>
            <w:tcW w:w="851" w:type="dxa"/>
            <w:tcBorders>
              <w:top w:val="nil"/>
              <w:left w:val="nil"/>
              <w:right w:val="single" w:sz="4" w:space="0" w:color="auto"/>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w:t>
            </w:r>
          </w:p>
        </w:tc>
      </w:tr>
      <w:tr w:rsidR="00523EFF" w:rsidRPr="004F40E8" w:rsidTr="00523EFF">
        <w:trPr>
          <w:trHeight w:val="20"/>
        </w:trPr>
        <w:tc>
          <w:tcPr>
            <w:tcW w:w="320" w:type="dxa"/>
            <w:tcBorders>
              <w:top w:val="nil"/>
              <w:left w:val="single" w:sz="4" w:space="0" w:color="auto"/>
              <w:right w:val="nil"/>
            </w:tcBorders>
            <w:shd w:val="clear" w:color="000000" w:fill="FFFFFF"/>
            <w:vAlign w:val="center"/>
            <w:hideMark/>
          </w:tcPr>
          <w:p w:rsidR="00523EFF" w:rsidRPr="004F40E8" w:rsidRDefault="00523EFF" w:rsidP="00523EFF">
            <w:pPr>
              <w:jc w:val="center"/>
              <w:rPr>
                <w:rFonts w:ascii="Arial Narrow" w:hAnsi="Arial Narrow"/>
                <w:b/>
                <w:bCs/>
                <w:color w:val="000000"/>
                <w:sz w:val="15"/>
                <w:szCs w:val="15"/>
              </w:rPr>
            </w:pPr>
          </w:p>
        </w:tc>
        <w:tc>
          <w:tcPr>
            <w:tcW w:w="5275" w:type="dxa"/>
            <w:tcBorders>
              <w:top w:val="nil"/>
              <w:left w:val="nil"/>
              <w:right w:val="nil"/>
            </w:tcBorders>
            <w:shd w:val="clear" w:color="000000" w:fill="FFFFFF"/>
            <w:vAlign w:val="center"/>
            <w:hideMark/>
          </w:tcPr>
          <w:p w:rsidR="00523EFF" w:rsidRPr="004F40E8" w:rsidRDefault="00523EFF" w:rsidP="00523EFF">
            <w:pPr>
              <w:rPr>
                <w:rFonts w:ascii="Arial Narrow" w:hAnsi="Arial Narrow"/>
                <w:sz w:val="15"/>
                <w:szCs w:val="15"/>
              </w:rPr>
            </w:pPr>
            <w:r w:rsidRPr="004F40E8">
              <w:rPr>
                <w:rFonts w:ascii="Arial Narrow" w:hAnsi="Arial Narrow"/>
                <w:sz w:val="15"/>
                <w:szCs w:val="15"/>
              </w:rPr>
              <w:t> </w:t>
            </w:r>
          </w:p>
        </w:tc>
        <w:tc>
          <w:tcPr>
            <w:tcW w:w="992" w:type="dxa"/>
            <w:tcBorders>
              <w:top w:val="nil"/>
              <w:left w:val="nil"/>
              <w:right w:val="nil"/>
            </w:tcBorders>
            <w:shd w:val="clear" w:color="000000" w:fill="FFFFFF"/>
            <w:vAlign w:val="center"/>
            <w:hideMark/>
          </w:tcPr>
          <w:p w:rsidR="00523EFF" w:rsidRDefault="00523EFF" w:rsidP="00523EFF">
            <w:pPr>
              <w:ind w:right="170"/>
              <w:jc w:val="right"/>
              <w:rPr>
                <w:rFonts w:ascii="Arial Narrow" w:hAnsi="Arial Narrow"/>
                <w:b/>
                <w:bCs/>
                <w:sz w:val="16"/>
                <w:szCs w:val="16"/>
              </w:rPr>
            </w:pPr>
          </w:p>
        </w:tc>
        <w:tc>
          <w:tcPr>
            <w:tcW w:w="850" w:type="dxa"/>
            <w:tcBorders>
              <w:top w:val="nil"/>
              <w:left w:val="nil"/>
              <w:right w:val="nil"/>
            </w:tcBorders>
            <w:shd w:val="clear" w:color="000000" w:fill="FFFFFF"/>
            <w:vAlign w:val="center"/>
            <w:hideMark/>
          </w:tcPr>
          <w:p w:rsidR="00523EFF" w:rsidRDefault="00523EFF" w:rsidP="00523EFF">
            <w:pPr>
              <w:ind w:right="170"/>
              <w:jc w:val="right"/>
              <w:rPr>
                <w:rFonts w:ascii="Arial Narrow" w:hAnsi="Arial Narrow"/>
                <w:b/>
                <w:bCs/>
                <w:sz w:val="16"/>
                <w:szCs w:val="16"/>
              </w:rPr>
            </w:pPr>
          </w:p>
        </w:tc>
        <w:tc>
          <w:tcPr>
            <w:tcW w:w="709" w:type="dxa"/>
            <w:tcBorders>
              <w:top w:val="nil"/>
              <w:left w:val="nil"/>
              <w:right w:val="nil"/>
            </w:tcBorders>
            <w:shd w:val="clear" w:color="000000" w:fill="FFFFFF"/>
            <w:vAlign w:val="center"/>
            <w:hideMark/>
          </w:tcPr>
          <w:p w:rsidR="00523EFF" w:rsidRDefault="00523EFF" w:rsidP="00523EFF">
            <w:pPr>
              <w:ind w:right="170"/>
              <w:jc w:val="right"/>
              <w:rPr>
                <w:rFonts w:ascii="Arial Narrow" w:hAnsi="Arial Narrow"/>
                <w:b/>
                <w:bCs/>
                <w:sz w:val="16"/>
                <w:szCs w:val="16"/>
              </w:rPr>
            </w:pPr>
          </w:p>
        </w:tc>
        <w:tc>
          <w:tcPr>
            <w:tcW w:w="851" w:type="dxa"/>
            <w:tcBorders>
              <w:top w:val="nil"/>
              <w:left w:val="nil"/>
              <w:right w:val="single" w:sz="4" w:space="0" w:color="auto"/>
            </w:tcBorders>
            <w:shd w:val="clear" w:color="000000" w:fill="FFFFFF"/>
            <w:vAlign w:val="center"/>
            <w:hideMark/>
          </w:tcPr>
          <w:p w:rsidR="00523EFF" w:rsidRDefault="00523EFF" w:rsidP="00523EFF">
            <w:pPr>
              <w:ind w:right="170"/>
              <w:jc w:val="right"/>
              <w:rPr>
                <w:rFonts w:ascii="Arial Narrow" w:hAnsi="Arial Narrow"/>
                <w:b/>
                <w:bCs/>
                <w:sz w:val="16"/>
                <w:szCs w:val="16"/>
              </w:rPr>
            </w:pPr>
          </w:p>
        </w:tc>
      </w:tr>
      <w:tr w:rsidR="00523EFF" w:rsidRPr="004F40E8" w:rsidTr="00523EFF">
        <w:trPr>
          <w:trHeight w:val="20"/>
        </w:trPr>
        <w:tc>
          <w:tcPr>
            <w:tcW w:w="320" w:type="dxa"/>
            <w:tcBorders>
              <w:left w:val="single" w:sz="4" w:space="0" w:color="auto"/>
              <w:bottom w:val="single" w:sz="4" w:space="0" w:color="auto"/>
              <w:right w:val="nil"/>
            </w:tcBorders>
            <w:shd w:val="clear" w:color="000000" w:fill="D8D8D8"/>
            <w:vAlign w:val="center"/>
            <w:hideMark/>
          </w:tcPr>
          <w:p w:rsidR="00523EFF" w:rsidRPr="004F40E8" w:rsidRDefault="00523EFF" w:rsidP="00523EFF">
            <w:pPr>
              <w:rPr>
                <w:rFonts w:ascii="Arial Narrow" w:hAnsi="Arial Narrow"/>
                <w:b/>
                <w:bCs/>
                <w:sz w:val="15"/>
                <w:szCs w:val="15"/>
              </w:rPr>
            </w:pPr>
            <w:r w:rsidRPr="004F40E8">
              <w:rPr>
                <w:rFonts w:ascii="Arial Narrow" w:hAnsi="Arial Narrow"/>
                <w:b/>
                <w:bCs/>
                <w:sz w:val="15"/>
                <w:szCs w:val="15"/>
              </w:rPr>
              <w:t> </w:t>
            </w:r>
          </w:p>
        </w:tc>
        <w:tc>
          <w:tcPr>
            <w:tcW w:w="5275" w:type="dxa"/>
            <w:tcBorders>
              <w:left w:val="nil"/>
              <w:bottom w:val="single" w:sz="4" w:space="0" w:color="auto"/>
              <w:right w:val="nil"/>
            </w:tcBorders>
            <w:shd w:val="clear" w:color="000000" w:fill="D8D8D8"/>
            <w:vAlign w:val="center"/>
            <w:hideMark/>
          </w:tcPr>
          <w:p w:rsidR="00523EFF" w:rsidRPr="004F40E8" w:rsidRDefault="00523EFF" w:rsidP="00523EFF">
            <w:pPr>
              <w:rPr>
                <w:rFonts w:ascii="Arial Narrow" w:hAnsi="Arial Narrow"/>
                <w:b/>
                <w:bCs/>
                <w:sz w:val="15"/>
                <w:szCs w:val="15"/>
              </w:rPr>
            </w:pPr>
            <w:r w:rsidRPr="004F40E8">
              <w:rPr>
                <w:rFonts w:ascii="Arial Narrow" w:hAnsi="Arial Narrow"/>
                <w:b/>
                <w:bCs/>
                <w:sz w:val="15"/>
                <w:szCs w:val="15"/>
              </w:rPr>
              <w:t>ΑΕΠ</w:t>
            </w:r>
          </w:p>
        </w:tc>
        <w:tc>
          <w:tcPr>
            <w:tcW w:w="992" w:type="dxa"/>
            <w:tcBorders>
              <w:left w:val="nil"/>
              <w:bottom w:val="single" w:sz="4" w:space="0" w:color="auto"/>
              <w:right w:val="nil"/>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183.413</w:t>
            </w:r>
          </w:p>
        </w:tc>
        <w:tc>
          <w:tcPr>
            <w:tcW w:w="850" w:type="dxa"/>
            <w:tcBorders>
              <w:left w:val="nil"/>
              <w:bottom w:val="single" w:sz="4" w:space="0" w:color="auto"/>
              <w:right w:val="nil"/>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197.315</w:t>
            </w:r>
          </w:p>
        </w:tc>
        <w:tc>
          <w:tcPr>
            <w:tcW w:w="709" w:type="dxa"/>
            <w:tcBorders>
              <w:left w:val="nil"/>
              <w:bottom w:val="single" w:sz="4" w:space="0" w:color="auto"/>
              <w:right w:val="nil"/>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162.776</w:t>
            </w:r>
          </w:p>
        </w:tc>
        <w:tc>
          <w:tcPr>
            <w:tcW w:w="851" w:type="dxa"/>
            <w:tcBorders>
              <w:left w:val="nil"/>
              <w:bottom w:val="single" w:sz="4" w:space="0" w:color="auto"/>
              <w:right w:val="single" w:sz="4" w:space="0" w:color="auto"/>
            </w:tcBorders>
            <w:shd w:val="clear" w:color="000000" w:fill="D8D8D8"/>
            <w:vAlign w:val="center"/>
            <w:hideMark/>
          </w:tcPr>
          <w:p w:rsidR="00523EFF" w:rsidRDefault="00523EFF" w:rsidP="00523EFF">
            <w:pPr>
              <w:ind w:right="170"/>
              <w:jc w:val="right"/>
              <w:rPr>
                <w:rFonts w:ascii="Arial Narrow" w:hAnsi="Arial Narrow"/>
                <w:b/>
                <w:bCs/>
                <w:sz w:val="16"/>
                <w:szCs w:val="16"/>
              </w:rPr>
            </w:pPr>
            <w:r>
              <w:rPr>
                <w:rFonts w:ascii="Arial Narrow" w:hAnsi="Arial Narrow"/>
                <w:b/>
                <w:bCs/>
                <w:sz w:val="16"/>
                <w:szCs w:val="16"/>
              </w:rPr>
              <w:t>171.934</w:t>
            </w:r>
          </w:p>
        </w:tc>
      </w:tr>
    </w:tbl>
    <w:p w:rsidR="009677D0" w:rsidRDefault="009677D0" w:rsidP="00174A83">
      <w:pPr>
        <w:rPr>
          <w:rFonts w:ascii="Arial Narrow" w:hAnsi="Arial Narrow"/>
          <w:sz w:val="18"/>
          <w:szCs w:val="18"/>
        </w:rPr>
      </w:pPr>
    </w:p>
    <w:p w:rsidR="0069738C" w:rsidRDefault="0069738C" w:rsidP="00174A83">
      <w:pPr>
        <w:rPr>
          <w:rFonts w:ascii="Arial Narrow" w:hAnsi="Arial Narrow"/>
          <w:sz w:val="18"/>
          <w:szCs w:val="18"/>
          <w:highlight w:val="yellow"/>
        </w:rPr>
      </w:pPr>
    </w:p>
    <w:p w:rsidR="0069738C" w:rsidRDefault="0069738C" w:rsidP="00174A83">
      <w:pPr>
        <w:rPr>
          <w:rFonts w:ascii="Arial Narrow" w:hAnsi="Arial Narrow"/>
          <w:sz w:val="18"/>
          <w:szCs w:val="18"/>
          <w:highlight w:val="yellow"/>
        </w:rPr>
      </w:pPr>
    </w:p>
    <w:tbl>
      <w:tblPr>
        <w:tblW w:w="8964" w:type="dxa"/>
        <w:tblInd w:w="101" w:type="dxa"/>
        <w:tblLook w:val="04A0"/>
      </w:tblPr>
      <w:tblGrid>
        <w:gridCol w:w="353"/>
        <w:gridCol w:w="1414"/>
        <w:gridCol w:w="3457"/>
        <w:gridCol w:w="811"/>
        <w:gridCol w:w="753"/>
        <w:gridCol w:w="794"/>
        <w:gridCol w:w="691"/>
        <w:gridCol w:w="691"/>
      </w:tblGrid>
      <w:tr w:rsidR="008C0AB5" w:rsidRPr="008C1502" w:rsidTr="008C0AB5">
        <w:trPr>
          <w:trHeight w:val="737"/>
        </w:trPr>
        <w:tc>
          <w:tcPr>
            <w:tcW w:w="8964" w:type="dxa"/>
            <w:gridSpan w:val="8"/>
            <w:tcBorders>
              <w:top w:val="single" w:sz="4" w:space="0" w:color="auto"/>
              <w:left w:val="single" w:sz="4" w:space="0" w:color="auto"/>
              <w:right w:val="single" w:sz="4" w:space="0" w:color="auto"/>
            </w:tcBorders>
            <w:shd w:val="clear" w:color="auto" w:fill="404040" w:themeFill="text1" w:themeFillTint="BF"/>
            <w:tcMar>
              <w:left w:w="28" w:type="dxa"/>
              <w:right w:w="28" w:type="dxa"/>
            </w:tcMar>
            <w:vAlign w:val="center"/>
            <w:hideMark/>
          </w:tcPr>
          <w:p w:rsidR="008C0AB5" w:rsidRDefault="008C0AB5" w:rsidP="003C4CB4">
            <w:pPr>
              <w:jc w:val="center"/>
              <w:rPr>
                <w:rFonts w:ascii="Arial Narrow" w:hAnsi="Arial Narrow"/>
                <w:b/>
                <w:bCs/>
                <w:color w:val="FFFFFF" w:themeColor="background1"/>
              </w:rPr>
            </w:pPr>
            <w:r w:rsidRPr="008C1502">
              <w:rPr>
                <w:rFonts w:ascii="Arial Narrow" w:hAnsi="Arial Narrow"/>
                <w:b/>
                <w:bCs/>
                <w:color w:val="FFFFFF" w:themeColor="background1"/>
              </w:rPr>
              <w:t xml:space="preserve">Πίνακας 3.4  </w:t>
            </w:r>
            <w:r>
              <w:rPr>
                <w:rFonts w:ascii="Arial Narrow" w:hAnsi="Arial Narrow"/>
                <w:b/>
                <w:bCs/>
                <w:color w:val="FFFFFF" w:themeColor="background1"/>
              </w:rPr>
              <w:t>Καθαρά έ</w:t>
            </w:r>
            <w:r w:rsidRPr="008C1502">
              <w:rPr>
                <w:rFonts w:ascii="Arial Narrow" w:hAnsi="Arial Narrow"/>
                <w:b/>
                <w:bCs/>
                <w:color w:val="FFFFFF" w:themeColor="background1"/>
              </w:rPr>
              <w:t xml:space="preserve">σοδα Κρατικού Προϋπολογισμού κατά μείζονα κατηγορία </w:t>
            </w:r>
          </w:p>
          <w:p w:rsidR="008C0AB5" w:rsidRPr="008C1502" w:rsidRDefault="008C0AB5" w:rsidP="003C4CB4">
            <w:pPr>
              <w:jc w:val="center"/>
              <w:rPr>
                <w:rFonts w:ascii="Arial Narrow" w:hAnsi="Arial Narrow"/>
                <w:color w:val="FFFFFF" w:themeColor="background1"/>
              </w:rPr>
            </w:pPr>
            <w:r>
              <w:rPr>
                <w:rFonts w:ascii="Arial Narrow" w:hAnsi="Arial Narrow"/>
                <w:b/>
                <w:bCs/>
                <w:color w:val="FFFFFF" w:themeColor="background1"/>
              </w:rPr>
              <w:t>σε ταμειακή βάση</w:t>
            </w:r>
            <w:r w:rsidRPr="008C1502">
              <w:rPr>
                <w:rFonts w:ascii="Arial Narrow" w:hAnsi="Arial Narrow"/>
                <w:b/>
                <w:bCs/>
                <w:color w:val="FFFFFF" w:themeColor="background1"/>
              </w:rPr>
              <w:br/>
            </w:r>
            <w:r w:rsidRPr="008C1502">
              <w:rPr>
                <w:rFonts w:ascii="Arial Narrow" w:hAnsi="Arial Narrow"/>
                <w:b/>
                <w:iCs/>
                <w:color w:val="FFFFFF" w:themeColor="background1"/>
                <w:sz w:val="22"/>
                <w:szCs w:val="22"/>
              </w:rPr>
              <w:t>(σε εκατ. ευρώ)</w:t>
            </w:r>
          </w:p>
        </w:tc>
      </w:tr>
      <w:tr w:rsidR="008C0AB5" w:rsidRPr="008C1502" w:rsidTr="003C4CB4">
        <w:trPr>
          <w:trHeight w:val="227"/>
        </w:trPr>
        <w:tc>
          <w:tcPr>
            <w:tcW w:w="8964" w:type="dxa"/>
            <w:gridSpan w:val="8"/>
            <w:tcBorders>
              <w:left w:val="single" w:sz="4" w:space="0" w:color="auto"/>
              <w:bottom w:val="single" w:sz="4" w:space="0" w:color="auto"/>
              <w:right w:val="single" w:sz="4" w:space="0" w:color="auto"/>
            </w:tcBorders>
            <w:shd w:val="clear" w:color="auto" w:fill="auto"/>
            <w:tcMar>
              <w:left w:w="28" w:type="dxa"/>
              <w:right w:w="28" w:type="dxa"/>
            </w:tcMar>
            <w:vAlign w:val="center"/>
            <w:hideMark/>
          </w:tcPr>
          <w:p w:rsidR="008C0AB5" w:rsidRPr="008C1502" w:rsidRDefault="008C0AB5" w:rsidP="003C4CB4">
            <w:pPr>
              <w:jc w:val="center"/>
              <w:rPr>
                <w:rFonts w:ascii="Arial Narrow" w:hAnsi="Arial Narrow"/>
                <w:b/>
                <w:bCs/>
                <w:color w:val="FFFFFF" w:themeColor="background1"/>
              </w:rPr>
            </w:pPr>
          </w:p>
        </w:tc>
      </w:tr>
      <w:tr w:rsidR="008C0AB5" w:rsidRPr="008C1502" w:rsidTr="003C4CB4">
        <w:trPr>
          <w:trHeight w:val="276"/>
        </w:trPr>
        <w:tc>
          <w:tcPr>
            <w:tcW w:w="353" w:type="dxa"/>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C0AB5" w:rsidRPr="008C1502" w:rsidRDefault="008C0AB5" w:rsidP="003C4CB4">
            <w:pPr>
              <w:jc w:val="center"/>
              <w:rPr>
                <w:rFonts w:ascii="Arial Narrow" w:hAnsi="Arial Narrow"/>
                <w:b/>
                <w:bCs/>
                <w:sz w:val="16"/>
                <w:szCs w:val="16"/>
              </w:rPr>
            </w:pPr>
            <w:r w:rsidRPr="008C1502">
              <w:rPr>
                <w:rFonts w:ascii="Arial Narrow" w:hAnsi="Arial Narrow"/>
                <w:b/>
                <w:bCs/>
                <w:sz w:val="16"/>
                <w:szCs w:val="16"/>
              </w:rPr>
              <w:t>α/α</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C0AB5" w:rsidRPr="008C1502" w:rsidRDefault="008C0AB5" w:rsidP="003C4CB4">
            <w:pPr>
              <w:jc w:val="center"/>
              <w:rPr>
                <w:rFonts w:ascii="Arial Narrow" w:hAnsi="Arial Narrow"/>
                <w:b/>
                <w:bCs/>
                <w:sz w:val="16"/>
                <w:szCs w:val="16"/>
              </w:rPr>
            </w:pPr>
            <w:r w:rsidRPr="008C1502">
              <w:rPr>
                <w:rFonts w:ascii="Arial Narrow" w:hAnsi="Arial Narrow"/>
                <w:b/>
                <w:bCs/>
                <w:sz w:val="16"/>
                <w:szCs w:val="16"/>
              </w:rPr>
              <w:t>Μείζονες κατηγορίες</w:t>
            </w:r>
          </w:p>
        </w:tc>
        <w:tc>
          <w:tcPr>
            <w:tcW w:w="3457"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C0AB5" w:rsidRPr="008C1502" w:rsidRDefault="008C0AB5" w:rsidP="003C4CB4">
            <w:pPr>
              <w:jc w:val="center"/>
              <w:rPr>
                <w:rFonts w:ascii="Arial Narrow" w:hAnsi="Arial Narrow"/>
                <w:b/>
                <w:bCs/>
                <w:sz w:val="16"/>
                <w:szCs w:val="16"/>
              </w:rPr>
            </w:pPr>
            <w:r w:rsidRPr="008C1502">
              <w:rPr>
                <w:rFonts w:ascii="Arial Narrow" w:hAnsi="Arial Narrow"/>
                <w:b/>
                <w:bCs/>
                <w:sz w:val="16"/>
                <w:szCs w:val="16"/>
              </w:rPr>
              <w:t>Περιγραφή</w:t>
            </w:r>
          </w:p>
        </w:tc>
        <w:tc>
          <w:tcPr>
            <w:tcW w:w="81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C0AB5" w:rsidRPr="008C1502" w:rsidRDefault="008C0AB5" w:rsidP="003C4CB4">
            <w:pPr>
              <w:jc w:val="center"/>
              <w:rPr>
                <w:rFonts w:ascii="Arial Narrow" w:hAnsi="Arial Narrow"/>
                <w:b/>
                <w:bCs/>
                <w:sz w:val="16"/>
                <w:szCs w:val="16"/>
              </w:rPr>
            </w:pPr>
            <w:r>
              <w:rPr>
                <w:rFonts w:ascii="Arial Narrow" w:hAnsi="Arial Narrow"/>
                <w:b/>
                <w:bCs/>
                <w:sz w:val="16"/>
                <w:szCs w:val="16"/>
              </w:rPr>
              <w:t>201</w:t>
            </w:r>
            <w:r w:rsidR="00A60977">
              <w:rPr>
                <w:rFonts w:ascii="Arial Narrow" w:hAnsi="Arial Narrow"/>
                <w:b/>
                <w:bCs/>
                <w:sz w:val="16"/>
                <w:szCs w:val="16"/>
              </w:rPr>
              <w:t>9</w:t>
            </w:r>
          </w:p>
        </w:tc>
        <w:tc>
          <w:tcPr>
            <w:tcW w:w="75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C0AB5" w:rsidRPr="008C1502" w:rsidRDefault="008C0AB5" w:rsidP="003C4CB4">
            <w:pPr>
              <w:jc w:val="center"/>
              <w:rPr>
                <w:rFonts w:ascii="Arial Narrow" w:hAnsi="Arial Narrow"/>
                <w:b/>
                <w:bCs/>
                <w:sz w:val="16"/>
                <w:szCs w:val="16"/>
              </w:rPr>
            </w:pPr>
            <w:r w:rsidRPr="008C1502">
              <w:rPr>
                <w:rFonts w:ascii="Arial Narrow" w:hAnsi="Arial Narrow"/>
                <w:b/>
                <w:bCs/>
                <w:sz w:val="16"/>
                <w:szCs w:val="16"/>
              </w:rPr>
              <w:t>20</w:t>
            </w:r>
            <w:r w:rsidR="00A60977">
              <w:rPr>
                <w:rFonts w:ascii="Arial Narrow" w:hAnsi="Arial Narrow"/>
                <w:b/>
                <w:bCs/>
                <w:sz w:val="16"/>
                <w:szCs w:val="16"/>
              </w:rPr>
              <w:t>20</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C0AB5" w:rsidRPr="008C1502" w:rsidRDefault="008C0AB5" w:rsidP="003C4CB4">
            <w:pPr>
              <w:jc w:val="center"/>
              <w:rPr>
                <w:rFonts w:ascii="Arial Narrow" w:hAnsi="Arial Narrow"/>
                <w:b/>
                <w:bCs/>
                <w:sz w:val="16"/>
                <w:szCs w:val="16"/>
              </w:rPr>
            </w:pPr>
            <w:r>
              <w:rPr>
                <w:rFonts w:ascii="Arial Narrow" w:hAnsi="Arial Narrow"/>
                <w:b/>
                <w:bCs/>
                <w:sz w:val="16"/>
                <w:szCs w:val="16"/>
              </w:rPr>
              <w:t>202</w:t>
            </w:r>
            <w:r w:rsidR="00A60977">
              <w:rPr>
                <w:rFonts w:ascii="Arial Narrow" w:hAnsi="Arial Narrow"/>
                <w:b/>
                <w:bCs/>
                <w:sz w:val="16"/>
                <w:szCs w:val="16"/>
              </w:rPr>
              <w:t>1</w:t>
            </w:r>
          </w:p>
        </w:tc>
        <w:tc>
          <w:tcPr>
            <w:tcW w:w="1382"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C0AB5" w:rsidRPr="008C1502" w:rsidRDefault="008C0AB5" w:rsidP="003C4CB4">
            <w:pPr>
              <w:jc w:val="center"/>
              <w:rPr>
                <w:rFonts w:ascii="Arial Narrow" w:hAnsi="Arial Narrow"/>
                <w:b/>
                <w:bCs/>
                <w:sz w:val="16"/>
                <w:szCs w:val="16"/>
              </w:rPr>
            </w:pPr>
            <w:r w:rsidRPr="008C1502">
              <w:rPr>
                <w:rFonts w:ascii="Arial Narrow" w:hAnsi="Arial Narrow"/>
                <w:b/>
                <w:bCs/>
                <w:sz w:val="16"/>
                <w:szCs w:val="16"/>
              </w:rPr>
              <w:t>Μεταβολή</w:t>
            </w:r>
            <w:r>
              <w:rPr>
                <w:rFonts w:ascii="Arial Narrow" w:hAnsi="Arial Narrow"/>
                <w:b/>
                <w:bCs/>
                <w:sz w:val="16"/>
                <w:szCs w:val="16"/>
              </w:rPr>
              <w:t xml:space="preserve"> %</w:t>
            </w:r>
          </w:p>
        </w:tc>
      </w:tr>
      <w:tr w:rsidR="008C0AB5" w:rsidRPr="008C1502" w:rsidTr="003C4CB4">
        <w:trPr>
          <w:trHeight w:val="408"/>
        </w:trPr>
        <w:tc>
          <w:tcPr>
            <w:tcW w:w="35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C0AB5" w:rsidRPr="008C1502" w:rsidRDefault="008C0AB5" w:rsidP="003C4CB4">
            <w:pPr>
              <w:rPr>
                <w:rFonts w:ascii="Arial Narrow" w:hAnsi="Arial Narrow"/>
                <w:b/>
                <w:bCs/>
                <w:sz w:val="16"/>
                <w:szCs w:val="16"/>
              </w:rPr>
            </w:pPr>
          </w:p>
        </w:tc>
        <w:tc>
          <w:tcPr>
            <w:tcW w:w="141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C0AB5" w:rsidRPr="008C1502" w:rsidRDefault="008C0AB5" w:rsidP="003C4CB4">
            <w:pPr>
              <w:rPr>
                <w:rFonts w:ascii="Arial Narrow" w:hAnsi="Arial Narrow"/>
                <w:b/>
                <w:bCs/>
                <w:sz w:val="16"/>
                <w:szCs w:val="16"/>
              </w:rPr>
            </w:pPr>
          </w:p>
        </w:tc>
        <w:tc>
          <w:tcPr>
            <w:tcW w:w="345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C0AB5" w:rsidRPr="008C1502" w:rsidRDefault="008C0AB5" w:rsidP="003C4CB4">
            <w:pPr>
              <w:rPr>
                <w:rFonts w:ascii="Arial Narrow" w:hAnsi="Arial Narrow"/>
                <w:b/>
                <w:bCs/>
                <w:sz w:val="16"/>
                <w:szCs w:val="16"/>
              </w:rPr>
            </w:pPr>
          </w:p>
        </w:tc>
        <w:tc>
          <w:tcPr>
            <w:tcW w:w="8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C0AB5" w:rsidRPr="008C1502" w:rsidRDefault="008C0AB5" w:rsidP="003C4CB4">
            <w:pPr>
              <w:jc w:val="center"/>
              <w:rPr>
                <w:rFonts w:ascii="Arial Narrow" w:hAnsi="Arial Narrow"/>
                <w:b/>
                <w:bCs/>
                <w:sz w:val="16"/>
                <w:szCs w:val="16"/>
              </w:rPr>
            </w:pPr>
            <w:r w:rsidRPr="008C1502">
              <w:rPr>
                <w:rFonts w:ascii="Arial Narrow" w:hAnsi="Arial Narrow"/>
                <w:b/>
                <w:bCs/>
                <w:sz w:val="16"/>
                <w:szCs w:val="16"/>
              </w:rPr>
              <w:t>Πραγματο-</w:t>
            </w:r>
            <w:r w:rsidRPr="008C1502">
              <w:rPr>
                <w:rFonts w:ascii="Arial Narrow" w:hAnsi="Arial Narrow"/>
                <w:b/>
                <w:bCs/>
                <w:sz w:val="16"/>
                <w:szCs w:val="16"/>
              </w:rPr>
              <w:br/>
              <w:t>ποιήσεις</w:t>
            </w:r>
          </w:p>
        </w:tc>
        <w:tc>
          <w:tcPr>
            <w:tcW w:w="75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C0AB5" w:rsidRPr="008C1502" w:rsidRDefault="008C0AB5" w:rsidP="003C4CB4">
            <w:pPr>
              <w:jc w:val="center"/>
              <w:rPr>
                <w:rFonts w:ascii="Arial Narrow" w:hAnsi="Arial Narrow"/>
                <w:b/>
                <w:bCs/>
                <w:sz w:val="16"/>
                <w:szCs w:val="16"/>
              </w:rPr>
            </w:pPr>
            <w:r w:rsidRPr="008C1502">
              <w:rPr>
                <w:rFonts w:ascii="Arial Narrow" w:hAnsi="Arial Narrow"/>
                <w:b/>
                <w:bCs/>
                <w:sz w:val="16"/>
                <w:szCs w:val="16"/>
              </w:rPr>
              <w:t>Εκτιμήσεις</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C0AB5" w:rsidRPr="008C1502" w:rsidRDefault="008C0AB5" w:rsidP="003C4CB4">
            <w:pPr>
              <w:jc w:val="center"/>
              <w:rPr>
                <w:rFonts w:ascii="Arial Narrow" w:hAnsi="Arial Narrow"/>
                <w:b/>
                <w:bCs/>
                <w:sz w:val="16"/>
                <w:szCs w:val="16"/>
              </w:rPr>
            </w:pPr>
            <w:r w:rsidRPr="008C1502">
              <w:rPr>
                <w:rFonts w:ascii="Arial Narrow" w:hAnsi="Arial Narrow"/>
                <w:b/>
                <w:bCs/>
                <w:sz w:val="16"/>
                <w:szCs w:val="16"/>
              </w:rPr>
              <w:t>Προβλέψεις</w:t>
            </w:r>
          </w:p>
        </w:tc>
        <w:tc>
          <w:tcPr>
            <w:tcW w:w="69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C0AB5" w:rsidRPr="008C1502" w:rsidRDefault="00A60977" w:rsidP="003C4CB4">
            <w:pPr>
              <w:jc w:val="center"/>
              <w:rPr>
                <w:rFonts w:ascii="Arial Narrow" w:hAnsi="Arial Narrow"/>
                <w:b/>
                <w:bCs/>
                <w:sz w:val="16"/>
                <w:szCs w:val="16"/>
              </w:rPr>
            </w:pPr>
            <w:r>
              <w:rPr>
                <w:rFonts w:ascii="Arial Narrow" w:hAnsi="Arial Narrow"/>
                <w:b/>
                <w:bCs/>
                <w:sz w:val="16"/>
                <w:szCs w:val="16"/>
              </w:rPr>
              <w:t>2020</w:t>
            </w:r>
            <w:r w:rsidR="008C0AB5" w:rsidRPr="008C1502">
              <w:rPr>
                <w:rFonts w:ascii="Arial Narrow" w:hAnsi="Arial Narrow"/>
                <w:b/>
                <w:bCs/>
                <w:sz w:val="16"/>
                <w:szCs w:val="16"/>
              </w:rPr>
              <w:t>/1</w:t>
            </w:r>
            <w:r>
              <w:rPr>
                <w:rFonts w:ascii="Arial Narrow" w:hAnsi="Arial Narrow"/>
                <w:b/>
                <w:bCs/>
                <w:sz w:val="16"/>
                <w:szCs w:val="16"/>
              </w:rPr>
              <w:t>9</w:t>
            </w:r>
          </w:p>
        </w:tc>
        <w:tc>
          <w:tcPr>
            <w:tcW w:w="69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C0AB5" w:rsidRPr="008C1502" w:rsidRDefault="00A60977" w:rsidP="003C4CB4">
            <w:pPr>
              <w:jc w:val="center"/>
              <w:rPr>
                <w:rFonts w:ascii="Arial Narrow" w:hAnsi="Arial Narrow"/>
                <w:b/>
                <w:bCs/>
                <w:sz w:val="16"/>
                <w:szCs w:val="16"/>
              </w:rPr>
            </w:pPr>
            <w:r>
              <w:rPr>
                <w:rFonts w:ascii="Arial Narrow" w:hAnsi="Arial Narrow"/>
                <w:b/>
                <w:bCs/>
                <w:sz w:val="16"/>
                <w:szCs w:val="16"/>
              </w:rPr>
              <w:t>2021</w:t>
            </w:r>
            <w:r w:rsidR="008C0AB5" w:rsidRPr="008C1502">
              <w:rPr>
                <w:rFonts w:ascii="Arial Narrow" w:hAnsi="Arial Narrow"/>
                <w:b/>
                <w:bCs/>
                <w:sz w:val="16"/>
                <w:szCs w:val="16"/>
              </w:rPr>
              <w:t>/</w:t>
            </w:r>
            <w:r>
              <w:rPr>
                <w:rFonts w:ascii="Arial Narrow" w:hAnsi="Arial Narrow"/>
                <w:b/>
                <w:bCs/>
                <w:sz w:val="16"/>
                <w:szCs w:val="16"/>
              </w:rPr>
              <w:t>20</w:t>
            </w:r>
          </w:p>
        </w:tc>
      </w:tr>
      <w:tr w:rsidR="003C4CB4" w:rsidRPr="008C1502" w:rsidTr="003C4CB4">
        <w:trPr>
          <w:trHeight w:val="227"/>
        </w:trPr>
        <w:tc>
          <w:tcPr>
            <w:tcW w:w="353" w:type="dxa"/>
            <w:tcBorders>
              <w:top w:val="single" w:sz="4" w:space="0" w:color="auto"/>
              <w:left w:val="single" w:sz="4" w:space="0" w:color="auto"/>
              <w:bottom w:val="nil"/>
            </w:tcBorders>
            <w:shd w:val="clear" w:color="auto" w:fill="auto"/>
            <w:noWrap/>
            <w:tcMar>
              <w:left w:w="28" w:type="dxa"/>
              <w:right w:w="28" w:type="dxa"/>
            </w:tcMar>
            <w:vAlign w:val="bottom"/>
            <w:hideMark/>
          </w:tcPr>
          <w:p w:rsidR="003C4CB4" w:rsidRPr="008C1502" w:rsidRDefault="003C4CB4" w:rsidP="003C4CB4">
            <w:pPr>
              <w:jc w:val="center"/>
              <w:rPr>
                <w:rFonts w:ascii="Arial Narrow" w:hAnsi="Arial Narrow"/>
                <w:sz w:val="16"/>
                <w:szCs w:val="16"/>
              </w:rPr>
            </w:pPr>
            <w:r w:rsidRPr="008C1502">
              <w:rPr>
                <w:rFonts w:ascii="Arial Narrow" w:hAnsi="Arial Narrow"/>
                <w:sz w:val="16"/>
                <w:szCs w:val="16"/>
              </w:rPr>
              <w:t>1</w:t>
            </w:r>
          </w:p>
        </w:tc>
        <w:tc>
          <w:tcPr>
            <w:tcW w:w="1414" w:type="dxa"/>
            <w:tcBorders>
              <w:top w:val="single" w:sz="4" w:space="0" w:color="auto"/>
              <w:bottom w:val="nil"/>
            </w:tcBorders>
            <w:shd w:val="clear" w:color="auto" w:fill="auto"/>
            <w:noWrap/>
            <w:tcMar>
              <w:left w:w="28" w:type="dxa"/>
              <w:right w:w="28" w:type="dxa"/>
            </w:tcMar>
            <w:vAlign w:val="bottom"/>
            <w:hideMark/>
          </w:tcPr>
          <w:p w:rsidR="003C4CB4" w:rsidRPr="008C1502" w:rsidRDefault="003C4CB4" w:rsidP="003C4CB4">
            <w:pPr>
              <w:jc w:val="center"/>
              <w:rPr>
                <w:rFonts w:ascii="Arial Narrow" w:hAnsi="Arial Narrow"/>
                <w:sz w:val="16"/>
                <w:szCs w:val="16"/>
              </w:rPr>
            </w:pPr>
            <w:r w:rsidRPr="008C1502">
              <w:rPr>
                <w:rFonts w:ascii="Arial Narrow" w:hAnsi="Arial Narrow"/>
                <w:sz w:val="16"/>
                <w:szCs w:val="16"/>
              </w:rPr>
              <w:t>11</w:t>
            </w:r>
          </w:p>
        </w:tc>
        <w:tc>
          <w:tcPr>
            <w:tcW w:w="3457" w:type="dxa"/>
            <w:tcBorders>
              <w:top w:val="single" w:sz="4" w:space="0" w:color="auto"/>
              <w:bottom w:val="nil"/>
            </w:tcBorders>
            <w:shd w:val="clear" w:color="auto" w:fill="auto"/>
            <w:tcMar>
              <w:left w:w="28" w:type="dxa"/>
              <w:right w:w="28" w:type="dxa"/>
            </w:tcMar>
            <w:vAlign w:val="bottom"/>
            <w:hideMark/>
          </w:tcPr>
          <w:p w:rsidR="003C4CB4" w:rsidRPr="008C1502" w:rsidRDefault="003C4CB4" w:rsidP="003C4CB4">
            <w:pPr>
              <w:rPr>
                <w:rFonts w:ascii="Arial Narrow" w:hAnsi="Arial Narrow"/>
                <w:sz w:val="16"/>
                <w:szCs w:val="16"/>
              </w:rPr>
            </w:pPr>
            <w:r w:rsidRPr="008C1502">
              <w:rPr>
                <w:rFonts w:ascii="Arial Narrow" w:hAnsi="Arial Narrow"/>
                <w:sz w:val="16"/>
                <w:szCs w:val="16"/>
              </w:rPr>
              <w:t xml:space="preserve">Φόροι </w:t>
            </w:r>
          </w:p>
        </w:tc>
        <w:tc>
          <w:tcPr>
            <w:tcW w:w="811" w:type="dxa"/>
            <w:tcBorders>
              <w:top w:val="single" w:sz="4" w:space="0" w:color="auto"/>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46.540</w:t>
            </w:r>
          </w:p>
        </w:tc>
        <w:tc>
          <w:tcPr>
            <w:tcW w:w="753" w:type="dxa"/>
            <w:tcBorders>
              <w:top w:val="single" w:sz="4" w:space="0" w:color="auto"/>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37.623</w:t>
            </w:r>
          </w:p>
        </w:tc>
        <w:tc>
          <w:tcPr>
            <w:tcW w:w="794" w:type="dxa"/>
            <w:tcBorders>
              <w:top w:val="single" w:sz="4" w:space="0" w:color="auto"/>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43.587</w:t>
            </w:r>
          </w:p>
        </w:tc>
        <w:tc>
          <w:tcPr>
            <w:tcW w:w="691" w:type="dxa"/>
            <w:tcBorders>
              <w:top w:val="single" w:sz="4" w:space="0" w:color="auto"/>
              <w:bottom w:val="nil"/>
            </w:tcBorders>
            <w:shd w:val="clear" w:color="auto" w:fill="auto"/>
            <w:tcMar>
              <w:left w:w="28" w:type="dxa"/>
              <w:right w:w="28" w:type="dxa"/>
            </w:tcMar>
            <w:vAlign w:val="bottom"/>
            <w:hideMark/>
          </w:tcPr>
          <w:p w:rsidR="003C4CB4" w:rsidRDefault="00A60977" w:rsidP="00A60977">
            <w:pPr>
              <w:ind w:right="113"/>
              <w:jc w:val="right"/>
              <w:rPr>
                <w:rFonts w:ascii="Arial Narrow" w:hAnsi="Arial Narrow"/>
                <w:sz w:val="16"/>
                <w:szCs w:val="16"/>
              </w:rPr>
            </w:pPr>
            <w:r>
              <w:rPr>
                <w:rFonts w:ascii="Arial Narrow" w:hAnsi="Arial Narrow"/>
                <w:sz w:val="16"/>
                <w:szCs w:val="16"/>
              </w:rPr>
              <w:t>-19,2</w:t>
            </w:r>
          </w:p>
        </w:tc>
        <w:tc>
          <w:tcPr>
            <w:tcW w:w="691" w:type="dxa"/>
            <w:tcBorders>
              <w:top w:val="single" w:sz="4" w:space="0" w:color="auto"/>
              <w:bottom w:val="nil"/>
              <w:right w:val="single" w:sz="4" w:space="0" w:color="auto"/>
            </w:tcBorders>
            <w:shd w:val="clear" w:color="auto" w:fill="auto"/>
            <w:tcMar>
              <w:left w:w="28" w:type="dxa"/>
              <w:right w:w="28" w:type="dxa"/>
            </w:tcMar>
            <w:vAlign w:val="bottom"/>
            <w:hideMark/>
          </w:tcPr>
          <w:p w:rsidR="003C4CB4" w:rsidRDefault="00A60977" w:rsidP="00A60977">
            <w:pPr>
              <w:ind w:right="113"/>
              <w:jc w:val="right"/>
              <w:rPr>
                <w:rFonts w:ascii="Arial Narrow" w:hAnsi="Arial Narrow"/>
                <w:sz w:val="16"/>
                <w:szCs w:val="16"/>
              </w:rPr>
            </w:pPr>
            <w:r>
              <w:rPr>
                <w:rFonts w:ascii="Arial Narrow" w:hAnsi="Arial Narrow"/>
                <w:sz w:val="16"/>
                <w:szCs w:val="16"/>
              </w:rPr>
              <w:t>15,9</w:t>
            </w:r>
          </w:p>
        </w:tc>
      </w:tr>
      <w:tr w:rsidR="003C4CB4" w:rsidRPr="008C1502" w:rsidTr="003C4CB4">
        <w:trPr>
          <w:trHeight w:val="227"/>
        </w:trPr>
        <w:tc>
          <w:tcPr>
            <w:tcW w:w="353" w:type="dxa"/>
            <w:tcBorders>
              <w:top w:val="nil"/>
              <w:left w:val="single" w:sz="4" w:space="0" w:color="auto"/>
              <w:bottom w:val="nil"/>
            </w:tcBorders>
            <w:shd w:val="clear" w:color="auto" w:fill="auto"/>
            <w:noWrap/>
            <w:tcMar>
              <w:left w:w="28" w:type="dxa"/>
              <w:right w:w="28" w:type="dxa"/>
            </w:tcMar>
            <w:vAlign w:val="bottom"/>
            <w:hideMark/>
          </w:tcPr>
          <w:p w:rsidR="003C4CB4" w:rsidRPr="008C1502" w:rsidRDefault="003C4CB4" w:rsidP="003C4CB4">
            <w:pPr>
              <w:jc w:val="center"/>
              <w:rPr>
                <w:rFonts w:ascii="Arial Narrow" w:hAnsi="Arial Narrow"/>
                <w:sz w:val="16"/>
                <w:szCs w:val="16"/>
              </w:rPr>
            </w:pPr>
            <w:r w:rsidRPr="008C1502">
              <w:rPr>
                <w:rFonts w:ascii="Arial Narrow" w:hAnsi="Arial Narrow"/>
                <w:sz w:val="16"/>
                <w:szCs w:val="16"/>
              </w:rPr>
              <w:t>2</w:t>
            </w:r>
          </w:p>
        </w:tc>
        <w:tc>
          <w:tcPr>
            <w:tcW w:w="1414" w:type="dxa"/>
            <w:tcBorders>
              <w:top w:val="nil"/>
              <w:bottom w:val="nil"/>
            </w:tcBorders>
            <w:shd w:val="clear" w:color="auto" w:fill="auto"/>
            <w:noWrap/>
            <w:tcMar>
              <w:left w:w="28" w:type="dxa"/>
              <w:right w:w="28" w:type="dxa"/>
            </w:tcMar>
            <w:vAlign w:val="bottom"/>
            <w:hideMark/>
          </w:tcPr>
          <w:p w:rsidR="003C4CB4" w:rsidRPr="008C1502" w:rsidRDefault="003C4CB4" w:rsidP="003C4CB4">
            <w:pPr>
              <w:jc w:val="center"/>
              <w:rPr>
                <w:rFonts w:ascii="Arial Narrow" w:hAnsi="Arial Narrow"/>
                <w:sz w:val="16"/>
                <w:szCs w:val="16"/>
              </w:rPr>
            </w:pPr>
            <w:r w:rsidRPr="008C1502">
              <w:rPr>
                <w:rFonts w:ascii="Arial Narrow" w:hAnsi="Arial Narrow"/>
                <w:sz w:val="16"/>
                <w:szCs w:val="16"/>
              </w:rPr>
              <w:t>12</w:t>
            </w:r>
          </w:p>
        </w:tc>
        <w:tc>
          <w:tcPr>
            <w:tcW w:w="3457" w:type="dxa"/>
            <w:tcBorders>
              <w:top w:val="nil"/>
              <w:bottom w:val="nil"/>
            </w:tcBorders>
            <w:shd w:val="clear" w:color="auto" w:fill="auto"/>
            <w:tcMar>
              <w:left w:w="28" w:type="dxa"/>
              <w:right w:w="28" w:type="dxa"/>
            </w:tcMar>
            <w:vAlign w:val="bottom"/>
            <w:hideMark/>
          </w:tcPr>
          <w:p w:rsidR="003C4CB4" w:rsidRPr="008C1502" w:rsidRDefault="003C4CB4" w:rsidP="003C4CB4">
            <w:pPr>
              <w:rPr>
                <w:rFonts w:ascii="Arial Narrow" w:hAnsi="Arial Narrow"/>
                <w:sz w:val="16"/>
                <w:szCs w:val="16"/>
              </w:rPr>
            </w:pPr>
            <w:r w:rsidRPr="008C1502">
              <w:rPr>
                <w:rFonts w:ascii="Arial Narrow" w:hAnsi="Arial Narrow"/>
                <w:sz w:val="16"/>
                <w:szCs w:val="16"/>
              </w:rPr>
              <w:t>Κοινωνικές εισφορές</w:t>
            </w:r>
          </w:p>
        </w:tc>
        <w:tc>
          <w:tcPr>
            <w:tcW w:w="811"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54</w:t>
            </w:r>
          </w:p>
        </w:tc>
        <w:tc>
          <w:tcPr>
            <w:tcW w:w="753"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53</w:t>
            </w:r>
          </w:p>
        </w:tc>
        <w:tc>
          <w:tcPr>
            <w:tcW w:w="794"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53</w:t>
            </w:r>
          </w:p>
        </w:tc>
        <w:tc>
          <w:tcPr>
            <w:tcW w:w="691" w:type="dxa"/>
            <w:tcBorders>
              <w:top w:val="nil"/>
              <w:bottom w:val="nil"/>
            </w:tcBorders>
            <w:shd w:val="clear" w:color="auto" w:fill="auto"/>
            <w:tcMar>
              <w:left w:w="28" w:type="dxa"/>
              <w:right w:w="28" w:type="dxa"/>
            </w:tcMar>
            <w:vAlign w:val="bottom"/>
            <w:hideMark/>
          </w:tcPr>
          <w:p w:rsidR="003C4CB4" w:rsidRDefault="00A60977" w:rsidP="00A60977">
            <w:pPr>
              <w:ind w:right="113"/>
              <w:jc w:val="right"/>
              <w:rPr>
                <w:rFonts w:ascii="Arial Narrow" w:hAnsi="Arial Narrow"/>
                <w:sz w:val="16"/>
                <w:szCs w:val="16"/>
              </w:rPr>
            </w:pPr>
            <w:r>
              <w:rPr>
                <w:rFonts w:ascii="Arial Narrow" w:hAnsi="Arial Narrow"/>
                <w:sz w:val="16"/>
                <w:szCs w:val="16"/>
              </w:rPr>
              <w:t>-1,4</w:t>
            </w:r>
          </w:p>
        </w:tc>
        <w:tc>
          <w:tcPr>
            <w:tcW w:w="691" w:type="dxa"/>
            <w:tcBorders>
              <w:top w:val="nil"/>
              <w:bottom w:val="nil"/>
              <w:right w:val="single" w:sz="4" w:space="0" w:color="auto"/>
            </w:tcBorders>
            <w:shd w:val="clear" w:color="auto" w:fill="auto"/>
            <w:tcMar>
              <w:left w:w="28" w:type="dxa"/>
              <w:right w:w="28" w:type="dxa"/>
            </w:tcMar>
            <w:vAlign w:val="bottom"/>
            <w:hideMark/>
          </w:tcPr>
          <w:p w:rsidR="003C4CB4" w:rsidRDefault="00A60977" w:rsidP="00A60977">
            <w:pPr>
              <w:ind w:right="113"/>
              <w:jc w:val="right"/>
              <w:rPr>
                <w:rFonts w:ascii="Arial Narrow" w:hAnsi="Arial Narrow"/>
                <w:sz w:val="16"/>
                <w:szCs w:val="16"/>
              </w:rPr>
            </w:pPr>
            <w:r>
              <w:rPr>
                <w:rFonts w:ascii="Arial Narrow" w:hAnsi="Arial Narrow"/>
                <w:sz w:val="16"/>
                <w:szCs w:val="16"/>
              </w:rPr>
              <w:t>-0,7</w:t>
            </w:r>
          </w:p>
        </w:tc>
      </w:tr>
      <w:tr w:rsidR="003C4CB4" w:rsidRPr="008C1502" w:rsidTr="003C4CB4">
        <w:trPr>
          <w:trHeight w:val="227"/>
        </w:trPr>
        <w:tc>
          <w:tcPr>
            <w:tcW w:w="353" w:type="dxa"/>
            <w:tcBorders>
              <w:top w:val="nil"/>
              <w:left w:val="single" w:sz="4" w:space="0" w:color="auto"/>
              <w:bottom w:val="nil"/>
            </w:tcBorders>
            <w:shd w:val="clear" w:color="auto" w:fill="auto"/>
            <w:noWrap/>
            <w:tcMar>
              <w:left w:w="28" w:type="dxa"/>
              <w:right w:w="28" w:type="dxa"/>
            </w:tcMar>
            <w:vAlign w:val="bottom"/>
            <w:hideMark/>
          </w:tcPr>
          <w:p w:rsidR="003C4CB4" w:rsidRPr="008C1502" w:rsidRDefault="003C4CB4" w:rsidP="003C4CB4">
            <w:pPr>
              <w:jc w:val="center"/>
              <w:rPr>
                <w:rFonts w:ascii="Arial Narrow" w:hAnsi="Arial Narrow"/>
                <w:sz w:val="16"/>
                <w:szCs w:val="16"/>
              </w:rPr>
            </w:pPr>
            <w:r w:rsidRPr="008C1502">
              <w:rPr>
                <w:rFonts w:ascii="Arial Narrow" w:hAnsi="Arial Narrow"/>
                <w:sz w:val="16"/>
                <w:szCs w:val="16"/>
              </w:rPr>
              <w:t>3</w:t>
            </w:r>
          </w:p>
        </w:tc>
        <w:tc>
          <w:tcPr>
            <w:tcW w:w="1414" w:type="dxa"/>
            <w:tcBorders>
              <w:top w:val="nil"/>
              <w:bottom w:val="nil"/>
            </w:tcBorders>
            <w:shd w:val="clear" w:color="auto" w:fill="auto"/>
            <w:noWrap/>
            <w:tcMar>
              <w:left w:w="28" w:type="dxa"/>
              <w:right w:w="28" w:type="dxa"/>
            </w:tcMar>
            <w:vAlign w:val="bottom"/>
            <w:hideMark/>
          </w:tcPr>
          <w:p w:rsidR="003C4CB4" w:rsidRPr="008C1502" w:rsidRDefault="003C4CB4" w:rsidP="003C4CB4">
            <w:pPr>
              <w:jc w:val="center"/>
              <w:rPr>
                <w:rFonts w:ascii="Arial Narrow" w:hAnsi="Arial Narrow"/>
                <w:sz w:val="16"/>
                <w:szCs w:val="16"/>
              </w:rPr>
            </w:pPr>
            <w:r w:rsidRPr="008C1502">
              <w:rPr>
                <w:rFonts w:ascii="Arial Narrow" w:hAnsi="Arial Narrow"/>
                <w:sz w:val="16"/>
                <w:szCs w:val="16"/>
              </w:rPr>
              <w:t>13</w:t>
            </w:r>
          </w:p>
        </w:tc>
        <w:tc>
          <w:tcPr>
            <w:tcW w:w="3457" w:type="dxa"/>
            <w:tcBorders>
              <w:top w:val="nil"/>
              <w:bottom w:val="nil"/>
            </w:tcBorders>
            <w:shd w:val="clear" w:color="auto" w:fill="auto"/>
            <w:tcMar>
              <w:left w:w="28" w:type="dxa"/>
              <w:right w:w="28" w:type="dxa"/>
            </w:tcMar>
            <w:vAlign w:val="bottom"/>
            <w:hideMark/>
          </w:tcPr>
          <w:p w:rsidR="003C4CB4" w:rsidRPr="008C1502" w:rsidRDefault="003C4CB4" w:rsidP="003C4CB4">
            <w:pPr>
              <w:rPr>
                <w:rFonts w:ascii="Arial Narrow" w:hAnsi="Arial Narrow"/>
                <w:sz w:val="16"/>
                <w:szCs w:val="16"/>
              </w:rPr>
            </w:pPr>
            <w:r w:rsidRPr="008C1502">
              <w:rPr>
                <w:rFonts w:ascii="Arial Narrow" w:hAnsi="Arial Narrow"/>
                <w:sz w:val="16"/>
                <w:szCs w:val="16"/>
              </w:rPr>
              <w:t>Μεταβιβάσεις</w:t>
            </w:r>
          </w:p>
        </w:tc>
        <w:tc>
          <w:tcPr>
            <w:tcW w:w="811"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4.407</w:t>
            </w:r>
          </w:p>
        </w:tc>
        <w:tc>
          <w:tcPr>
            <w:tcW w:w="753"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5.744</w:t>
            </w:r>
          </w:p>
        </w:tc>
        <w:tc>
          <w:tcPr>
            <w:tcW w:w="794"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6.951</w:t>
            </w:r>
          </w:p>
        </w:tc>
        <w:tc>
          <w:tcPr>
            <w:tcW w:w="691" w:type="dxa"/>
            <w:tcBorders>
              <w:top w:val="nil"/>
              <w:bottom w:val="nil"/>
            </w:tcBorders>
            <w:shd w:val="clear" w:color="auto" w:fill="auto"/>
            <w:tcMar>
              <w:left w:w="28" w:type="dxa"/>
              <w:right w:w="28" w:type="dxa"/>
            </w:tcMar>
            <w:vAlign w:val="bottom"/>
            <w:hideMark/>
          </w:tcPr>
          <w:p w:rsidR="003C4CB4" w:rsidRDefault="00A60977" w:rsidP="00A60977">
            <w:pPr>
              <w:ind w:right="113"/>
              <w:jc w:val="right"/>
              <w:rPr>
                <w:rFonts w:ascii="Arial Narrow" w:hAnsi="Arial Narrow"/>
                <w:sz w:val="16"/>
                <w:szCs w:val="16"/>
              </w:rPr>
            </w:pPr>
            <w:r>
              <w:rPr>
                <w:rFonts w:ascii="Arial Narrow" w:hAnsi="Arial Narrow"/>
                <w:sz w:val="16"/>
                <w:szCs w:val="16"/>
              </w:rPr>
              <w:t>30,3</w:t>
            </w:r>
          </w:p>
        </w:tc>
        <w:tc>
          <w:tcPr>
            <w:tcW w:w="691" w:type="dxa"/>
            <w:tcBorders>
              <w:top w:val="nil"/>
              <w:bottom w:val="nil"/>
              <w:right w:val="single" w:sz="4" w:space="0" w:color="auto"/>
            </w:tcBorders>
            <w:shd w:val="clear" w:color="auto" w:fill="auto"/>
            <w:tcMar>
              <w:left w:w="28" w:type="dxa"/>
              <w:right w:w="28" w:type="dxa"/>
            </w:tcMar>
            <w:vAlign w:val="bottom"/>
            <w:hideMark/>
          </w:tcPr>
          <w:p w:rsidR="003C4CB4" w:rsidRDefault="00A60977" w:rsidP="00A60977">
            <w:pPr>
              <w:ind w:right="113"/>
              <w:jc w:val="right"/>
              <w:rPr>
                <w:rFonts w:ascii="Arial Narrow" w:hAnsi="Arial Narrow"/>
                <w:sz w:val="16"/>
                <w:szCs w:val="16"/>
              </w:rPr>
            </w:pPr>
            <w:r>
              <w:rPr>
                <w:rFonts w:ascii="Arial Narrow" w:hAnsi="Arial Narrow"/>
                <w:sz w:val="16"/>
                <w:szCs w:val="16"/>
              </w:rPr>
              <w:t>21,0</w:t>
            </w:r>
          </w:p>
        </w:tc>
      </w:tr>
      <w:tr w:rsidR="003C4CB4" w:rsidRPr="008C1502" w:rsidTr="003C4CB4">
        <w:trPr>
          <w:trHeight w:val="227"/>
        </w:trPr>
        <w:tc>
          <w:tcPr>
            <w:tcW w:w="353" w:type="dxa"/>
            <w:tcBorders>
              <w:top w:val="nil"/>
              <w:left w:val="single" w:sz="4" w:space="0" w:color="auto"/>
              <w:bottom w:val="nil"/>
            </w:tcBorders>
            <w:shd w:val="clear" w:color="auto" w:fill="auto"/>
            <w:noWrap/>
            <w:tcMar>
              <w:left w:w="28" w:type="dxa"/>
              <w:right w:w="28" w:type="dxa"/>
            </w:tcMar>
            <w:vAlign w:val="bottom"/>
            <w:hideMark/>
          </w:tcPr>
          <w:p w:rsidR="003C4CB4" w:rsidRPr="008C1502" w:rsidRDefault="003C4CB4" w:rsidP="003C4CB4">
            <w:pPr>
              <w:jc w:val="center"/>
              <w:rPr>
                <w:rFonts w:ascii="Arial Narrow" w:hAnsi="Arial Narrow"/>
                <w:sz w:val="16"/>
                <w:szCs w:val="16"/>
              </w:rPr>
            </w:pPr>
          </w:p>
        </w:tc>
        <w:tc>
          <w:tcPr>
            <w:tcW w:w="1414" w:type="dxa"/>
            <w:tcBorders>
              <w:top w:val="nil"/>
              <w:bottom w:val="nil"/>
            </w:tcBorders>
            <w:shd w:val="clear" w:color="auto" w:fill="auto"/>
            <w:noWrap/>
            <w:tcMar>
              <w:left w:w="28" w:type="dxa"/>
              <w:right w:w="28" w:type="dxa"/>
            </w:tcMar>
            <w:vAlign w:val="bottom"/>
            <w:hideMark/>
          </w:tcPr>
          <w:p w:rsidR="003C4CB4" w:rsidRPr="008C1502" w:rsidRDefault="003C4CB4" w:rsidP="003C4CB4">
            <w:pPr>
              <w:jc w:val="center"/>
              <w:rPr>
                <w:rFonts w:ascii="Arial Narrow" w:hAnsi="Arial Narrow"/>
                <w:sz w:val="16"/>
                <w:szCs w:val="16"/>
              </w:rPr>
            </w:pPr>
          </w:p>
        </w:tc>
        <w:tc>
          <w:tcPr>
            <w:tcW w:w="3457" w:type="dxa"/>
            <w:tcBorders>
              <w:top w:val="nil"/>
              <w:bottom w:val="nil"/>
            </w:tcBorders>
            <w:shd w:val="clear" w:color="auto" w:fill="auto"/>
            <w:tcMar>
              <w:left w:w="28" w:type="dxa"/>
              <w:right w:w="28" w:type="dxa"/>
            </w:tcMar>
            <w:vAlign w:val="bottom"/>
            <w:hideMark/>
          </w:tcPr>
          <w:p w:rsidR="003C4CB4" w:rsidRPr="008C1502" w:rsidRDefault="003C4CB4" w:rsidP="008C0AB5">
            <w:pPr>
              <w:tabs>
                <w:tab w:val="left" w:pos="962"/>
              </w:tabs>
              <w:rPr>
                <w:rFonts w:ascii="Arial Narrow" w:hAnsi="Arial Narrow"/>
                <w:i/>
                <w:iCs/>
                <w:sz w:val="16"/>
                <w:szCs w:val="16"/>
              </w:rPr>
            </w:pPr>
            <w:r w:rsidRPr="008C1502">
              <w:rPr>
                <w:rFonts w:ascii="Arial Narrow" w:hAnsi="Arial Narrow"/>
                <w:i/>
                <w:iCs/>
                <w:sz w:val="16"/>
                <w:szCs w:val="16"/>
              </w:rPr>
              <w:t>εκ των οποίων</w:t>
            </w:r>
            <w:r>
              <w:rPr>
                <w:rFonts w:ascii="Arial Narrow" w:hAnsi="Arial Narrow"/>
                <w:i/>
                <w:iCs/>
                <w:sz w:val="16"/>
                <w:szCs w:val="16"/>
              </w:rPr>
              <w:t>:</w:t>
            </w:r>
            <w:r>
              <w:rPr>
                <w:rFonts w:ascii="Arial Narrow" w:hAnsi="Arial Narrow"/>
                <w:i/>
                <w:iCs/>
                <w:sz w:val="16"/>
                <w:szCs w:val="16"/>
              </w:rPr>
              <w:tab/>
            </w:r>
            <w:r w:rsidRPr="008C1502">
              <w:rPr>
                <w:rFonts w:ascii="Arial Narrow" w:hAnsi="Arial Narrow"/>
                <w:i/>
                <w:iCs/>
                <w:sz w:val="16"/>
                <w:szCs w:val="16"/>
              </w:rPr>
              <w:t>ΠΔΕ</w:t>
            </w:r>
          </w:p>
        </w:tc>
        <w:tc>
          <w:tcPr>
            <w:tcW w:w="811"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i/>
                <w:iCs/>
                <w:sz w:val="16"/>
                <w:szCs w:val="16"/>
              </w:rPr>
            </w:pPr>
            <w:r>
              <w:rPr>
                <w:rFonts w:ascii="Arial Narrow" w:hAnsi="Arial Narrow"/>
                <w:i/>
                <w:iCs/>
                <w:sz w:val="16"/>
                <w:szCs w:val="16"/>
              </w:rPr>
              <w:t>2.400</w:t>
            </w:r>
          </w:p>
        </w:tc>
        <w:tc>
          <w:tcPr>
            <w:tcW w:w="753"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i/>
                <w:iCs/>
                <w:sz w:val="16"/>
                <w:szCs w:val="16"/>
              </w:rPr>
            </w:pPr>
            <w:r>
              <w:rPr>
                <w:rFonts w:ascii="Arial Narrow" w:hAnsi="Arial Narrow"/>
                <w:i/>
                <w:iCs/>
                <w:sz w:val="16"/>
                <w:szCs w:val="16"/>
              </w:rPr>
              <w:t>4.516</w:t>
            </w:r>
          </w:p>
        </w:tc>
        <w:tc>
          <w:tcPr>
            <w:tcW w:w="794"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i/>
                <w:iCs/>
                <w:sz w:val="16"/>
                <w:szCs w:val="16"/>
              </w:rPr>
            </w:pPr>
            <w:r>
              <w:rPr>
                <w:rFonts w:ascii="Arial Narrow" w:hAnsi="Arial Narrow"/>
                <w:i/>
                <w:iCs/>
                <w:sz w:val="16"/>
                <w:szCs w:val="16"/>
              </w:rPr>
              <w:t>4.022</w:t>
            </w:r>
          </w:p>
        </w:tc>
        <w:tc>
          <w:tcPr>
            <w:tcW w:w="691" w:type="dxa"/>
            <w:tcBorders>
              <w:top w:val="nil"/>
              <w:bottom w:val="nil"/>
            </w:tcBorders>
            <w:shd w:val="clear" w:color="auto" w:fill="auto"/>
            <w:tcMar>
              <w:left w:w="28" w:type="dxa"/>
              <w:right w:w="28" w:type="dxa"/>
            </w:tcMar>
            <w:vAlign w:val="bottom"/>
            <w:hideMark/>
          </w:tcPr>
          <w:p w:rsidR="003C4CB4" w:rsidRDefault="00A60977" w:rsidP="00A60977">
            <w:pPr>
              <w:ind w:right="113"/>
              <w:jc w:val="right"/>
              <w:rPr>
                <w:rFonts w:ascii="Arial Narrow" w:hAnsi="Arial Narrow"/>
                <w:sz w:val="16"/>
                <w:szCs w:val="16"/>
              </w:rPr>
            </w:pPr>
            <w:r>
              <w:rPr>
                <w:rFonts w:ascii="Arial Narrow" w:hAnsi="Arial Narrow"/>
                <w:sz w:val="16"/>
                <w:szCs w:val="16"/>
              </w:rPr>
              <w:t>88,2</w:t>
            </w:r>
          </w:p>
        </w:tc>
        <w:tc>
          <w:tcPr>
            <w:tcW w:w="691" w:type="dxa"/>
            <w:tcBorders>
              <w:top w:val="nil"/>
              <w:bottom w:val="nil"/>
              <w:right w:val="single" w:sz="4" w:space="0" w:color="auto"/>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-10</w:t>
            </w:r>
            <w:r w:rsidR="00A60977">
              <w:rPr>
                <w:rFonts w:ascii="Arial Narrow" w:hAnsi="Arial Narrow"/>
                <w:sz w:val="16"/>
                <w:szCs w:val="16"/>
              </w:rPr>
              <w:t>,9</w:t>
            </w:r>
          </w:p>
        </w:tc>
      </w:tr>
      <w:tr w:rsidR="003C4CB4" w:rsidRPr="008C1502" w:rsidTr="003C4CB4">
        <w:trPr>
          <w:trHeight w:val="227"/>
        </w:trPr>
        <w:tc>
          <w:tcPr>
            <w:tcW w:w="353" w:type="dxa"/>
            <w:tcBorders>
              <w:top w:val="nil"/>
              <w:left w:val="single" w:sz="4" w:space="0" w:color="auto"/>
              <w:bottom w:val="nil"/>
            </w:tcBorders>
            <w:shd w:val="clear" w:color="auto" w:fill="auto"/>
            <w:noWrap/>
            <w:tcMar>
              <w:left w:w="28" w:type="dxa"/>
              <w:right w:w="28" w:type="dxa"/>
            </w:tcMar>
            <w:vAlign w:val="bottom"/>
            <w:hideMark/>
          </w:tcPr>
          <w:p w:rsidR="003C4CB4" w:rsidRPr="008C1502" w:rsidRDefault="003C4CB4" w:rsidP="003C4CB4">
            <w:pPr>
              <w:jc w:val="center"/>
              <w:rPr>
                <w:rFonts w:ascii="Arial Narrow" w:hAnsi="Arial Narrow"/>
                <w:sz w:val="16"/>
                <w:szCs w:val="16"/>
              </w:rPr>
            </w:pPr>
          </w:p>
        </w:tc>
        <w:tc>
          <w:tcPr>
            <w:tcW w:w="1414" w:type="dxa"/>
            <w:tcBorders>
              <w:top w:val="nil"/>
              <w:bottom w:val="nil"/>
            </w:tcBorders>
            <w:shd w:val="clear" w:color="auto" w:fill="auto"/>
            <w:noWrap/>
            <w:tcMar>
              <w:left w:w="28" w:type="dxa"/>
              <w:right w:w="28" w:type="dxa"/>
            </w:tcMar>
            <w:vAlign w:val="bottom"/>
            <w:hideMark/>
          </w:tcPr>
          <w:p w:rsidR="003C4CB4" w:rsidRPr="008C1502" w:rsidRDefault="003C4CB4" w:rsidP="003C4CB4">
            <w:pPr>
              <w:jc w:val="center"/>
              <w:rPr>
                <w:rFonts w:ascii="Arial Narrow" w:hAnsi="Arial Narrow"/>
                <w:sz w:val="16"/>
                <w:szCs w:val="16"/>
              </w:rPr>
            </w:pPr>
          </w:p>
        </w:tc>
        <w:tc>
          <w:tcPr>
            <w:tcW w:w="3457" w:type="dxa"/>
            <w:tcBorders>
              <w:top w:val="nil"/>
              <w:bottom w:val="nil"/>
            </w:tcBorders>
            <w:shd w:val="clear" w:color="auto" w:fill="auto"/>
            <w:tcMar>
              <w:left w:w="28" w:type="dxa"/>
              <w:right w:w="28" w:type="dxa"/>
            </w:tcMar>
            <w:vAlign w:val="bottom"/>
            <w:hideMark/>
          </w:tcPr>
          <w:p w:rsidR="003C4CB4" w:rsidRPr="008C1502" w:rsidRDefault="003C4CB4" w:rsidP="008C0AB5">
            <w:pPr>
              <w:tabs>
                <w:tab w:val="left" w:pos="962"/>
              </w:tabs>
              <w:rPr>
                <w:rFonts w:ascii="Arial Narrow" w:hAnsi="Arial Narrow"/>
                <w:i/>
                <w:iCs/>
                <w:sz w:val="16"/>
                <w:szCs w:val="16"/>
              </w:rPr>
            </w:pPr>
            <w:r>
              <w:rPr>
                <w:rFonts w:ascii="Arial Narrow" w:hAnsi="Arial Narrow"/>
                <w:i/>
                <w:iCs/>
                <w:sz w:val="16"/>
                <w:szCs w:val="16"/>
              </w:rPr>
              <w:tab/>
              <w:t>Ταμείο Ανάπτυξης και Σταθερότητας</w:t>
            </w:r>
          </w:p>
        </w:tc>
        <w:tc>
          <w:tcPr>
            <w:tcW w:w="811"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i/>
                <w:iCs/>
                <w:sz w:val="16"/>
                <w:szCs w:val="16"/>
              </w:rPr>
            </w:pPr>
            <w:r>
              <w:rPr>
                <w:rFonts w:ascii="Arial Narrow" w:hAnsi="Arial Narrow"/>
                <w:i/>
                <w:iCs/>
                <w:sz w:val="16"/>
                <w:szCs w:val="16"/>
              </w:rPr>
              <w:t>0</w:t>
            </w:r>
          </w:p>
        </w:tc>
        <w:tc>
          <w:tcPr>
            <w:tcW w:w="753"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i/>
                <w:iCs/>
                <w:sz w:val="16"/>
                <w:szCs w:val="16"/>
              </w:rPr>
            </w:pPr>
            <w:r>
              <w:rPr>
                <w:rFonts w:ascii="Arial Narrow" w:hAnsi="Arial Narrow"/>
                <w:i/>
                <w:iCs/>
                <w:sz w:val="16"/>
                <w:szCs w:val="16"/>
              </w:rPr>
              <w:t>0</w:t>
            </w:r>
          </w:p>
        </w:tc>
        <w:tc>
          <w:tcPr>
            <w:tcW w:w="794"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i/>
                <w:iCs/>
                <w:sz w:val="16"/>
                <w:szCs w:val="16"/>
              </w:rPr>
            </w:pPr>
            <w:r>
              <w:rPr>
                <w:rFonts w:ascii="Arial Narrow" w:hAnsi="Arial Narrow"/>
                <w:i/>
                <w:iCs/>
                <w:sz w:val="16"/>
                <w:szCs w:val="16"/>
              </w:rPr>
              <w:t>2.635</w:t>
            </w:r>
          </w:p>
        </w:tc>
        <w:tc>
          <w:tcPr>
            <w:tcW w:w="691" w:type="dxa"/>
            <w:tcBorders>
              <w:top w:val="nil"/>
              <w:bottom w:val="nil"/>
            </w:tcBorders>
            <w:shd w:val="clear" w:color="auto" w:fill="auto"/>
            <w:tcMar>
              <w:left w:w="28" w:type="dxa"/>
              <w:right w:w="28" w:type="dxa"/>
            </w:tcMar>
            <w:vAlign w:val="bottom"/>
            <w:hideMark/>
          </w:tcPr>
          <w:p w:rsidR="00EE71B3" w:rsidRDefault="00EE71B3">
            <w:pPr>
              <w:ind w:right="113"/>
              <w:jc w:val="right"/>
              <w:rPr>
                <w:rFonts w:ascii="Arial Narrow" w:hAnsi="Arial Narrow"/>
                <w:sz w:val="16"/>
                <w:szCs w:val="16"/>
              </w:rPr>
            </w:pPr>
          </w:p>
        </w:tc>
        <w:tc>
          <w:tcPr>
            <w:tcW w:w="691" w:type="dxa"/>
            <w:tcBorders>
              <w:top w:val="nil"/>
              <w:bottom w:val="nil"/>
              <w:right w:val="single" w:sz="4" w:space="0" w:color="auto"/>
            </w:tcBorders>
            <w:shd w:val="clear" w:color="auto" w:fill="auto"/>
            <w:tcMar>
              <w:left w:w="28" w:type="dxa"/>
              <w:right w:w="28" w:type="dxa"/>
            </w:tcMar>
            <w:vAlign w:val="bottom"/>
            <w:hideMark/>
          </w:tcPr>
          <w:p w:rsidR="00EE71B3" w:rsidRDefault="00EE71B3">
            <w:pPr>
              <w:ind w:right="113"/>
              <w:jc w:val="right"/>
              <w:rPr>
                <w:rFonts w:ascii="Arial Narrow" w:hAnsi="Arial Narrow"/>
                <w:sz w:val="16"/>
                <w:szCs w:val="16"/>
              </w:rPr>
            </w:pPr>
          </w:p>
        </w:tc>
      </w:tr>
      <w:tr w:rsidR="003C4CB4" w:rsidRPr="008C1502" w:rsidTr="003C4CB4">
        <w:trPr>
          <w:trHeight w:val="227"/>
        </w:trPr>
        <w:tc>
          <w:tcPr>
            <w:tcW w:w="353" w:type="dxa"/>
            <w:tcBorders>
              <w:top w:val="nil"/>
              <w:left w:val="single" w:sz="4" w:space="0" w:color="auto"/>
              <w:bottom w:val="nil"/>
            </w:tcBorders>
            <w:shd w:val="clear" w:color="auto" w:fill="auto"/>
            <w:noWrap/>
            <w:tcMar>
              <w:left w:w="28" w:type="dxa"/>
              <w:right w:w="28" w:type="dxa"/>
            </w:tcMar>
            <w:vAlign w:val="bottom"/>
            <w:hideMark/>
          </w:tcPr>
          <w:p w:rsidR="003C4CB4" w:rsidRPr="008C1502" w:rsidRDefault="003C4CB4" w:rsidP="003C4CB4">
            <w:pPr>
              <w:jc w:val="center"/>
              <w:rPr>
                <w:rFonts w:ascii="Arial Narrow" w:hAnsi="Arial Narrow"/>
                <w:sz w:val="16"/>
                <w:szCs w:val="16"/>
              </w:rPr>
            </w:pPr>
            <w:r w:rsidRPr="008C1502">
              <w:rPr>
                <w:rFonts w:ascii="Arial Narrow" w:hAnsi="Arial Narrow"/>
                <w:sz w:val="16"/>
                <w:szCs w:val="16"/>
              </w:rPr>
              <w:t>4</w:t>
            </w:r>
          </w:p>
        </w:tc>
        <w:tc>
          <w:tcPr>
            <w:tcW w:w="1414" w:type="dxa"/>
            <w:tcBorders>
              <w:top w:val="nil"/>
              <w:bottom w:val="nil"/>
            </w:tcBorders>
            <w:shd w:val="clear" w:color="auto" w:fill="auto"/>
            <w:noWrap/>
            <w:tcMar>
              <w:left w:w="28" w:type="dxa"/>
              <w:right w:w="28" w:type="dxa"/>
            </w:tcMar>
            <w:vAlign w:val="bottom"/>
            <w:hideMark/>
          </w:tcPr>
          <w:p w:rsidR="003C4CB4" w:rsidRPr="008C1502" w:rsidRDefault="003C4CB4" w:rsidP="003C4CB4">
            <w:pPr>
              <w:jc w:val="center"/>
              <w:rPr>
                <w:rFonts w:ascii="Arial Narrow" w:hAnsi="Arial Narrow"/>
                <w:sz w:val="16"/>
                <w:szCs w:val="16"/>
              </w:rPr>
            </w:pPr>
            <w:r w:rsidRPr="008C1502">
              <w:rPr>
                <w:rFonts w:ascii="Arial Narrow" w:hAnsi="Arial Narrow"/>
                <w:sz w:val="16"/>
                <w:szCs w:val="16"/>
              </w:rPr>
              <w:t>14</w:t>
            </w:r>
          </w:p>
        </w:tc>
        <w:tc>
          <w:tcPr>
            <w:tcW w:w="3457" w:type="dxa"/>
            <w:tcBorders>
              <w:top w:val="nil"/>
              <w:bottom w:val="nil"/>
            </w:tcBorders>
            <w:shd w:val="clear" w:color="auto" w:fill="auto"/>
            <w:tcMar>
              <w:left w:w="28" w:type="dxa"/>
              <w:right w:w="28" w:type="dxa"/>
            </w:tcMar>
            <w:vAlign w:val="bottom"/>
            <w:hideMark/>
          </w:tcPr>
          <w:p w:rsidR="003C4CB4" w:rsidRPr="008C1502" w:rsidRDefault="003C4CB4" w:rsidP="003C4CB4">
            <w:pPr>
              <w:rPr>
                <w:rFonts w:ascii="Arial Narrow" w:hAnsi="Arial Narrow"/>
                <w:sz w:val="16"/>
                <w:szCs w:val="16"/>
              </w:rPr>
            </w:pPr>
            <w:r w:rsidRPr="008C1502">
              <w:rPr>
                <w:rFonts w:ascii="Arial Narrow" w:hAnsi="Arial Narrow"/>
                <w:sz w:val="16"/>
                <w:szCs w:val="16"/>
              </w:rPr>
              <w:t>Πωλήσεις αγαθών και υπηρεσιών</w:t>
            </w:r>
          </w:p>
        </w:tc>
        <w:tc>
          <w:tcPr>
            <w:tcW w:w="811"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1.768</w:t>
            </w:r>
          </w:p>
        </w:tc>
        <w:tc>
          <w:tcPr>
            <w:tcW w:w="753"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539</w:t>
            </w:r>
          </w:p>
        </w:tc>
        <w:tc>
          <w:tcPr>
            <w:tcW w:w="794"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595</w:t>
            </w:r>
          </w:p>
        </w:tc>
        <w:tc>
          <w:tcPr>
            <w:tcW w:w="691" w:type="dxa"/>
            <w:tcBorders>
              <w:top w:val="nil"/>
              <w:bottom w:val="nil"/>
            </w:tcBorders>
            <w:shd w:val="clear" w:color="auto" w:fill="auto"/>
            <w:tcMar>
              <w:left w:w="28" w:type="dxa"/>
              <w:right w:w="28" w:type="dxa"/>
            </w:tcMar>
            <w:vAlign w:val="bottom"/>
            <w:hideMark/>
          </w:tcPr>
          <w:p w:rsidR="003C4CB4" w:rsidRDefault="00A60977" w:rsidP="00A60977">
            <w:pPr>
              <w:ind w:right="113"/>
              <w:jc w:val="right"/>
              <w:rPr>
                <w:rFonts w:ascii="Arial Narrow" w:hAnsi="Arial Narrow"/>
                <w:sz w:val="16"/>
                <w:szCs w:val="16"/>
              </w:rPr>
            </w:pPr>
            <w:r>
              <w:rPr>
                <w:rFonts w:ascii="Arial Narrow" w:hAnsi="Arial Narrow"/>
                <w:sz w:val="16"/>
                <w:szCs w:val="16"/>
              </w:rPr>
              <w:t>-69,5</w:t>
            </w:r>
          </w:p>
        </w:tc>
        <w:tc>
          <w:tcPr>
            <w:tcW w:w="691" w:type="dxa"/>
            <w:tcBorders>
              <w:top w:val="nil"/>
              <w:bottom w:val="nil"/>
              <w:right w:val="single" w:sz="4" w:space="0" w:color="auto"/>
            </w:tcBorders>
            <w:shd w:val="clear" w:color="auto" w:fill="auto"/>
            <w:tcMar>
              <w:left w:w="28" w:type="dxa"/>
              <w:right w:w="28" w:type="dxa"/>
            </w:tcMar>
            <w:vAlign w:val="bottom"/>
            <w:hideMark/>
          </w:tcPr>
          <w:p w:rsidR="003C4CB4" w:rsidRDefault="00A60977" w:rsidP="00A60977">
            <w:pPr>
              <w:ind w:right="113"/>
              <w:jc w:val="right"/>
              <w:rPr>
                <w:rFonts w:ascii="Arial Narrow" w:hAnsi="Arial Narrow"/>
                <w:sz w:val="16"/>
                <w:szCs w:val="16"/>
              </w:rPr>
            </w:pPr>
            <w:r>
              <w:rPr>
                <w:rFonts w:ascii="Arial Narrow" w:hAnsi="Arial Narrow"/>
                <w:sz w:val="16"/>
                <w:szCs w:val="16"/>
              </w:rPr>
              <w:t>10,4</w:t>
            </w:r>
          </w:p>
        </w:tc>
      </w:tr>
      <w:tr w:rsidR="003C4CB4" w:rsidRPr="008C1502" w:rsidTr="003C4CB4">
        <w:trPr>
          <w:trHeight w:val="227"/>
        </w:trPr>
        <w:tc>
          <w:tcPr>
            <w:tcW w:w="353" w:type="dxa"/>
            <w:tcBorders>
              <w:top w:val="nil"/>
              <w:left w:val="single" w:sz="4" w:space="0" w:color="auto"/>
              <w:bottom w:val="nil"/>
            </w:tcBorders>
            <w:shd w:val="clear" w:color="auto" w:fill="auto"/>
            <w:noWrap/>
            <w:tcMar>
              <w:left w:w="28" w:type="dxa"/>
              <w:right w:w="28" w:type="dxa"/>
            </w:tcMar>
            <w:vAlign w:val="bottom"/>
            <w:hideMark/>
          </w:tcPr>
          <w:p w:rsidR="003C4CB4" w:rsidRPr="008C1502" w:rsidRDefault="003C4CB4" w:rsidP="003C4CB4">
            <w:pPr>
              <w:jc w:val="center"/>
              <w:rPr>
                <w:rFonts w:ascii="Arial Narrow" w:hAnsi="Arial Narrow"/>
                <w:sz w:val="16"/>
                <w:szCs w:val="16"/>
              </w:rPr>
            </w:pPr>
            <w:r w:rsidRPr="008C1502">
              <w:rPr>
                <w:rFonts w:ascii="Arial Narrow" w:hAnsi="Arial Narrow"/>
                <w:sz w:val="16"/>
                <w:szCs w:val="16"/>
              </w:rPr>
              <w:t>5</w:t>
            </w:r>
          </w:p>
        </w:tc>
        <w:tc>
          <w:tcPr>
            <w:tcW w:w="1414" w:type="dxa"/>
            <w:tcBorders>
              <w:top w:val="nil"/>
              <w:bottom w:val="nil"/>
            </w:tcBorders>
            <w:shd w:val="clear" w:color="auto" w:fill="auto"/>
            <w:noWrap/>
            <w:tcMar>
              <w:left w:w="28" w:type="dxa"/>
              <w:right w:w="28" w:type="dxa"/>
            </w:tcMar>
            <w:vAlign w:val="bottom"/>
            <w:hideMark/>
          </w:tcPr>
          <w:p w:rsidR="003C4CB4" w:rsidRPr="008C1502" w:rsidRDefault="003C4CB4" w:rsidP="003C4CB4">
            <w:pPr>
              <w:jc w:val="center"/>
              <w:rPr>
                <w:rFonts w:ascii="Arial Narrow" w:hAnsi="Arial Narrow"/>
                <w:sz w:val="16"/>
                <w:szCs w:val="16"/>
              </w:rPr>
            </w:pPr>
            <w:r w:rsidRPr="008C1502">
              <w:rPr>
                <w:rFonts w:ascii="Arial Narrow" w:hAnsi="Arial Narrow"/>
                <w:sz w:val="16"/>
                <w:szCs w:val="16"/>
              </w:rPr>
              <w:t>15</w:t>
            </w:r>
          </w:p>
        </w:tc>
        <w:tc>
          <w:tcPr>
            <w:tcW w:w="3457" w:type="dxa"/>
            <w:tcBorders>
              <w:top w:val="nil"/>
              <w:bottom w:val="nil"/>
            </w:tcBorders>
            <w:shd w:val="clear" w:color="auto" w:fill="auto"/>
            <w:tcMar>
              <w:left w:w="28" w:type="dxa"/>
              <w:right w:w="28" w:type="dxa"/>
            </w:tcMar>
            <w:vAlign w:val="bottom"/>
            <w:hideMark/>
          </w:tcPr>
          <w:p w:rsidR="003C4CB4" w:rsidRPr="008C1502" w:rsidRDefault="003C4CB4" w:rsidP="003C4CB4">
            <w:pPr>
              <w:rPr>
                <w:rFonts w:ascii="Arial Narrow" w:hAnsi="Arial Narrow"/>
                <w:sz w:val="16"/>
                <w:szCs w:val="16"/>
              </w:rPr>
            </w:pPr>
            <w:r w:rsidRPr="008C1502">
              <w:rPr>
                <w:rFonts w:ascii="Arial Narrow" w:hAnsi="Arial Narrow"/>
                <w:sz w:val="16"/>
                <w:szCs w:val="16"/>
              </w:rPr>
              <w:t>Λοιπά τρέχοντα έσοδα</w:t>
            </w:r>
          </w:p>
        </w:tc>
        <w:tc>
          <w:tcPr>
            <w:tcW w:w="811"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2.367</w:t>
            </w:r>
          </w:p>
        </w:tc>
        <w:tc>
          <w:tcPr>
            <w:tcW w:w="753"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2.470</w:t>
            </w:r>
          </w:p>
        </w:tc>
        <w:tc>
          <w:tcPr>
            <w:tcW w:w="794"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1.454</w:t>
            </w:r>
          </w:p>
        </w:tc>
        <w:tc>
          <w:tcPr>
            <w:tcW w:w="691" w:type="dxa"/>
            <w:tcBorders>
              <w:top w:val="nil"/>
              <w:bottom w:val="nil"/>
            </w:tcBorders>
            <w:shd w:val="clear" w:color="auto" w:fill="auto"/>
            <w:tcMar>
              <w:left w:w="28" w:type="dxa"/>
              <w:right w:w="28" w:type="dxa"/>
            </w:tcMar>
            <w:vAlign w:val="bottom"/>
            <w:hideMark/>
          </w:tcPr>
          <w:p w:rsidR="003C4CB4" w:rsidRDefault="00A60977" w:rsidP="00A60977">
            <w:pPr>
              <w:ind w:right="113"/>
              <w:jc w:val="right"/>
              <w:rPr>
                <w:rFonts w:ascii="Arial Narrow" w:hAnsi="Arial Narrow"/>
                <w:sz w:val="16"/>
                <w:szCs w:val="16"/>
              </w:rPr>
            </w:pPr>
            <w:r>
              <w:rPr>
                <w:rFonts w:ascii="Arial Narrow" w:hAnsi="Arial Narrow"/>
                <w:sz w:val="16"/>
                <w:szCs w:val="16"/>
              </w:rPr>
              <w:t>4,4</w:t>
            </w:r>
          </w:p>
        </w:tc>
        <w:tc>
          <w:tcPr>
            <w:tcW w:w="691" w:type="dxa"/>
            <w:tcBorders>
              <w:top w:val="nil"/>
              <w:bottom w:val="nil"/>
              <w:right w:val="single" w:sz="4" w:space="0" w:color="auto"/>
            </w:tcBorders>
            <w:shd w:val="clear" w:color="auto" w:fill="auto"/>
            <w:tcMar>
              <w:left w:w="28" w:type="dxa"/>
              <w:right w:w="28" w:type="dxa"/>
            </w:tcMar>
            <w:vAlign w:val="bottom"/>
            <w:hideMark/>
          </w:tcPr>
          <w:p w:rsidR="003C4CB4" w:rsidRDefault="00A60977" w:rsidP="00A60977">
            <w:pPr>
              <w:ind w:right="113"/>
              <w:jc w:val="right"/>
              <w:rPr>
                <w:rFonts w:ascii="Arial Narrow" w:hAnsi="Arial Narrow"/>
                <w:sz w:val="16"/>
                <w:szCs w:val="16"/>
              </w:rPr>
            </w:pPr>
            <w:r>
              <w:rPr>
                <w:rFonts w:ascii="Arial Narrow" w:hAnsi="Arial Narrow"/>
                <w:sz w:val="16"/>
                <w:szCs w:val="16"/>
              </w:rPr>
              <w:t>-41,1</w:t>
            </w:r>
          </w:p>
        </w:tc>
      </w:tr>
      <w:tr w:rsidR="003C4CB4" w:rsidRPr="008C1502" w:rsidTr="003C4CB4">
        <w:trPr>
          <w:trHeight w:val="227"/>
        </w:trPr>
        <w:tc>
          <w:tcPr>
            <w:tcW w:w="353" w:type="dxa"/>
            <w:tcBorders>
              <w:top w:val="nil"/>
              <w:left w:val="single" w:sz="4" w:space="0" w:color="auto"/>
              <w:bottom w:val="nil"/>
            </w:tcBorders>
            <w:shd w:val="clear" w:color="auto" w:fill="auto"/>
            <w:noWrap/>
            <w:tcMar>
              <w:left w:w="28" w:type="dxa"/>
              <w:right w:w="28" w:type="dxa"/>
            </w:tcMar>
            <w:vAlign w:val="bottom"/>
            <w:hideMark/>
          </w:tcPr>
          <w:p w:rsidR="003C4CB4" w:rsidRPr="008C1502" w:rsidRDefault="003C4CB4" w:rsidP="003C4CB4">
            <w:pPr>
              <w:jc w:val="center"/>
              <w:rPr>
                <w:rFonts w:ascii="Arial Narrow" w:hAnsi="Arial Narrow"/>
                <w:sz w:val="16"/>
                <w:szCs w:val="16"/>
              </w:rPr>
            </w:pPr>
          </w:p>
        </w:tc>
        <w:tc>
          <w:tcPr>
            <w:tcW w:w="1414" w:type="dxa"/>
            <w:tcBorders>
              <w:top w:val="nil"/>
              <w:bottom w:val="nil"/>
            </w:tcBorders>
            <w:shd w:val="clear" w:color="auto" w:fill="auto"/>
            <w:noWrap/>
            <w:tcMar>
              <w:left w:w="28" w:type="dxa"/>
              <w:right w:w="28" w:type="dxa"/>
            </w:tcMar>
            <w:vAlign w:val="bottom"/>
            <w:hideMark/>
          </w:tcPr>
          <w:p w:rsidR="003C4CB4" w:rsidRPr="008C1502" w:rsidRDefault="003C4CB4" w:rsidP="003C4CB4">
            <w:pPr>
              <w:jc w:val="center"/>
              <w:rPr>
                <w:rFonts w:ascii="Arial Narrow" w:hAnsi="Arial Narrow"/>
                <w:sz w:val="16"/>
                <w:szCs w:val="16"/>
              </w:rPr>
            </w:pPr>
          </w:p>
        </w:tc>
        <w:tc>
          <w:tcPr>
            <w:tcW w:w="3457" w:type="dxa"/>
            <w:tcBorders>
              <w:top w:val="nil"/>
              <w:bottom w:val="nil"/>
            </w:tcBorders>
            <w:shd w:val="clear" w:color="auto" w:fill="auto"/>
            <w:tcMar>
              <w:left w:w="28" w:type="dxa"/>
              <w:right w:w="28" w:type="dxa"/>
            </w:tcMar>
            <w:vAlign w:val="bottom"/>
            <w:hideMark/>
          </w:tcPr>
          <w:p w:rsidR="003C4CB4" w:rsidRPr="008C1502" w:rsidRDefault="003C4CB4" w:rsidP="003C4CB4">
            <w:pPr>
              <w:rPr>
                <w:rFonts w:ascii="Arial Narrow" w:hAnsi="Arial Narrow"/>
                <w:i/>
                <w:iCs/>
                <w:sz w:val="16"/>
                <w:szCs w:val="16"/>
              </w:rPr>
            </w:pPr>
            <w:r w:rsidRPr="008C1502">
              <w:rPr>
                <w:rFonts w:ascii="Arial Narrow" w:hAnsi="Arial Narrow"/>
                <w:i/>
                <w:iCs/>
                <w:sz w:val="16"/>
                <w:szCs w:val="16"/>
              </w:rPr>
              <w:t>εκ των οποίων ΠΔΕ</w:t>
            </w:r>
          </w:p>
        </w:tc>
        <w:tc>
          <w:tcPr>
            <w:tcW w:w="811"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i/>
                <w:iCs/>
                <w:sz w:val="16"/>
                <w:szCs w:val="16"/>
              </w:rPr>
            </w:pPr>
            <w:r>
              <w:rPr>
                <w:rFonts w:ascii="Arial Narrow" w:hAnsi="Arial Narrow"/>
                <w:i/>
                <w:iCs/>
                <w:sz w:val="16"/>
                <w:szCs w:val="16"/>
              </w:rPr>
              <w:t>458</w:t>
            </w:r>
          </w:p>
        </w:tc>
        <w:tc>
          <w:tcPr>
            <w:tcW w:w="753"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i/>
                <w:iCs/>
                <w:sz w:val="16"/>
                <w:szCs w:val="16"/>
              </w:rPr>
            </w:pPr>
            <w:r>
              <w:rPr>
                <w:rFonts w:ascii="Arial Narrow" w:hAnsi="Arial Narrow"/>
                <w:i/>
                <w:iCs/>
                <w:sz w:val="16"/>
                <w:szCs w:val="16"/>
              </w:rPr>
              <w:t>950</w:t>
            </w:r>
          </w:p>
        </w:tc>
        <w:tc>
          <w:tcPr>
            <w:tcW w:w="794"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i/>
                <w:iCs/>
                <w:sz w:val="16"/>
                <w:szCs w:val="16"/>
              </w:rPr>
            </w:pPr>
            <w:r>
              <w:rPr>
                <w:rFonts w:ascii="Arial Narrow" w:hAnsi="Arial Narrow"/>
                <w:i/>
                <w:iCs/>
                <w:sz w:val="16"/>
                <w:szCs w:val="16"/>
              </w:rPr>
              <w:t>170</w:t>
            </w:r>
          </w:p>
        </w:tc>
        <w:tc>
          <w:tcPr>
            <w:tcW w:w="691" w:type="dxa"/>
            <w:tcBorders>
              <w:top w:val="nil"/>
              <w:bottom w:val="nil"/>
            </w:tcBorders>
            <w:shd w:val="clear" w:color="auto" w:fill="auto"/>
            <w:tcMar>
              <w:left w:w="28" w:type="dxa"/>
              <w:right w:w="28" w:type="dxa"/>
            </w:tcMar>
            <w:vAlign w:val="bottom"/>
            <w:hideMark/>
          </w:tcPr>
          <w:p w:rsidR="003C4CB4" w:rsidRDefault="00A60977" w:rsidP="00A60977">
            <w:pPr>
              <w:ind w:right="113"/>
              <w:jc w:val="right"/>
              <w:rPr>
                <w:rFonts w:ascii="Arial Narrow" w:hAnsi="Arial Narrow"/>
                <w:sz w:val="16"/>
                <w:szCs w:val="16"/>
              </w:rPr>
            </w:pPr>
            <w:r>
              <w:rPr>
                <w:rFonts w:ascii="Arial Narrow" w:hAnsi="Arial Narrow"/>
                <w:sz w:val="16"/>
                <w:szCs w:val="16"/>
              </w:rPr>
              <w:t>107,5</w:t>
            </w:r>
          </w:p>
        </w:tc>
        <w:tc>
          <w:tcPr>
            <w:tcW w:w="691" w:type="dxa"/>
            <w:tcBorders>
              <w:top w:val="nil"/>
              <w:bottom w:val="nil"/>
              <w:right w:val="single" w:sz="4" w:space="0" w:color="auto"/>
            </w:tcBorders>
            <w:shd w:val="clear" w:color="auto" w:fill="auto"/>
            <w:tcMar>
              <w:left w:w="28" w:type="dxa"/>
              <w:right w:w="28" w:type="dxa"/>
            </w:tcMar>
            <w:vAlign w:val="bottom"/>
            <w:hideMark/>
          </w:tcPr>
          <w:p w:rsidR="003C4CB4" w:rsidRDefault="00A60977" w:rsidP="00A60977">
            <w:pPr>
              <w:ind w:right="113"/>
              <w:jc w:val="right"/>
              <w:rPr>
                <w:rFonts w:ascii="Arial Narrow" w:hAnsi="Arial Narrow"/>
                <w:sz w:val="16"/>
                <w:szCs w:val="16"/>
              </w:rPr>
            </w:pPr>
            <w:r>
              <w:rPr>
                <w:rFonts w:ascii="Arial Narrow" w:hAnsi="Arial Narrow"/>
                <w:sz w:val="16"/>
                <w:szCs w:val="16"/>
              </w:rPr>
              <w:t>-82,1</w:t>
            </w:r>
          </w:p>
        </w:tc>
      </w:tr>
      <w:tr w:rsidR="003C4CB4" w:rsidRPr="008C1502" w:rsidTr="003C4CB4">
        <w:trPr>
          <w:trHeight w:val="227"/>
        </w:trPr>
        <w:tc>
          <w:tcPr>
            <w:tcW w:w="353" w:type="dxa"/>
            <w:tcBorders>
              <w:top w:val="nil"/>
              <w:left w:val="single" w:sz="4" w:space="0" w:color="auto"/>
              <w:bottom w:val="nil"/>
            </w:tcBorders>
            <w:shd w:val="clear" w:color="auto" w:fill="auto"/>
            <w:noWrap/>
            <w:tcMar>
              <w:left w:w="28" w:type="dxa"/>
              <w:right w:w="28" w:type="dxa"/>
            </w:tcMar>
            <w:vAlign w:val="bottom"/>
            <w:hideMark/>
          </w:tcPr>
          <w:p w:rsidR="003C4CB4" w:rsidRPr="008C1502" w:rsidRDefault="003C4CB4" w:rsidP="003C4CB4">
            <w:pPr>
              <w:jc w:val="center"/>
              <w:rPr>
                <w:rFonts w:ascii="Arial Narrow" w:hAnsi="Arial Narrow"/>
                <w:sz w:val="16"/>
                <w:szCs w:val="16"/>
              </w:rPr>
            </w:pPr>
            <w:r w:rsidRPr="008C1502">
              <w:rPr>
                <w:rFonts w:ascii="Arial Narrow" w:hAnsi="Arial Narrow"/>
                <w:sz w:val="16"/>
                <w:szCs w:val="16"/>
              </w:rPr>
              <w:t>6</w:t>
            </w:r>
          </w:p>
        </w:tc>
        <w:tc>
          <w:tcPr>
            <w:tcW w:w="1414" w:type="dxa"/>
            <w:tcBorders>
              <w:top w:val="nil"/>
              <w:bottom w:val="nil"/>
            </w:tcBorders>
            <w:shd w:val="clear" w:color="auto" w:fill="auto"/>
            <w:noWrap/>
            <w:tcMar>
              <w:left w:w="28" w:type="dxa"/>
              <w:right w:w="28" w:type="dxa"/>
            </w:tcMar>
            <w:vAlign w:val="bottom"/>
            <w:hideMark/>
          </w:tcPr>
          <w:p w:rsidR="003C4CB4" w:rsidRPr="008C1502" w:rsidRDefault="003C4CB4" w:rsidP="003C4CB4">
            <w:pPr>
              <w:jc w:val="center"/>
              <w:rPr>
                <w:rFonts w:ascii="Arial Narrow" w:hAnsi="Arial Narrow"/>
                <w:sz w:val="16"/>
                <w:szCs w:val="16"/>
              </w:rPr>
            </w:pPr>
            <w:r w:rsidRPr="008C1502">
              <w:rPr>
                <w:rFonts w:ascii="Arial Narrow" w:hAnsi="Arial Narrow"/>
                <w:sz w:val="16"/>
                <w:szCs w:val="16"/>
              </w:rPr>
              <w:t>31</w:t>
            </w:r>
          </w:p>
        </w:tc>
        <w:tc>
          <w:tcPr>
            <w:tcW w:w="3457" w:type="dxa"/>
            <w:tcBorders>
              <w:top w:val="nil"/>
              <w:bottom w:val="nil"/>
            </w:tcBorders>
            <w:shd w:val="clear" w:color="auto" w:fill="auto"/>
            <w:tcMar>
              <w:left w:w="28" w:type="dxa"/>
              <w:right w:w="28" w:type="dxa"/>
            </w:tcMar>
            <w:vAlign w:val="bottom"/>
            <w:hideMark/>
          </w:tcPr>
          <w:p w:rsidR="003C4CB4" w:rsidRPr="008C1502" w:rsidRDefault="003C4CB4" w:rsidP="003C4CB4">
            <w:pPr>
              <w:rPr>
                <w:rFonts w:ascii="Arial Narrow" w:hAnsi="Arial Narrow"/>
                <w:sz w:val="16"/>
                <w:szCs w:val="16"/>
              </w:rPr>
            </w:pPr>
            <w:r w:rsidRPr="008C1502">
              <w:rPr>
                <w:rFonts w:ascii="Arial Narrow" w:hAnsi="Arial Narrow"/>
                <w:sz w:val="16"/>
                <w:szCs w:val="16"/>
              </w:rPr>
              <w:t>Πωλήσεις Παγίων Περιουσιακών Στοιχείων</w:t>
            </w:r>
          </w:p>
        </w:tc>
        <w:tc>
          <w:tcPr>
            <w:tcW w:w="811"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10</w:t>
            </w:r>
          </w:p>
        </w:tc>
        <w:tc>
          <w:tcPr>
            <w:tcW w:w="753"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25</w:t>
            </w:r>
          </w:p>
        </w:tc>
        <w:tc>
          <w:tcPr>
            <w:tcW w:w="794"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330</w:t>
            </w:r>
          </w:p>
        </w:tc>
        <w:tc>
          <w:tcPr>
            <w:tcW w:w="691" w:type="dxa"/>
            <w:tcBorders>
              <w:top w:val="nil"/>
              <w:bottom w:val="nil"/>
            </w:tcBorders>
            <w:shd w:val="clear" w:color="auto" w:fill="auto"/>
            <w:tcMar>
              <w:left w:w="28" w:type="dxa"/>
              <w:right w:w="28" w:type="dxa"/>
            </w:tcMar>
            <w:vAlign w:val="bottom"/>
            <w:hideMark/>
          </w:tcPr>
          <w:p w:rsidR="003C4CB4" w:rsidRDefault="00A60977" w:rsidP="00A60977">
            <w:pPr>
              <w:ind w:right="113"/>
              <w:jc w:val="right"/>
              <w:rPr>
                <w:rFonts w:ascii="Arial Narrow" w:hAnsi="Arial Narrow"/>
                <w:sz w:val="16"/>
                <w:szCs w:val="16"/>
              </w:rPr>
            </w:pPr>
            <w:r>
              <w:rPr>
                <w:rFonts w:ascii="Arial Narrow" w:hAnsi="Arial Narrow"/>
                <w:sz w:val="16"/>
                <w:szCs w:val="16"/>
              </w:rPr>
              <w:t>138,5</w:t>
            </w:r>
          </w:p>
        </w:tc>
        <w:tc>
          <w:tcPr>
            <w:tcW w:w="691" w:type="dxa"/>
            <w:tcBorders>
              <w:top w:val="nil"/>
              <w:bottom w:val="nil"/>
              <w:right w:val="single" w:sz="4" w:space="0" w:color="auto"/>
            </w:tcBorders>
            <w:shd w:val="clear" w:color="auto" w:fill="auto"/>
            <w:tcMar>
              <w:left w:w="28" w:type="dxa"/>
              <w:right w:w="28" w:type="dxa"/>
            </w:tcMar>
            <w:vAlign w:val="bottom"/>
            <w:hideMark/>
          </w:tcPr>
          <w:p w:rsidR="003C4CB4" w:rsidRDefault="00A60977" w:rsidP="00A60977">
            <w:pPr>
              <w:ind w:right="113"/>
              <w:jc w:val="right"/>
              <w:rPr>
                <w:rFonts w:ascii="Arial Narrow" w:hAnsi="Arial Narrow"/>
                <w:sz w:val="16"/>
                <w:szCs w:val="16"/>
              </w:rPr>
            </w:pPr>
            <w:r>
              <w:rPr>
                <w:rFonts w:ascii="Arial Narrow" w:hAnsi="Arial Narrow"/>
                <w:sz w:val="16"/>
                <w:szCs w:val="16"/>
              </w:rPr>
              <w:t>1.223,2</w:t>
            </w:r>
          </w:p>
        </w:tc>
      </w:tr>
      <w:tr w:rsidR="003C4CB4" w:rsidRPr="008C1502" w:rsidTr="003C4CB4">
        <w:trPr>
          <w:trHeight w:val="227"/>
        </w:trPr>
        <w:tc>
          <w:tcPr>
            <w:tcW w:w="353" w:type="dxa"/>
            <w:tcBorders>
              <w:left w:val="single" w:sz="4" w:space="0" w:color="auto"/>
            </w:tcBorders>
            <w:shd w:val="clear" w:color="000000" w:fill="BFBFBF"/>
            <w:tcMar>
              <w:left w:w="28" w:type="dxa"/>
              <w:right w:w="28" w:type="dxa"/>
            </w:tcMar>
            <w:vAlign w:val="center"/>
            <w:hideMark/>
          </w:tcPr>
          <w:p w:rsidR="003C4CB4" w:rsidRPr="008C1502" w:rsidRDefault="003C4CB4" w:rsidP="003C4CB4">
            <w:pPr>
              <w:spacing w:before="40" w:after="40"/>
              <w:jc w:val="center"/>
              <w:rPr>
                <w:rFonts w:ascii="Arial Narrow" w:hAnsi="Arial Narrow"/>
                <w:b/>
                <w:bCs/>
                <w:sz w:val="16"/>
                <w:szCs w:val="16"/>
              </w:rPr>
            </w:pPr>
            <w:r w:rsidRPr="008C1502">
              <w:rPr>
                <w:rFonts w:ascii="Arial Narrow" w:hAnsi="Arial Narrow"/>
                <w:b/>
                <w:bCs/>
                <w:sz w:val="16"/>
                <w:szCs w:val="16"/>
              </w:rPr>
              <w:t>Α</w:t>
            </w:r>
          </w:p>
        </w:tc>
        <w:tc>
          <w:tcPr>
            <w:tcW w:w="4871" w:type="dxa"/>
            <w:gridSpan w:val="2"/>
            <w:shd w:val="clear" w:color="000000" w:fill="BFBFBF"/>
            <w:tcMar>
              <w:left w:w="28" w:type="dxa"/>
              <w:right w:w="28" w:type="dxa"/>
            </w:tcMar>
            <w:vAlign w:val="center"/>
            <w:hideMark/>
          </w:tcPr>
          <w:p w:rsidR="003C4CB4" w:rsidRPr="008C1502" w:rsidRDefault="003C4CB4" w:rsidP="003C4CB4">
            <w:pPr>
              <w:spacing w:before="40" w:after="40"/>
              <w:rPr>
                <w:rFonts w:ascii="Arial Narrow" w:hAnsi="Arial Narrow"/>
                <w:b/>
                <w:bCs/>
                <w:sz w:val="16"/>
                <w:szCs w:val="16"/>
              </w:rPr>
            </w:pPr>
            <w:r>
              <w:rPr>
                <w:rFonts w:ascii="Arial Narrow" w:hAnsi="Arial Narrow"/>
                <w:b/>
                <w:bCs/>
                <w:sz w:val="16"/>
                <w:szCs w:val="16"/>
              </w:rPr>
              <w:t>Έσοδα μη χ</w:t>
            </w:r>
            <w:r w:rsidRPr="008C1502">
              <w:rPr>
                <w:rFonts w:ascii="Arial Narrow" w:hAnsi="Arial Narrow"/>
                <w:b/>
                <w:bCs/>
                <w:sz w:val="16"/>
                <w:szCs w:val="16"/>
              </w:rPr>
              <w:t>ρηματοοικονομικών συναλλαγών</w:t>
            </w:r>
            <w:r w:rsidRPr="00505DE6">
              <w:rPr>
                <w:rFonts w:ascii="Arial Narrow" w:hAnsi="Arial Narrow"/>
                <w:b/>
                <w:bCs/>
                <w:sz w:val="16"/>
                <w:szCs w:val="16"/>
                <w:vertAlign w:val="superscript"/>
              </w:rPr>
              <w:t xml:space="preserve">  </w:t>
            </w:r>
            <w:r>
              <w:rPr>
                <w:rFonts w:ascii="Arial Narrow" w:hAnsi="Arial Narrow"/>
                <w:b/>
                <w:bCs/>
                <w:sz w:val="16"/>
                <w:szCs w:val="16"/>
              </w:rPr>
              <w:t>(1+2+3+4+5+6</w:t>
            </w:r>
            <w:r w:rsidRPr="008C1502">
              <w:rPr>
                <w:rFonts w:ascii="Arial Narrow" w:hAnsi="Arial Narrow"/>
                <w:b/>
                <w:bCs/>
                <w:sz w:val="16"/>
                <w:szCs w:val="16"/>
              </w:rPr>
              <w:t>)</w:t>
            </w:r>
          </w:p>
        </w:tc>
        <w:tc>
          <w:tcPr>
            <w:tcW w:w="811" w:type="dxa"/>
            <w:shd w:val="clear" w:color="000000" w:fill="BFBFBF"/>
            <w:tcMar>
              <w:left w:w="28" w:type="dxa"/>
              <w:right w:w="28" w:type="dxa"/>
            </w:tcMar>
            <w:vAlign w:val="center"/>
            <w:hideMark/>
          </w:tcPr>
          <w:p w:rsidR="003C4CB4" w:rsidRDefault="003C4CB4" w:rsidP="00A60977">
            <w:pPr>
              <w:ind w:right="113"/>
              <w:jc w:val="right"/>
              <w:rPr>
                <w:rFonts w:ascii="Arial Narrow" w:hAnsi="Arial Narrow"/>
                <w:b/>
                <w:bCs/>
                <w:sz w:val="16"/>
                <w:szCs w:val="16"/>
              </w:rPr>
            </w:pPr>
            <w:r>
              <w:rPr>
                <w:rFonts w:ascii="Arial Narrow" w:hAnsi="Arial Narrow"/>
                <w:b/>
                <w:bCs/>
                <w:sz w:val="16"/>
                <w:szCs w:val="16"/>
              </w:rPr>
              <w:t>55.146</w:t>
            </w:r>
          </w:p>
        </w:tc>
        <w:tc>
          <w:tcPr>
            <w:tcW w:w="753" w:type="dxa"/>
            <w:shd w:val="clear" w:color="000000" w:fill="BFBFBF"/>
            <w:tcMar>
              <w:left w:w="28" w:type="dxa"/>
              <w:right w:w="28" w:type="dxa"/>
            </w:tcMar>
            <w:vAlign w:val="center"/>
            <w:hideMark/>
          </w:tcPr>
          <w:p w:rsidR="003C4CB4" w:rsidRDefault="003C4CB4" w:rsidP="00A60977">
            <w:pPr>
              <w:ind w:right="113"/>
              <w:jc w:val="right"/>
              <w:rPr>
                <w:rFonts w:ascii="Arial Narrow" w:hAnsi="Arial Narrow"/>
                <w:b/>
                <w:bCs/>
                <w:sz w:val="16"/>
                <w:szCs w:val="16"/>
              </w:rPr>
            </w:pPr>
            <w:r>
              <w:rPr>
                <w:rFonts w:ascii="Arial Narrow" w:hAnsi="Arial Narrow"/>
                <w:b/>
                <w:bCs/>
                <w:sz w:val="16"/>
                <w:szCs w:val="16"/>
              </w:rPr>
              <w:t>46.454</w:t>
            </w:r>
          </w:p>
        </w:tc>
        <w:tc>
          <w:tcPr>
            <w:tcW w:w="794" w:type="dxa"/>
            <w:shd w:val="clear" w:color="000000" w:fill="BFBFBF"/>
            <w:tcMar>
              <w:left w:w="28" w:type="dxa"/>
              <w:right w:w="28" w:type="dxa"/>
            </w:tcMar>
            <w:vAlign w:val="center"/>
            <w:hideMark/>
          </w:tcPr>
          <w:p w:rsidR="003C4CB4" w:rsidRDefault="003C4CB4" w:rsidP="00A60977">
            <w:pPr>
              <w:ind w:right="113"/>
              <w:jc w:val="right"/>
              <w:rPr>
                <w:rFonts w:ascii="Arial Narrow" w:hAnsi="Arial Narrow"/>
                <w:b/>
                <w:bCs/>
                <w:sz w:val="16"/>
                <w:szCs w:val="16"/>
              </w:rPr>
            </w:pPr>
            <w:r>
              <w:rPr>
                <w:rFonts w:ascii="Arial Narrow" w:hAnsi="Arial Narrow"/>
                <w:b/>
                <w:bCs/>
                <w:sz w:val="16"/>
                <w:szCs w:val="16"/>
              </w:rPr>
              <w:t>52.970</w:t>
            </w:r>
          </w:p>
        </w:tc>
        <w:tc>
          <w:tcPr>
            <w:tcW w:w="691" w:type="dxa"/>
            <w:shd w:val="clear" w:color="000000" w:fill="BFBFBF"/>
            <w:tcMar>
              <w:left w:w="28" w:type="dxa"/>
              <w:right w:w="28" w:type="dxa"/>
            </w:tcMar>
            <w:vAlign w:val="center"/>
            <w:hideMark/>
          </w:tcPr>
          <w:p w:rsidR="003C4CB4" w:rsidRDefault="00A60977" w:rsidP="00A60977">
            <w:pPr>
              <w:ind w:right="113"/>
              <w:jc w:val="right"/>
              <w:rPr>
                <w:rFonts w:ascii="Arial Narrow" w:hAnsi="Arial Narrow"/>
                <w:b/>
                <w:bCs/>
                <w:sz w:val="16"/>
                <w:szCs w:val="16"/>
              </w:rPr>
            </w:pPr>
            <w:r>
              <w:rPr>
                <w:rFonts w:ascii="Arial Narrow" w:hAnsi="Arial Narrow"/>
                <w:b/>
                <w:bCs/>
                <w:sz w:val="16"/>
                <w:szCs w:val="16"/>
              </w:rPr>
              <w:t>-15,8</w:t>
            </w:r>
          </w:p>
        </w:tc>
        <w:tc>
          <w:tcPr>
            <w:tcW w:w="691" w:type="dxa"/>
            <w:tcBorders>
              <w:right w:val="single" w:sz="4" w:space="0" w:color="auto"/>
            </w:tcBorders>
            <w:shd w:val="clear" w:color="000000" w:fill="BFBFBF"/>
            <w:tcMar>
              <w:left w:w="28" w:type="dxa"/>
              <w:right w:w="28" w:type="dxa"/>
            </w:tcMar>
            <w:vAlign w:val="center"/>
            <w:hideMark/>
          </w:tcPr>
          <w:p w:rsidR="003C4CB4" w:rsidRDefault="00A60977" w:rsidP="00A60977">
            <w:pPr>
              <w:ind w:right="113"/>
              <w:jc w:val="right"/>
              <w:rPr>
                <w:rFonts w:ascii="Arial Narrow" w:hAnsi="Arial Narrow"/>
                <w:b/>
                <w:bCs/>
                <w:sz w:val="16"/>
                <w:szCs w:val="16"/>
              </w:rPr>
            </w:pPr>
            <w:r>
              <w:rPr>
                <w:rFonts w:ascii="Arial Narrow" w:hAnsi="Arial Narrow"/>
                <w:b/>
                <w:bCs/>
                <w:sz w:val="16"/>
                <w:szCs w:val="16"/>
              </w:rPr>
              <w:t>14,0</w:t>
            </w:r>
          </w:p>
        </w:tc>
      </w:tr>
      <w:tr w:rsidR="003C4CB4" w:rsidRPr="008C1502" w:rsidTr="003C4CB4">
        <w:trPr>
          <w:trHeight w:val="227"/>
        </w:trPr>
        <w:tc>
          <w:tcPr>
            <w:tcW w:w="353" w:type="dxa"/>
            <w:tcBorders>
              <w:top w:val="nil"/>
              <w:left w:val="single" w:sz="4" w:space="0" w:color="auto"/>
              <w:bottom w:val="nil"/>
            </w:tcBorders>
            <w:shd w:val="clear" w:color="auto" w:fill="auto"/>
            <w:noWrap/>
            <w:tcMar>
              <w:left w:w="28" w:type="dxa"/>
              <w:right w:w="28" w:type="dxa"/>
            </w:tcMar>
            <w:vAlign w:val="bottom"/>
            <w:hideMark/>
          </w:tcPr>
          <w:p w:rsidR="003C4CB4" w:rsidRPr="008C1502" w:rsidRDefault="003C4CB4" w:rsidP="003C4CB4">
            <w:pPr>
              <w:jc w:val="center"/>
              <w:rPr>
                <w:rFonts w:ascii="Arial Narrow" w:hAnsi="Arial Narrow"/>
                <w:sz w:val="16"/>
                <w:szCs w:val="16"/>
              </w:rPr>
            </w:pPr>
            <w:r>
              <w:rPr>
                <w:rFonts w:ascii="Arial Narrow" w:hAnsi="Arial Narrow"/>
                <w:sz w:val="16"/>
                <w:szCs w:val="16"/>
              </w:rPr>
              <w:t>7</w:t>
            </w:r>
          </w:p>
        </w:tc>
        <w:tc>
          <w:tcPr>
            <w:tcW w:w="1414" w:type="dxa"/>
            <w:tcBorders>
              <w:top w:val="nil"/>
              <w:bottom w:val="nil"/>
            </w:tcBorders>
            <w:shd w:val="clear" w:color="auto" w:fill="auto"/>
            <w:noWrap/>
            <w:tcMar>
              <w:left w:w="28" w:type="dxa"/>
              <w:right w:w="28" w:type="dxa"/>
            </w:tcMar>
            <w:vAlign w:val="bottom"/>
            <w:hideMark/>
          </w:tcPr>
          <w:p w:rsidR="003C4CB4" w:rsidRPr="008C1502" w:rsidRDefault="003C4CB4" w:rsidP="003C4CB4">
            <w:pPr>
              <w:jc w:val="center"/>
              <w:rPr>
                <w:rFonts w:ascii="Arial Narrow" w:hAnsi="Arial Narrow"/>
                <w:sz w:val="16"/>
                <w:szCs w:val="16"/>
              </w:rPr>
            </w:pPr>
            <w:r w:rsidRPr="008C1502">
              <w:rPr>
                <w:rFonts w:ascii="Arial Narrow" w:hAnsi="Arial Narrow"/>
                <w:sz w:val="16"/>
                <w:szCs w:val="16"/>
              </w:rPr>
              <w:t>43</w:t>
            </w:r>
          </w:p>
        </w:tc>
        <w:tc>
          <w:tcPr>
            <w:tcW w:w="3457" w:type="dxa"/>
            <w:tcBorders>
              <w:top w:val="nil"/>
              <w:bottom w:val="nil"/>
            </w:tcBorders>
            <w:shd w:val="clear" w:color="auto" w:fill="auto"/>
            <w:tcMar>
              <w:left w:w="28" w:type="dxa"/>
              <w:right w:w="28" w:type="dxa"/>
            </w:tcMar>
            <w:vAlign w:val="center"/>
            <w:hideMark/>
          </w:tcPr>
          <w:p w:rsidR="003C4CB4" w:rsidRPr="008C1502" w:rsidRDefault="003C4CB4" w:rsidP="003C4CB4">
            <w:pPr>
              <w:rPr>
                <w:rFonts w:ascii="Arial Narrow" w:hAnsi="Arial Narrow"/>
                <w:sz w:val="16"/>
                <w:szCs w:val="16"/>
              </w:rPr>
            </w:pPr>
            <w:r w:rsidRPr="008C1502">
              <w:rPr>
                <w:rFonts w:ascii="Arial Narrow" w:hAnsi="Arial Narrow"/>
                <w:sz w:val="16"/>
                <w:szCs w:val="16"/>
              </w:rPr>
              <w:t xml:space="preserve">Χρεωστικοί τίτλοι </w:t>
            </w:r>
          </w:p>
        </w:tc>
        <w:tc>
          <w:tcPr>
            <w:tcW w:w="811"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286</w:t>
            </w:r>
          </w:p>
        </w:tc>
        <w:tc>
          <w:tcPr>
            <w:tcW w:w="753"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551</w:t>
            </w:r>
          </w:p>
        </w:tc>
        <w:tc>
          <w:tcPr>
            <w:tcW w:w="794"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31</w:t>
            </w:r>
          </w:p>
        </w:tc>
        <w:tc>
          <w:tcPr>
            <w:tcW w:w="691" w:type="dxa"/>
            <w:tcBorders>
              <w:top w:val="nil"/>
              <w:bottom w:val="nil"/>
            </w:tcBorders>
            <w:shd w:val="clear" w:color="auto" w:fill="auto"/>
            <w:tcMar>
              <w:left w:w="28" w:type="dxa"/>
              <w:right w:w="28" w:type="dxa"/>
            </w:tcMar>
            <w:vAlign w:val="bottom"/>
            <w:hideMark/>
          </w:tcPr>
          <w:p w:rsidR="003C4CB4" w:rsidRDefault="00A60977" w:rsidP="00A60977">
            <w:pPr>
              <w:ind w:right="113"/>
              <w:jc w:val="right"/>
              <w:rPr>
                <w:rFonts w:ascii="Arial Narrow" w:hAnsi="Arial Narrow"/>
                <w:sz w:val="16"/>
                <w:szCs w:val="16"/>
              </w:rPr>
            </w:pPr>
            <w:r>
              <w:rPr>
                <w:rFonts w:ascii="Arial Narrow" w:hAnsi="Arial Narrow"/>
                <w:sz w:val="16"/>
                <w:szCs w:val="16"/>
              </w:rPr>
              <w:t>92,8</w:t>
            </w:r>
          </w:p>
        </w:tc>
        <w:tc>
          <w:tcPr>
            <w:tcW w:w="691" w:type="dxa"/>
            <w:tcBorders>
              <w:top w:val="nil"/>
              <w:bottom w:val="nil"/>
              <w:right w:val="single" w:sz="4" w:space="0" w:color="auto"/>
            </w:tcBorders>
            <w:shd w:val="clear" w:color="auto" w:fill="auto"/>
            <w:tcMar>
              <w:left w:w="28" w:type="dxa"/>
              <w:right w:w="28" w:type="dxa"/>
            </w:tcMar>
            <w:vAlign w:val="bottom"/>
            <w:hideMark/>
          </w:tcPr>
          <w:p w:rsidR="003C4CB4" w:rsidRDefault="00A60977" w:rsidP="00A60977">
            <w:pPr>
              <w:ind w:right="113"/>
              <w:jc w:val="right"/>
              <w:rPr>
                <w:rFonts w:ascii="Arial Narrow" w:hAnsi="Arial Narrow"/>
                <w:sz w:val="16"/>
                <w:szCs w:val="16"/>
              </w:rPr>
            </w:pPr>
            <w:r>
              <w:rPr>
                <w:rFonts w:ascii="Arial Narrow" w:hAnsi="Arial Narrow"/>
                <w:sz w:val="16"/>
                <w:szCs w:val="16"/>
              </w:rPr>
              <w:t>-94,5</w:t>
            </w:r>
          </w:p>
        </w:tc>
      </w:tr>
      <w:tr w:rsidR="003C4CB4" w:rsidRPr="008C1502" w:rsidTr="003C4CB4">
        <w:trPr>
          <w:trHeight w:val="227"/>
        </w:trPr>
        <w:tc>
          <w:tcPr>
            <w:tcW w:w="353" w:type="dxa"/>
            <w:tcBorders>
              <w:top w:val="nil"/>
              <w:left w:val="single" w:sz="4" w:space="0" w:color="auto"/>
              <w:bottom w:val="nil"/>
            </w:tcBorders>
            <w:shd w:val="clear" w:color="auto" w:fill="auto"/>
            <w:noWrap/>
            <w:tcMar>
              <w:left w:w="28" w:type="dxa"/>
              <w:right w:w="28" w:type="dxa"/>
            </w:tcMar>
            <w:vAlign w:val="bottom"/>
            <w:hideMark/>
          </w:tcPr>
          <w:p w:rsidR="003C4CB4" w:rsidRPr="008C1502" w:rsidRDefault="003C4CB4" w:rsidP="003C4CB4">
            <w:pPr>
              <w:jc w:val="center"/>
              <w:rPr>
                <w:rFonts w:ascii="Arial Narrow" w:hAnsi="Arial Narrow"/>
                <w:sz w:val="16"/>
                <w:szCs w:val="16"/>
              </w:rPr>
            </w:pPr>
            <w:r>
              <w:rPr>
                <w:rFonts w:ascii="Arial Narrow" w:hAnsi="Arial Narrow"/>
                <w:sz w:val="16"/>
                <w:szCs w:val="16"/>
              </w:rPr>
              <w:t>8</w:t>
            </w:r>
          </w:p>
        </w:tc>
        <w:tc>
          <w:tcPr>
            <w:tcW w:w="1414" w:type="dxa"/>
            <w:tcBorders>
              <w:top w:val="nil"/>
              <w:bottom w:val="nil"/>
            </w:tcBorders>
            <w:shd w:val="clear" w:color="auto" w:fill="auto"/>
            <w:noWrap/>
            <w:tcMar>
              <w:left w:w="28" w:type="dxa"/>
              <w:right w:w="28" w:type="dxa"/>
            </w:tcMar>
            <w:vAlign w:val="bottom"/>
            <w:hideMark/>
          </w:tcPr>
          <w:p w:rsidR="003C4CB4" w:rsidRPr="008C1502" w:rsidRDefault="003C4CB4" w:rsidP="003C4CB4">
            <w:pPr>
              <w:jc w:val="center"/>
              <w:rPr>
                <w:rFonts w:ascii="Arial Narrow" w:hAnsi="Arial Narrow"/>
                <w:sz w:val="16"/>
                <w:szCs w:val="16"/>
              </w:rPr>
            </w:pPr>
            <w:r w:rsidRPr="008C1502">
              <w:rPr>
                <w:rFonts w:ascii="Arial Narrow" w:hAnsi="Arial Narrow"/>
                <w:sz w:val="16"/>
                <w:szCs w:val="16"/>
              </w:rPr>
              <w:t>45</w:t>
            </w:r>
          </w:p>
        </w:tc>
        <w:tc>
          <w:tcPr>
            <w:tcW w:w="3457" w:type="dxa"/>
            <w:tcBorders>
              <w:top w:val="nil"/>
              <w:bottom w:val="nil"/>
            </w:tcBorders>
            <w:shd w:val="clear" w:color="auto" w:fill="auto"/>
            <w:tcMar>
              <w:left w:w="28" w:type="dxa"/>
              <w:right w:w="28" w:type="dxa"/>
            </w:tcMar>
            <w:vAlign w:val="center"/>
            <w:hideMark/>
          </w:tcPr>
          <w:p w:rsidR="003C4CB4" w:rsidRPr="008C1502" w:rsidRDefault="003C4CB4" w:rsidP="003C4CB4">
            <w:pPr>
              <w:rPr>
                <w:rFonts w:ascii="Arial Narrow" w:hAnsi="Arial Narrow"/>
                <w:sz w:val="16"/>
                <w:szCs w:val="16"/>
              </w:rPr>
            </w:pPr>
            <w:r w:rsidRPr="008C1502">
              <w:rPr>
                <w:rFonts w:ascii="Arial Narrow" w:hAnsi="Arial Narrow"/>
                <w:sz w:val="16"/>
                <w:szCs w:val="16"/>
              </w:rPr>
              <w:t xml:space="preserve">Συμμετοχικοί τίτλοι και μερίδια επενδυτικών κεφαλαίων </w:t>
            </w:r>
          </w:p>
        </w:tc>
        <w:tc>
          <w:tcPr>
            <w:tcW w:w="811"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40</w:t>
            </w:r>
          </w:p>
        </w:tc>
        <w:tc>
          <w:tcPr>
            <w:tcW w:w="753"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29</w:t>
            </w:r>
          </w:p>
        </w:tc>
        <w:tc>
          <w:tcPr>
            <w:tcW w:w="794"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1.453</w:t>
            </w:r>
          </w:p>
        </w:tc>
        <w:tc>
          <w:tcPr>
            <w:tcW w:w="691"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w:t>
            </w:r>
            <w:r w:rsidR="00A60977">
              <w:rPr>
                <w:rFonts w:ascii="Arial Narrow" w:hAnsi="Arial Narrow"/>
                <w:sz w:val="16"/>
                <w:szCs w:val="16"/>
              </w:rPr>
              <w:t>26,4</w:t>
            </w:r>
          </w:p>
        </w:tc>
        <w:tc>
          <w:tcPr>
            <w:tcW w:w="691" w:type="dxa"/>
            <w:tcBorders>
              <w:top w:val="nil"/>
              <w:bottom w:val="nil"/>
              <w:right w:val="single" w:sz="4" w:space="0" w:color="auto"/>
            </w:tcBorders>
            <w:shd w:val="clear" w:color="auto" w:fill="auto"/>
            <w:tcMar>
              <w:left w:w="28" w:type="dxa"/>
              <w:right w:w="28" w:type="dxa"/>
            </w:tcMar>
            <w:vAlign w:val="bottom"/>
            <w:hideMark/>
          </w:tcPr>
          <w:p w:rsidR="003C4CB4" w:rsidRDefault="00A60977" w:rsidP="00A60977">
            <w:pPr>
              <w:ind w:right="113"/>
              <w:jc w:val="right"/>
              <w:rPr>
                <w:rFonts w:ascii="Arial Narrow" w:hAnsi="Arial Narrow"/>
                <w:sz w:val="16"/>
                <w:szCs w:val="16"/>
              </w:rPr>
            </w:pPr>
            <w:r>
              <w:rPr>
                <w:rFonts w:ascii="Arial Narrow" w:hAnsi="Arial Narrow"/>
                <w:sz w:val="16"/>
                <w:szCs w:val="16"/>
              </w:rPr>
              <w:t>4.849,9</w:t>
            </w:r>
          </w:p>
        </w:tc>
      </w:tr>
      <w:tr w:rsidR="003C4CB4" w:rsidRPr="008C1502" w:rsidTr="003C4CB4">
        <w:trPr>
          <w:trHeight w:val="227"/>
        </w:trPr>
        <w:tc>
          <w:tcPr>
            <w:tcW w:w="353" w:type="dxa"/>
            <w:tcBorders>
              <w:top w:val="nil"/>
              <w:left w:val="single" w:sz="4" w:space="0" w:color="auto"/>
              <w:bottom w:val="nil"/>
            </w:tcBorders>
            <w:shd w:val="clear" w:color="auto" w:fill="auto"/>
            <w:noWrap/>
            <w:tcMar>
              <w:left w:w="28" w:type="dxa"/>
              <w:right w:w="28" w:type="dxa"/>
            </w:tcMar>
            <w:vAlign w:val="bottom"/>
            <w:hideMark/>
          </w:tcPr>
          <w:p w:rsidR="003C4CB4" w:rsidRPr="008C1502" w:rsidRDefault="003C4CB4" w:rsidP="003C4CB4">
            <w:pPr>
              <w:jc w:val="center"/>
              <w:rPr>
                <w:rFonts w:ascii="Arial Narrow" w:hAnsi="Arial Narrow"/>
                <w:sz w:val="16"/>
                <w:szCs w:val="16"/>
              </w:rPr>
            </w:pPr>
            <w:r>
              <w:rPr>
                <w:rFonts w:ascii="Arial Narrow" w:hAnsi="Arial Narrow"/>
                <w:sz w:val="16"/>
                <w:szCs w:val="16"/>
              </w:rPr>
              <w:t>9</w:t>
            </w:r>
          </w:p>
        </w:tc>
        <w:tc>
          <w:tcPr>
            <w:tcW w:w="1414" w:type="dxa"/>
            <w:tcBorders>
              <w:top w:val="nil"/>
              <w:bottom w:val="nil"/>
            </w:tcBorders>
            <w:shd w:val="clear" w:color="auto" w:fill="auto"/>
            <w:noWrap/>
            <w:tcMar>
              <w:left w:w="28" w:type="dxa"/>
              <w:right w:w="28" w:type="dxa"/>
            </w:tcMar>
            <w:vAlign w:val="bottom"/>
            <w:hideMark/>
          </w:tcPr>
          <w:p w:rsidR="003C4CB4" w:rsidRPr="008C1502" w:rsidRDefault="003C4CB4" w:rsidP="003C4CB4">
            <w:pPr>
              <w:jc w:val="center"/>
              <w:rPr>
                <w:rFonts w:ascii="Arial Narrow" w:hAnsi="Arial Narrow"/>
                <w:sz w:val="16"/>
                <w:szCs w:val="16"/>
              </w:rPr>
            </w:pPr>
            <w:r w:rsidRPr="008C1502">
              <w:rPr>
                <w:rFonts w:ascii="Arial Narrow" w:hAnsi="Arial Narrow"/>
                <w:sz w:val="16"/>
                <w:szCs w:val="16"/>
              </w:rPr>
              <w:t>49</w:t>
            </w:r>
          </w:p>
        </w:tc>
        <w:tc>
          <w:tcPr>
            <w:tcW w:w="3457" w:type="dxa"/>
            <w:tcBorders>
              <w:top w:val="nil"/>
              <w:bottom w:val="nil"/>
            </w:tcBorders>
            <w:shd w:val="clear" w:color="auto" w:fill="auto"/>
            <w:tcMar>
              <w:left w:w="28" w:type="dxa"/>
              <w:right w:w="28" w:type="dxa"/>
            </w:tcMar>
            <w:vAlign w:val="center"/>
            <w:hideMark/>
          </w:tcPr>
          <w:p w:rsidR="003C4CB4" w:rsidRPr="008C1502" w:rsidRDefault="003C4CB4" w:rsidP="003C4CB4">
            <w:pPr>
              <w:rPr>
                <w:rFonts w:ascii="Arial Narrow" w:hAnsi="Arial Narrow"/>
                <w:sz w:val="16"/>
                <w:szCs w:val="16"/>
              </w:rPr>
            </w:pPr>
            <w:r w:rsidRPr="008C1502">
              <w:rPr>
                <w:rFonts w:ascii="Arial Narrow" w:hAnsi="Arial Narrow"/>
                <w:sz w:val="16"/>
                <w:szCs w:val="16"/>
              </w:rPr>
              <w:t>Προκαταβολές και λοιπές απαιτήσεις</w:t>
            </w:r>
          </w:p>
        </w:tc>
        <w:tc>
          <w:tcPr>
            <w:tcW w:w="811"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16</w:t>
            </w:r>
          </w:p>
        </w:tc>
        <w:tc>
          <w:tcPr>
            <w:tcW w:w="753"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41</w:t>
            </w:r>
          </w:p>
        </w:tc>
        <w:tc>
          <w:tcPr>
            <w:tcW w:w="794"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0</w:t>
            </w:r>
          </w:p>
        </w:tc>
        <w:tc>
          <w:tcPr>
            <w:tcW w:w="691" w:type="dxa"/>
            <w:tcBorders>
              <w:top w:val="nil"/>
              <w:bottom w:val="nil"/>
            </w:tcBorders>
            <w:shd w:val="clear" w:color="auto" w:fill="auto"/>
            <w:tcMar>
              <w:left w:w="28" w:type="dxa"/>
              <w:right w:w="28" w:type="dxa"/>
            </w:tcMar>
            <w:vAlign w:val="bottom"/>
            <w:hideMark/>
          </w:tcPr>
          <w:p w:rsidR="003C4CB4" w:rsidRDefault="00A60977" w:rsidP="00A60977">
            <w:pPr>
              <w:ind w:right="113"/>
              <w:jc w:val="right"/>
              <w:rPr>
                <w:rFonts w:ascii="Arial Narrow" w:hAnsi="Arial Narrow"/>
                <w:sz w:val="16"/>
                <w:szCs w:val="16"/>
              </w:rPr>
            </w:pPr>
            <w:r>
              <w:rPr>
                <w:rFonts w:ascii="Arial Narrow" w:hAnsi="Arial Narrow"/>
                <w:sz w:val="16"/>
                <w:szCs w:val="16"/>
              </w:rPr>
              <w:t>157,7</w:t>
            </w:r>
          </w:p>
        </w:tc>
        <w:tc>
          <w:tcPr>
            <w:tcW w:w="691" w:type="dxa"/>
            <w:tcBorders>
              <w:top w:val="nil"/>
              <w:bottom w:val="nil"/>
              <w:right w:val="single" w:sz="4" w:space="0" w:color="auto"/>
            </w:tcBorders>
            <w:shd w:val="clear" w:color="auto" w:fill="auto"/>
            <w:tcMar>
              <w:left w:w="28" w:type="dxa"/>
              <w:right w:w="28" w:type="dxa"/>
            </w:tcMar>
            <w:vAlign w:val="bottom"/>
            <w:hideMark/>
          </w:tcPr>
          <w:p w:rsidR="003C4CB4" w:rsidRDefault="00A60977" w:rsidP="00A60977">
            <w:pPr>
              <w:ind w:right="113"/>
              <w:jc w:val="right"/>
              <w:rPr>
                <w:rFonts w:ascii="Arial Narrow" w:hAnsi="Arial Narrow"/>
                <w:sz w:val="16"/>
                <w:szCs w:val="16"/>
              </w:rPr>
            </w:pPr>
            <w:r>
              <w:rPr>
                <w:rFonts w:ascii="Arial Narrow" w:hAnsi="Arial Narrow"/>
                <w:sz w:val="16"/>
                <w:szCs w:val="16"/>
              </w:rPr>
              <w:t>-100,0</w:t>
            </w:r>
          </w:p>
        </w:tc>
      </w:tr>
      <w:tr w:rsidR="003C4CB4" w:rsidRPr="008C1502" w:rsidTr="003C4CB4">
        <w:trPr>
          <w:trHeight w:val="227"/>
        </w:trPr>
        <w:tc>
          <w:tcPr>
            <w:tcW w:w="353" w:type="dxa"/>
            <w:tcBorders>
              <w:top w:val="nil"/>
              <w:left w:val="single" w:sz="4" w:space="0" w:color="auto"/>
              <w:bottom w:val="nil"/>
            </w:tcBorders>
            <w:shd w:val="clear" w:color="auto" w:fill="auto"/>
            <w:noWrap/>
            <w:tcMar>
              <w:left w:w="28" w:type="dxa"/>
              <w:right w:w="28" w:type="dxa"/>
            </w:tcMar>
            <w:vAlign w:val="bottom"/>
            <w:hideMark/>
          </w:tcPr>
          <w:p w:rsidR="003C4CB4" w:rsidRPr="008C1502" w:rsidRDefault="003C4CB4" w:rsidP="003C4CB4">
            <w:pPr>
              <w:jc w:val="center"/>
              <w:rPr>
                <w:rFonts w:ascii="Arial Narrow" w:hAnsi="Arial Narrow"/>
                <w:sz w:val="16"/>
                <w:szCs w:val="16"/>
              </w:rPr>
            </w:pPr>
            <w:r w:rsidRPr="008C1502">
              <w:rPr>
                <w:rFonts w:ascii="Arial Narrow" w:hAnsi="Arial Narrow"/>
                <w:sz w:val="16"/>
                <w:szCs w:val="16"/>
              </w:rPr>
              <w:t>1</w:t>
            </w:r>
            <w:r>
              <w:rPr>
                <w:rFonts w:ascii="Arial Narrow" w:hAnsi="Arial Narrow"/>
                <w:sz w:val="16"/>
                <w:szCs w:val="16"/>
              </w:rPr>
              <w:t>0</w:t>
            </w:r>
          </w:p>
        </w:tc>
        <w:tc>
          <w:tcPr>
            <w:tcW w:w="1414" w:type="dxa"/>
            <w:tcBorders>
              <w:top w:val="nil"/>
              <w:bottom w:val="nil"/>
            </w:tcBorders>
            <w:shd w:val="clear" w:color="auto" w:fill="auto"/>
            <w:noWrap/>
            <w:tcMar>
              <w:left w:w="28" w:type="dxa"/>
              <w:right w:w="28" w:type="dxa"/>
            </w:tcMar>
            <w:vAlign w:val="bottom"/>
            <w:hideMark/>
          </w:tcPr>
          <w:p w:rsidR="003C4CB4" w:rsidRPr="008C1502" w:rsidRDefault="003C4CB4" w:rsidP="003C4CB4">
            <w:pPr>
              <w:jc w:val="center"/>
              <w:rPr>
                <w:rFonts w:ascii="Arial Narrow" w:hAnsi="Arial Narrow"/>
                <w:sz w:val="16"/>
                <w:szCs w:val="16"/>
              </w:rPr>
            </w:pPr>
            <w:r w:rsidRPr="008C1502">
              <w:rPr>
                <w:rFonts w:ascii="Arial Narrow" w:hAnsi="Arial Narrow"/>
                <w:sz w:val="16"/>
                <w:szCs w:val="16"/>
              </w:rPr>
              <w:t>52</w:t>
            </w:r>
          </w:p>
        </w:tc>
        <w:tc>
          <w:tcPr>
            <w:tcW w:w="3457" w:type="dxa"/>
            <w:tcBorders>
              <w:top w:val="nil"/>
              <w:bottom w:val="nil"/>
            </w:tcBorders>
            <w:shd w:val="clear" w:color="auto" w:fill="auto"/>
            <w:tcMar>
              <w:left w:w="28" w:type="dxa"/>
              <w:right w:w="28" w:type="dxa"/>
            </w:tcMar>
            <w:vAlign w:val="center"/>
            <w:hideMark/>
          </w:tcPr>
          <w:p w:rsidR="003C4CB4" w:rsidRPr="008C1502" w:rsidRDefault="003C4CB4" w:rsidP="003C4CB4">
            <w:pPr>
              <w:rPr>
                <w:rFonts w:ascii="Arial Narrow" w:hAnsi="Arial Narrow"/>
                <w:sz w:val="16"/>
                <w:szCs w:val="16"/>
              </w:rPr>
            </w:pPr>
            <w:r w:rsidRPr="008C1502">
              <w:rPr>
                <w:rFonts w:ascii="Arial Narrow" w:hAnsi="Arial Narrow"/>
                <w:sz w:val="16"/>
                <w:szCs w:val="16"/>
              </w:rPr>
              <w:t xml:space="preserve">Υποχρεώσεις από Νόμισμα και καταθέσεις </w:t>
            </w:r>
          </w:p>
        </w:tc>
        <w:tc>
          <w:tcPr>
            <w:tcW w:w="811"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26</w:t>
            </w:r>
          </w:p>
        </w:tc>
        <w:tc>
          <w:tcPr>
            <w:tcW w:w="753"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19</w:t>
            </w:r>
          </w:p>
        </w:tc>
        <w:tc>
          <w:tcPr>
            <w:tcW w:w="794"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9</w:t>
            </w:r>
          </w:p>
        </w:tc>
        <w:tc>
          <w:tcPr>
            <w:tcW w:w="691" w:type="dxa"/>
            <w:tcBorders>
              <w:top w:val="nil"/>
              <w:bottom w:val="nil"/>
            </w:tcBorders>
            <w:shd w:val="clear" w:color="auto" w:fill="auto"/>
            <w:tcMar>
              <w:left w:w="28" w:type="dxa"/>
              <w:right w:w="28" w:type="dxa"/>
            </w:tcMar>
            <w:vAlign w:val="bottom"/>
            <w:hideMark/>
          </w:tcPr>
          <w:p w:rsidR="003C4CB4" w:rsidRDefault="00A60977" w:rsidP="00A60977">
            <w:pPr>
              <w:ind w:right="113"/>
              <w:jc w:val="right"/>
              <w:rPr>
                <w:rFonts w:ascii="Arial Narrow" w:hAnsi="Arial Narrow"/>
                <w:sz w:val="16"/>
                <w:szCs w:val="16"/>
              </w:rPr>
            </w:pPr>
            <w:r>
              <w:rPr>
                <w:rFonts w:ascii="Arial Narrow" w:hAnsi="Arial Narrow"/>
                <w:sz w:val="16"/>
                <w:szCs w:val="16"/>
              </w:rPr>
              <w:t>-27,4</w:t>
            </w:r>
          </w:p>
        </w:tc>
        <w:tc>
          <w:tcPr>
            <w:tcW w:w="691" w:type="dxa"/>
            <w:tcBorders>
              <w:top w:val="nil"/>
              <w:bottom w:val="nil"/>
              <w:right w:val="single" w:sz="4" w:space="0" w:color="auto"/>
            </w:tcBorders>
            <w:shd w:val="clear" w:color="auto" w:fill="auto"/>
            <w:tcMar>
              <w:left w:w="28" w:type="dxa"/>
              <w:right w:w="28" w:type="dxa"/>
            </w:tcMar>
            <w:vAlign w:val="bottom"/>
            <w:hideMark/>
          </w:tcPr>
          <w:p w:rsidR="003C4CB4" w:rsidRDefault="00A60977" w:rsidP="00A60977">
            <w:pPr>
              <w:ind w:right="113"/>
              <w:jc w:val="right"/>
              <w:rPr>
                <w:rFonts w:ascii="Arial Narrow" w:hAnsi="Arial Narrow"/>
                <w:sz w:val="16"/>
                <w:szCs w:val="16"/>
              </w:rPr>
            </w:pPr>
            <w:r>
              <w:rPr>
                <w:rFonts w:ascii="Arial Narrow" w:hAnsi="Arial Narrow"/>
                <w:sz w:val="16"/>
                <w:szCs w:val="16"/>
              </w:rPr>
              <w:t>-54,4</w:t>
            </w:r>
          </w:p>
        </w:tc>
      </w:tr>
      <w:tr w:rsidR="003C4CB4" w:rsidRPr="008C1502" w:rsidTr="003C4CB4">
        <w:trPr>
          <w:trHeight w:val="227"/>
        </w:trPr>
        <w:tc>
          <w:tcPr>
            <w:tcW w:w="353" w:type="dxa"/>
            <w:tcBorders>
              <w:top w:val="nil"/>
              <w:left w:val="single" w:sz="4" w:space="0" w:color="auto"/>
              <w:bottom w:val="nil"/>
            </w:tcBorders>
            <w:shd w:val="clear" w:color="auto" w:fill="auto"/>
            <w:noWrap/>
            <w:tcMar>
              <w:left w:w="28" w:type="dxa"/>
              <w:right w:w="28" w:type="dxa"/>
            </w:tcMar>
            <w:vAlign w:val="bottom"/>
            <w:hideMark/>
          </w:tcPr>
          <w:p w:rsidR="003C4CB4" w:rsidRPr="008C1502" w:rsidRDefault="003C4CB4" w:rsidP="003C4CB4">
            <w:pPr>
              <w:jc w:val="center"/>
              <w:rPr>
                <w:rFonts w:ascii="Arial Narrow" w:hAnsi="Arial Narrow"/>
                <w:sz w:val="16"/>
                <w:szCs w:val="16"/>
              </w:rPr>
            </w:pPr>
            <w:r w:rsidRPr="008C1502">
              <w:rPr>
                <w:rFonts w:ascii="Arial Narrow" w:hAnsi="Arial Narrow"/>
                <w:sz w:val="16"/>
                <w:szCs w:val="16"/>
              </w:rPr>
              <w:t>1</w:t>
            </w:r>
            <w:r>
              <w:rPr>
                <w:rFonts w:ascii="Arial Narrow" w:hAnsi="Arial Narrow"/>
                <w:sz w:val="16"/>
                <w:szCs w:val="16"/>
              </w:rPr>
              <w:t>1</w:t>
            </w:r>
          </w:p>
        </w:tc>
        <w:tc>
          <w:tcPr>
            <w:tcW w:w="1414" w:type="dxa"/>
            <w:tcBorders>
              <w:top w:val="nil"/>
              <w:bottom w:val="nil"/>
            </w:tcBorders>
            <w:shd w:val="clear" w:color="auto" w:fill="auto"/>
            <w:noWrap/>
            <w:tcMar>
              <w:left w:w="28" w:type="dxa"/>
              <w:right w:w="28" w:type="dxa"/>
            </w:tcMar>
            <w:vAlign w:val="bottom"/>
            <w:hideMark/>
          </w:tcPr>
          <w:p w:rsidR="003C4CB4" w:rsidRPr="008C1502" w:rsidRDefault="003C4CB4" w:rsidP="003C4CB4">
            <w:pPr>
              <w:jc w:val="center"/>
              <w:rPr>
                <w:rFonts w:ascii="Arial Narrow" w:hAnsi="Arial Narrow"/>
                <w:sz w:val="16"/>
                <w:szCs w:val="16"/>
              </w:rPr>
            </w:pPr>
            <w:r w:rsidRPr="008C1502">
              <w:rPr>
                <w:rFonts w:ascii="Arial Narrow" w:hAnsi="Arial Narrow"/>
                <w:sz w:val="16"/>
                <w:szCs w:val="16"/>
              </w:rPr>
              <w:t>53</w:t>
            </w:r>
          </w:p>
        </w:tc>
        <w:tc>
          <w:tcPr>
            <w:tcW w:w="3457" w:type="dxa"/>
            <w:tcBorders>
              <w:top w:val="nil"/>
              <w:bottom w:val="nil"/>
            </w:tcBorders>
            <w:shd w:val="clear" w:color="auto" w:fill="auto"/>
            <w:tcMar>
              <w:left w:w="28" w:type="dxa"/>
              <w:right w:w="28" w:type="dxa"/>
            </w:tcMar>
            <w:vAlign w:val="center"/>
            <w:hideMark/>
          </w:tcPr>
          <w:p w:rsidR="003C4CB4" w:rsidRPr="008C1502" w:rsidRDefault="003C4CB4" w:rsidP="003C4CB4">
            <w:pPr>
              <w:rPr>
                <w:rFonts w:ascii="Arial Narrow" w:hAnsi="Arial Narrow"/>
                <w:sz w:val="16"/>
                <w:szCs w:val="16"/>
              </w:rPr>
            </w:pPr>
            <w:r w:rsidRPr="008C1502">
              <w:rPr>
                <w:rFonts w:ascii="Arial Narrow" w:hAnsi="Arial Narrow"/>
                <w:sz w:val="16"/>
                <w:szCs w:val="16"/>
              </w:rPr>
              <w:t>Χρεωστικοί τίτλοι (υποχρεώσεις)</w:t>
            </w:r>
          </w:p>
        </w:tc>
        <w:tc>
          <w:tcPr>
            <w:tcW w:w="811"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40.992</w:t>
            </w:r>
          </w:p>
        </w:tc>
        <w:tc>
          <w:tcPr>
            <w:tcW w:w="753"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40.447</w:t>
            </w:r>
          </w:p>
        </w:tc>
        <w:tc>
          <w:tcPr>
            <w:tcW w:w="794"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37.000</w:t>
            </w:r>
          </w:p>
        </w:tc>
        <w:tc>
          <w:tcPr>
            <w:tcW w:w="691" w:type="dxa"/>
            <w:tcBorders>
              <w:top w:val="nil"/>
              <w:bottom w:val="nil"/>
            </w:tcBorders>
            <w:shd w:val="clear" w:color="auto" w:fill="auto"/>
            <w:tcMar>
              <w:left w:w="28" w:type="dxa"/>
              <w:right w:w="28" w:type="dxa"/>
            </w:tcMar>
            <w:vAlign w:val="bottom"/>
            <w:hideMark/>
          </w:tcPr>
          <w:p w:rsidR="003C4CB4" w:rsidRDefault="00A60977" w:rsidP="00A60977">
            <w:pPr>
              <w:ind w:right="113"/>
              <w:jc w:val="right"/>
              <w:rPr>
                <w:rFonts w:ascii="Arial Narrow" w:hAnsi="Arial Narrow"/>
                <w:sz w:val="16"/>
                <w:szCs w:val="16"/>
              </w:rPr>
            </w:pPr>
            <w:r>
              <w:rPr>
                <w:rFonts w:ascii="Arial Narrow" w:hAnsi="Arial Narrow"/>
                <w:sz w:val="16"/>
                <w:szCs w:val="16"/>
              </w:rPr>
              <w:t>-1,3</w:t>
            </w:r>
          </w:p>
        </w:tc>
        <w:tc>
          <w:tcPr>
            <w:tcW w:w="691" w:type="dxa"/>
            <w:tcBorders>
              <w:top w:val="nil"/>
              <w:bottom w:val="nil"/>
              <w:right w:val="single" w:sz="4" w:space="0" w:color="auto"/>
            </w:tcBorders>
            <w:shd w:val="clear" w:color="auto" w:fill="auto"/>
            <w:tcMar>
              <w:left w:w="28" w:type="dxa"/>
              <w:right w:w="28" w:type="dxa"/>
            </w:tcMar>
            <w:vAlign w:val="bottom"/>
            <w:hideMark/>
          </w:tcPr>
          <w:p w:rsidR="003C4CB4" w:rsidRDefault="00A60977" w:rsidP="00A60977">
            <w:pPr>
              <w:ind w:right="113"/>
              <w:jc w:val="right"/>
              <w:rPr>
                <w:rFonts w:ascii="Arial Narrow" w:hAnsi="Arial Narrow"/>
                <w:sz w:val="16"/>
                <w:szCs w:val="16"/>
              </w:rPr>
            </w:pPr>
            <w:r>
              <w:rPr>
                <w:rFonts w:ascii="Arial Narrow" w:hAnsi="Arial Narrow"/>
                <w:sz w:val="16"/>
                <w:szCs w:val="16"/>
              </w:rPr>
              <w:t>-8,5</w:t>
            </w:r>
          </w:p>
        </w:tc>
      </w:tr>
      <w:tr w:rsidR="003C4CB4" w:rsidRPr="008C1502" w:rsidTr="003C4CB4">
        <w:trPr>
          <w:trHeight w:val="227"/>
        </w:trPr>
        <w:tc>
          <w:tcPr>
            <w:tcW w:w="353" w:type="dxa"/>
            <w:tcBorders>
              <w:top w:val="nil"/>
              <w:left w:val="single" w:sz="4" w:space="0" w:color="auto"/>
              <w:bottom w:val="nil"/>
            </w:tcBorders>
            <w:shd w:val="clear" w:color="auto" w:fill="auto"/>
            <w:noWrap/>
            <w:tcMar>
              <w:left w:w="28" w:type="dxa"/>
              <w:right w:w="28" w:type="dxa"/>
            </w:tcMar>
            <w:vAlign w:val="bottom"/>
            <w:hideMark/>
          </w:tcPr>
          <w:p w:rsidR="003C4CB4" w:rsidRPr="008C1502" w:rsidRDefault="003C4CB4" w:rsidP="003C4CB4">
            <w:pPr>
              <w:jc w:val="center"/>
              <w:rPr>
                <w:rFonts w:ascii="Arial Narrow" w:hAnsi="Arial Narrow"/>
                <w:sz w:val="16"/>
                <w:szCs w:val="16"/>
              </w:rPr>
            </w:pPr>
            <w:r w:rsidRPr="008C1502">
              <w:rPr>
                <w:rFonts w:ascii="Arial Narrow" w:hAnsi="Arial Narrow"/>
                <w:sz w:val="16"/>
                <w:szCs w:val="16"/>
              </w:rPr>
              <w:t>1</w:t>
            </w:r>
            <w:r>
              <w:rPr>
                <w:rFonts w:ascii="Arial Narrow" w:hAnsi="Arial Narrow"/>
                <w:sz w:val="16"/>
                <w:szCs w:val="16"/>
              </w:rPr>
              <w:t>2</w:t>
            </w:r>
          </w:p>
        </w:tc>
        <w:tc>
          <w:tcPr>
            <w:tcW w:w="1414" w:type="dxa"/>
            <w:tcBorders>
              <w:top w:val="nil"/>
              <w:bottom w:val="nil"/>
            </w:tcBorders>
            <w:shd w:val="clear" w:color="auto" w:fill="auto"/>
            <w:noWrap/>
            <w:tcMar>
              <w:left w:w="28" w:type="dxa"/>
              <w:right w:w="28" w:type="dxa"/>
            </w:tcMar>
            <w:vAlign w:val="bottom"/>
            <w:hideMark/>
          </w:tcPr>
          <w:p w:rsidR="003C4CB4" w:rsidRPr="008C1502" w:rsidRDefault="003C4CB4" w:rsidP="003C4CB4">
            <w:pPr>
              <w:jc w:val="center"/>
              <w:rPr>
                <w:rFonts w:ascii="Arial Narrow" w:hAnsi="Arial Narrow"/>
                <w:sz w:val="16"/>
                <w:szCs w:val="16"/>
              </w:rPr>
            </w:pPr>
            <w:r w:rsidRPr="008C1502">
              <w:rPr>
                <w:rFonts w:ascii="Arial Narrow" w:hAnsi="Arial Narrow"/>
                <w:sz w:val="16"/>
                <w:szCs w:val="16"/>
              </w:rPr>
              <w:t>54</w:t>
            </w:r>
          </w:p>
        </w:tc>
        <w:tc>
          <w:tcPr>
            <w:tcW w:w="3457" w:type="dxa"/>
            <w:tcBorders>
              <w:top w:val="nil"/>
              <w:bottom w:val="nil"/>
            </w:tcBorders>
            <w:shd w:val="clear" w:color="auto" w:fill="auto"/>
            <w:tcMar>
              <w:left w:w="28" w:type="dxa"/>
              <w:right w:w="28" w:type="dxa"/>
            </w:tcMar>
            <w:vAlign w:val="center"/>
            <w:hideMark/>
          </w:tcPr>
          <w:p w:rsidR="003C4CB4" w:rsidRPr="008C1502" w:rsidRDefault="003C4CB4" w:rsidP="003C4CB4">
            <w:pPr>
              <w:rPr>
                <w:rFonts w:ascii="Arial Narrow" w:hAnsi="Arial Narrow"/>
                <w:sz w:val="16"/>
                <w:szCs w:val="16"/>
              </w:rPr>
            </w:pPr>
            <w:r w:rsidRPr="008C1502">
              <w:rPr>
                <w:rFonts w:ascii="Arial Narrow" w:hAnsi="Arial Narrow"/>
                <w:sz w:val="16"/>
                <w:szCs w:val="16"/>
              </w:rPr>
              <w:t xml:space="preserve">Δάνεια </w:t>
            </w:r>
          </w:p>
        </w:tc>
        <w:tc>
          <w:tcPr>
            <w:tcW w:w="811"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1.062.013</w:t>
            </w:r>
          </w:p>
        </w:tc>
        <w:tc>
          <w:tcPr>
            <w:tcW w:w="753"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1.222.740</w:t>
            </w:r>
          </w:p>
        </w:tc>
        <w:tc>
          <w:tcPr>
            <w:tcW w:w="794"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701.700</w:t>
            </w:r>
          </w:p>
        </w:tc>
        <w:tc>
          <w:tcPr>
            <w:tcW w:w="691" w:type="dxa"/>
            <w:tcBorders>
              <w:top w:val="nil"/>
              <w:bottom w:val="nil"/>
            </w:tcBorders>
            <w:shd w:val="clear" w:color="auto" w:fill="auto"/>
            <w:tcMar>
              <w:left w:w="28" w:type="dxa"/>
              <w:right w:w="28" w:type="dxa"/>
            </w:tcMar>
            <w:vAlign w:val="bottom"/>
            <w:hideMark/>
          </w:tcPr>
          <w:p w:rsidR="003C4CB4" w:rsidRDefault="00A60977" w:rsidP="00A60977">
            <w:pPr>
              <w:ind w:right="113"/>
              <w:jc w:val="right"/>
              <w:rPr>
                <w:rFonts w:ascii="Arial Narrow" w:hAnsi="Arial Narrow"/>
                <w:sz w:val="16"/>
                <w:szCs w:val="16"/>
              </w:rPr>
            </w:pPr>
            <w:r>
              <w:rPr>
                <w:rFonts w:ascii="Arial Narrow" w:hAnsi="Arial Narrow"/>
                <w:sz w:val="16"/>
                <w:szCs w:val="16"/>
              </w:rPr>
              <w:t>15,1</w:t>
            </w:r>
          </w:p>
        </w:tc>
        <w:tc>
          <w:tcPr>
            <w:tcW w:w="691" w:type="dxa"/>
            <w:tcBorders>
              <w:top w:val="nil"/>
              <w:bottom w:val="nil"/>
              <w:right w:val="single" w:sz="4" w:space="0" w:color="auto"/>
            </w:tcBorders>
            <w:shd w:val="clear" w:color="auto" w:fill="auto"/>
            <w:tcMar>
              <w:left w:w="28" w:type="dxa"/>
              <w:right w:w="28" w:type="dxa"/>
            </w:tcMar>
            <w:vAlign w:val="bottom"/>
            <w:hideMark/>
          </w:tcPr>
          <w:p w:rsidR="003C4CB4" w:rsidRDefault="00A60977" w:rsidP="00A60977">
            <w:pPr>
              <w:ind w:right="113"/>
              <w:jc w:val="right"/>
              <w:rPr>
                <w:rFonts w:ascii="Arial Narrow" w:hAnsi="Arial Narrow"/>
                <w:sz w:val="16"/>
                <w:szCs w:val="16"/>
              </w:rPr>
            </w:pPr>
            <w:r>
              <w:rPr>
                <w:rFonts w:ascii="Arial Narrow" w:hAnsi="Arial Narrow"/>
                <w:sz w:val="16"/>
                <w:szCs w:val="16"/>
              </w:rPr>
              <w:t>-42,6</w:t>
            </w:r>
          </w:p>
        </w:tc>
      </w:tr>
      <w:tr w:rsidR="003C4CB4" w:rsidRPr="008C1502" w:rsidTr="003C4CB4">
        <w:trPr>
          <w:trHeight w:val="227"/>
        </w:trPr>
        <w:tc>
          <w:tcPr>
            <w:tcW w:w="353" w:type="dxa"/>
            <w:tcBorders>
              <w:top w:val="nil"/>
              <w:left w:val="single" w:sz="4" w:space="0" w:color="auto"/>
              <w:bottom w:val="nil"/>
            </w:tcBorders>
            <w:shd w:val="clear" w:color="auto" w:fill="auto"/>
            <w:noWrap/>
            <w:tcMar>
              <w:left w:w="28" w:type="dxa"/>
              <w:right w:w="28" w:type="dxa"/>
            </w:tcMar>
            <w:vAlign w:val="bottom"/>
            <w:hideMark/>
          </w:tcPr>
          <w:p w:rsidR="003C4CB4" w:rsidRPr="008C1502" w:rsidRDefault="003C4CB4" w:rsidP="003C4CB4">
            <w:pPr>
              <w:jc w:val="center"/>
              <w:rPr>
                <w:rFonts w:ascii="Arial Narrow" w:hAnsi="Arial Narrow"/>
                <w:sz w:val="16"/>
                <w:szCs w:val="16"/>
              </w:rPr>
            </w:pPr>
            <w:r w:rsidRPr="008C1502">
              <w:rPr>
                <w:rFonts w:ascii="Arial Narrow" w:hAnsi="Arial Narrow"/>
                <w:sz w:val="16"/>
                <w:szCs w:val="16"/>
              </w:rPr>
              <w:t>1</w:t>
            </w:r>
            <w:r>
              <w:rPr>
                <w:rFonts w:ascii="Arial Narrow" w:hAnsi="Arial Narrow"/>
                <w:sz w:val="16"/>
                <w:szCs w:val="16"/>
              </w:rPr>
              <w:t>3</w:t>
            </w:r>
          </w:p>
        </w:tc>
        <w:tc>
          <w:tcPr>
            <w:tcW w:w="1414" w:type="dxa"/>
            <w:tcBorders>
              <w:top w:val="nil"/>
              <w:bottom w:val="nil"/>
            </w:tcBorders>
            <w:shd w:val="clear" w:color="auto" w:fill="auto"/>
            <w:noWrap/>
            <w:tcMar>
              <w:left w:w="28" w:type="dxa"/>
              <w:right w:w="28" w:type="dxa"/>
            </w:tcMar>
            <w:vAlign w:val="bottom"/>
            <w:hideMark/>
          </w:tcPr>
          <w:p w:rsidR="003C4CB4" w:rsidRPr="008C1502" w:rsidRDefault="003C4CB4" w:rsidP="003C4CB4">
            <w:pPr>
              <w:jc w:val="center"/>
              <w:rPr>
                <w:rFonts w:ascii="Arial Narrow" w:hAnsi="Arial Narrow"/>
                <w:sz w:val="16"/>
                <w:szCs w:val="16"/>
              </w:rPr>
            </w:pPr>
            <w:r w:rsidRPr="008C1502">
              <w:rPr>
                <w:rFonts w:ascii="Arial Narrow" w:hAnsi="Arial Narrow"/>
                <w:sz w:val="16"/>
                <w:szCs w:val="16"/>
              </w:rPr>
              <w:t>57</w:t>
            </w:r>
          </w:p>
        </w:tc>
        <w:tc>
          <w:tcPr>
            <w:tcW w:w="3457" w:type="dxa"/>
            <w:tcBorders>
              <w:top w:val="nil"/>
              <w:bottom w:val="nil"/>
            </w:tcBorders>
            <w:shd w:val="clear" w:color="auto" w:fill="auto"/>
            <w:tcMar>
              <w:left w:w="28" w:type="dxa"/>
              <w:right w:w="28" w:type="dxa"/>
            </w:tcMar>
            <w:vAlign w:val="center"/>
            <w:hideMark/>
          </w:tcPr>
          <w:p w:rsidR="003C4CB4" w:rsidRPr="008C1502" w:rsidRDefault="003C4CB4" w:rsidP="003C4CB4">
            <w:pPr>
              <w:rPr>
                <w:rFonts w:ascii="Arial Narrow" w:hAnsi="Arial Narrow"/>
                <w:sz w:val="16"/>
                <w:szCs w:val="16"/>
              </w:rPr>
            </w:pPr>
            <w:r w:rsidRPr="008C1502">
              <w:rPr>
                <w:rFonts w:ascii="Arial Narrow" w:hAnsi="Arial Narrow"/>
                <w:sz w:val="16"/>
                <w:szCs w:val="16"/>
              </w:rPr>
              <w:t xml:space="preserve">Χρηματοοικονομικά παράγωγα </w:t>
            </w:r>
          </w:p>
        </w:tc>
        <w:tc>
          <w:tcPr>
            <w:tcW w:w="811"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1.547</w:t>
            </w:r>
          </w:p>
        </w:tc>
        <w:tc>
          <w:tcPr>
            <w:tcW w:w="753"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697</w:t>
            </w:r>
          </w:p>
        </w:tc>
        <w:tc>
          <w:tcPr>
            <w:tcW w:w="794" w:type="dxa"/>
            <w:tcBorders>
              <w:top w:val="nil"/>
              <w:bottom w:val="nil"/>
            </w:tcBorders>
            <w:shd w:val="clear" w:color="auto" w:fill="auto"/>
            <w:tcMar>
              <w:left w:w="28" w:type="dxa"/>
              <w:right w:w="28" w:type="dxa"/>
            </w:tcMar>
            <w:vAlign w:val="bottom"/>
            <w:hideMark/>
          </w:tcPr>
          <w:p w:rsidR="003C4CB4" w:rsidRDefault="003C4CB4" w:rsidP="00A60977">
            <w:pPr>
              <w:ind w:right="113"/>
              <w:jc w:val="right"/>
              <w:rPr>
                <w:rFonts w:ascii="Arial Narrow" w:hAnsi="Arial Narrow"/>
                <w:sz w:val="16"/>
                <w:szCs w:val="16"/>
              </w:rPr>
            </w:pPr>
            <w:r>
              <w:rPr>
                <w:rFonts w:ascii="Arial Narrow" w:hAnsi="Arial Narrow"/>
                <w:sz w:val="16"/>
                <w:szCs w:val="16"/>
              </w:rPr>
              <w:t>0</w:t>
            </w:r>
          </w:p>
        </w:tc>
        <w:tc>
          <w:tcPr>
            <w:tcW w:w="691" w:type="dxa"/>
            <w:tcBorders>
              <w:top w:val="nil"/>
              <w:bottom w:val="nil"/>
            </w:tcBorders>
            <w:shd w:val="clear" w:color="auto" w:fill="auto"/>
            <w:tcMar>
              <w:left w:w="28" w:type="dxa"/>
              <w:right w:w="28" w:type="dxa"/>
            </w:tcMar>
            <w:vAlign w:val="bottom"/>
            <w:hideMark/>
          </w:tcPr>
          <w:p w:rsidR="003C4CB4" w:rsidRDefault="00A60977" w:rsidP="00A60977">
            <w:pPr>
              <w:ind w:right="113"/>
              <w:jc w:val="right"/>
              <w:rPr>
                <w:rFonts w:ascii="Arial Narrow" w:hAnsi="Arial Narrow"/>
                <w:sz w:val="16"/>
                <w:szCs w:val="16"/>
              </w:rPr>
            </w:pPr>
            <w:r>
              <w:rPr>
                <w:rFonts w:ascii="Arial Narrow" w:hAnsi="Arial Narrow"/>
                <w:sz w:val="16"/>
                <w:szCs w:val="16"/>
              </w:rPr>
              <w:t>-54,9</w:t>
            </w:r>
          </w:p>
        </w:tc>
        <w:tc>
          <w:tcPr>
            <w:tcW w:w="691" w:type="dxa"/>
            <w:tcBorders>
              <w:top w:val="nil"/>
              <w:bottom w:val="nil"/>
              <w:right w:val="single" w:sz="4" w:space="0" w:color="auto"/>
            </w:tcBorders>
            <w:shd w:val="clear" w:color="auto" w:fill="auto"/>
            <w:tcMar>
              <w:left w:w="28" w:type="dxa"/>
              <w:right w:w="28" w:type="dxa"/>
            </w:tcMar>
            <w:vAlign w:val="bottom"/>
            <w:hideMark/>
          </w:tcPr>
          <w:p w:rsidR="003C4CB4" w:rsidRDefault="00A60977" w:rsidP="00A60977">
            <w:pPr>
              <w:ind w:right="113"/>
              <w:jc w:val="right"/>
              <w:rPr>
                <w:rFonts w:ascii="Arial Narrow" w:hAnsi="Arial Narrow"/>
                <w:sz w:val="16"/>
                <w:szCs w:val="16"/>
              </w:rPr>
            </w:pPr>
            <w:r>
              <w:rPr>
                <w:rFonts w:ascii="Arial Narrow" w:hAnsi="Arial Narrow"/>
                <w:sz w:val="16"/>
                <w:szCs w:val="16"/>
              </w:rPr>
              <w:t>-100,0</w:t>
            </w:r>
          </w:p>
        </w:tc>
      </w:tr>
      <w:tr w:rsidR="00A60977" w:rsidRPr="008C1502" w:rsidTr="003C4CB4">
        <w:trPr>
          <w:trHeight w:val="227"/>
        </w:trPr>
        <w:tc>
          <w:tcPr>
            <w:tcW w:w="353" w:type="dxa"/>
            <w:tcBorders>
              <w:left w:val="single" w:sz="4" w:space="0" w:color="auto"/>
            </w:tcBorders>
            <w:shd w:val="clear" w:color="auto" w:fill="BFBFBF" w:themeFill="background1" w:themeFillShade="BF"/>
            <w:tcMar>
              <w:left w:w="28" w:type="dxa"/>
              <w:right w:w="28" w:type="dxa"/>
            </w:tcMar>
            <w:vAlign w:val="center"/>
            <w:hideMark/>
          </w:tcPr>
          <w:p w:rsidR="00A60977" w:rsidRPr="008C1502" w:rsidRDefault="00A60977" w:rsidP="003C4CB4">
            <w:pPr>
              <w:spacing w:before="40" w:after="40"/>
              <w:jc w:val="center"/>
              <w:rPr>
                <w:rFonts w:ascii="Arial Narrow" w:hAnsi="Arial Narrow"/>
                <w:b/>
                <w:bCs/>
                <w:sz w:val="16"/>
                <w:szCs w:val="16"/>
              </w:rPr>
            </w:pPr>
            <w:r w:rsidRPr="008C1502">
              <w:rPr>
                <w:rFonts w:ascii="Arial Narrow" w:hAnsi="Arial Narrow"/>
                <w:b/>
                <w:bCs/>
                <w:sz w:val="16"/>
                <w:szCs w:val="16"/>
              </w:rPr>
              <w:t>Β</w:t>
            </w:r>
          </w:p>
        </w:tc>
        <w:tc>
          <w:tcPr>
            <w:tcW w:w="4871" w:type="dxa"/>
            <w:gridSpan w:val="2"/>
            <w:shd w:val="clear" w:color="auto" w:fill="BFBFBF" w:themeFill="background1" w:themeFillShade="BF"/>
            <w:tcMar>
              <w:left w:w="28" w:type="dxa"/>
              <w:right w:w="28" w:type="dxa"/>
            </w:tcMar>
            <w:vAlign w:val="center"/>
            <w:hideMark/>
          </w:tcPr>
          <w:p w:rsidR="00A60977" w:rsidRPr="008C1502" w:rsidRDefault="00A60977" w:rsidP="003C4CB4">
            <w:pPr>
              <w:spacing w:before="40" w:after="40"/>
              <w:rPr>
                <w:rFonts w:ascii="Arial Narrow" w:hAnsi="Arial Narrow"/>
                <w:b/>
                <w:bCs/>
                <w:sz w:val="16"/>
                <w:szCs w:val="16"/>
              </w:rPr>
            </w:pPr>
            <w:r w:rsidRPr="008C1502">
              <w:rPr>
                <w:rFonts w:ascii="Arial Narrow" w:hAnsi="Arial Narrow"/>
                <w:b/>
                <w:bCs/>
                <w:sz w:val="16"/>
                <w:szCs w:val="16"/>
              </w:rPr>
              <w:t>Έσοδα Χρηματοοικονομικών συναλλαγών (</w:t>
            </w:r>
            <w:r>
              <w:rPr>
                <w:rFonts w:ascii="Arial Narrow" w:hAnsi="Arial Narrow"/>
                <w:b/>
                <w:bCs/>
                <w:sz w:val="16"/>
                <w:szCs w:val="16"/>
              </w:rPr>
              <w:t>7+</w:t>
            </w:r>
            <w:r w:rsidRPr="008C1502">
              <w:rPr>
                <w:rFonts w:ascii="Arial Narrow" w:hAnsi="Arial Narrow"/>
                <w:b/>
                <w:bCs/>
                <w:sz w:val="16"/>
                <w:szCs w:val="16"/>
              </w:rPr>
              <w:t>8+9+10+11+12+13</w:t>
            </w:r>
            <w:r>
              <w:rPr>
                <w:rFonts w:ascii="Arial Narrow" w:hAnsi="Arial Narrow"/>
                <w:b/>
                <w:bCs/>
                <w:sz w:val="16"/>
                <w:szCs w:val="16"/>
              </w:rPr>
              <w:t>)</w:t>
            </w:r>
          </w:p>
        </w:tc>
        <w:tc>
          <w:tcPr>
            <w:tcW w:w="811" w:type="dxa"/>
            <w:shd w:val="clear" w:color="auto" w:fill="BFBFBF" w:themeFill="background1" w:themeFillShade="BF"/>
            <w:tcMar>
              <w:left w:w="28" w:type="dxa"/>
              <w:right w:w="28" w:type="dxa"/>
            </w:tcMar>
            <w:vAlign w:val="center"/>
            <w:hideMark/>
          </w:tcPr>
          <w:p w:rsidR="00A60977" w:rsidRDefault="00A60977" w:rsidP="00A60977">
            <w:pPr>
              <w:ind w:right="113"/>
              <w:jc w:val="right"/>
              <w:rPr>
                <w:rFonts w:ascii="Arial Narrow" w:hAnsi="Arial Narrow"/>
                <w:b/>
                <w:bCs/>
                <w:sz w:val="16"/>
                <w:szCs w:val="16"/>
              </w:rPr>
            </w:pPr>
            <w:r>
              <w:rPr>
                <w:rFonts w:ascii="Arial Narrow" w:hAnsi="Arial Narrow"/>
                <w:b/>
                <w:bCs/>
                <w:sz w:val="16"/>
                <w:szCs w:val="16"/>
              </w:rPr>
              <w:t>1.104.919</w:t>
            </w:r>
          </w:p>
        </w:tc>
        <w:tc>
          <w:tcPr>
            <w:tcW w:w="753" w:type="dxa"/>
            <w:shd w:val="clear" w:color="auto" w:fill="BFBFBF" w:themeFill="background1" w:themeFillShade="BF"/>
            <w:tcMar>
              <w:left w:w="28" w:type="dxa"/>
              <w:right w:w="28" w:type="dxa"/>
            </w:tcMar>
            <w:vAlign w:val="center"/>
            <w:hideMark/>
          </w:tcPr>
          <w:p w:rsidR="00A60977" w:rsidRDefault="00A60977" w:rsidP="00A60977">
            <w:pPr>
              <w:ind w:right="113"/>
              <w:jc w:val="right"/>
              <w:rPr>
                <w:rFonts w:ascii="Arial Narrow" w:hAnsi="Arial Narrow"/>
                <w:b/>
                <w:bCs/>
                <w:sz w:val="16"/>
                <w:szCs w:val="16"/>
              </w:rPr>
            </w:pPr>
            <w:r>
              <w:rPr>
                <w:rFonts w:ascii="Arial Narrow" w:hAnsi="Arial Narrow"/>
                <w:b/>
                <w:bCs/>
                <w:sz w:val="16"/>
                <w:szCs w:val="16"/>
              </w:rPr>
              <w:t>1.264.523</w:t>
            </w:r>
          </w:p>
        </w:tc>
        <w:tc>
          <w:tcPr>
            <w:tcW w:w="794" w:type="dxa"/>
            <w:shd w:val="clear" w:color="auto" w:fill="BFBFBF" w:themeFill="background1" w:themeFillShade="BF"/>
            <w:tcMar>
              <w:left w:w="28" w:type="dxa"/>
              <w:right w:w="28" w:type="dxa"/>
            </w:tcMar>
            <w:vAlign w:val="center"/>
            <w:hideMark/>
          </w:tcPr>
          <w:p w:rsidR="00A60977" w:rsidRDefault="00A60977" w:rsidP="00A60977">
            <w:pPr>
              <w:ind w:right="113"/>
              <w:jc w:val="right"/>
              <w:rPr>
                <w:rFonts w:ascii="Arial Narrow" w:hAnsi="Arial Narrow"/>
                <w:b/>
                <w:bCs/>
                <w:sz w:val="16"/>
                <w:szCs w:val="16"/>
              </w:rPr>
            </w:pPr>
            <w:r>
              <w:rPr>
                <w:rFonts w:ascii="Arial Narrow" w:hAnsi="Arial Narrow"/>
                <w:b/>
                <w:bCs/>
                <w:sz w:val="16"/>
                <w:szCs w:val="16"/>
              </w:rPr>
              <w:t>740.192</w:t>
            </w:r>
          </w:p>
        </w:tc>
        <w:tc>
          <w:tcPr>
            <w:tcW w:w="691" w:type="dxa"/>
            <w:shd w:val="clear" w:color="auto" w:fill="BFBFBF" w:themeFill="background1" w:themeFillShade="BF"/>
            <w:tcMar>
              <w:left w:w="28" w:type="dxa"/>
              <w:right w:w="28" w:type="dxa"/>
            </w:tcMar>
            <w:vAlign w:val="center"/>
            <w:hideMark/>
          </w:tcPr>
          <w:p w:rsidR="00A60977" w:rsidRDefault="00A60977" w:rsidP="00A60977">
            <w:pPr>
              <w:ind w:right="113"/>
              <w:jc w:val="right"/>
              <w:rPr>
                <w:rFonts w:ascii="Arial Narrow" w:hAnsi="Arial Narrow"/>
                <w:b/>
                <w:bCs/>
                <w:sz w:val="16"/>
                <w:szCs w:val="16"/>
              </w:rPr>
            </w:pPr>
            <w:r>
              <w:rPr>
                <w:rFonts w:ascii="Arial Narrow" w:hAnsi="Arial Narrow"/>
                <w:b/>
                <w:bCs/>
                <w:sz w:val="16"/>
                <w:szCs w:val="16"/>
              </w:rPr>
              <w:t>14,4</w:t>
            </w:r>
          </w:p>
        </w:tc>
        <w:tc>
          <w:tcPr>
            <w:tcW w:w="691" w:type="dxa"/>
            <w:tcBorders>
              <w:right w:val="single" w:sz="4" w:space="0" w:color="auto"/>
            </w:tcBorders>
            <w:shd w:val="clear" w:color="auto" w:fill="BFBFBF" w:themeFill="background1" w:themeFillShade="BF"/>
            <w:tcMar>
              <w:left w:w="28" w:type="dxa"/>
              <w:right w:w="28" w:type="dxa"/>
            </w:tcMar>
            <w:vAlign w:val="center"/>
            <w:hideMark/>
          </w:tcPr>
          <w:p w:rsidR="00A60977" w:rsidRDefault="00A60977" w:rsidP="00A60977">
            <w:pPr>
              <w:ind w:right="113"/>
              <w:jc w:val="right"/>
              <w:rPr>
                <w:rFonts w:ascii="Arial Narrow" w:hAnsi="Arial Narrow"/>
                <w:b/>
                <w:bCs/>
                <w:sz w:val="16"/>
                <w:szCs w:val="16"/>
              </w:rPr>
            </w:pPr>
            <w:r>
              <w:rPr>
                <w:rFonts w:ascii="Arial Narrow" w:hAnsi="Arial Narrow"/>
                <w:b/>
                <w:bCs/>
                <w:sz w:val="16"/>
                <w:szCs w:val="16"/>
              </w:rPr>
              <w:t>-41,5</w:t>
            </w:r>
          </w:p>
        </w:tc>
      </w:tr>
      <w:tr w:rsidR="008C0AB5" w:rsidRPr="008C1502" w:rsidTr="003C4CB4">
        <w:trPr>
          <w:trHeight w:val="227"/>
        </w:trPr>
        <w:tc>
          <w:tcPr>
            <w:tcW w:w="353" w:type="dxa"/>
            <w:tcBorders>
              <w:left w:val="single" w:sz="4" w:space="0" w:color="auto"/>
            </w:tcBorders>
            <w:shd w:val="clear" w:color="auto" w:fill="auto"/>
            <w:tcMar>
              <w:left w:w="28" w:type="dxa"/>
              <w:right w:w="28" w:type="dxa"/>
            </w:tcMar>
            <w:vAlign w:val="center"/>
            <w:hideMark/>
          </w:tcPr>
          <w:p w:rsidR="008C0AB5" w:rsidRPr="008C1502" w:rsidRDefault="008C0AB5" w:rsidP="003C4CB4">
            <w:pPr>
              <w:jc w:val="center"/>
              <w:rPr>
                <w:rFonts w:ascii="Arial Narrow" w:hAnsi="Arial Narrow"/>
                <w:b/>
                <w:bCs/>
                <w:sz w:val="16"/>
                <w:szCs w:val="16"/>
              </w:rPr>
            </w:pPr>
          </w:p>
        </w:tc>
        <w:tc>
          <w:tcPr>
            <w:tcW w:w="4871" w:type="dxa"/>
            <w:gridSpan w:val="2"/>
            <w:shd w:val="clear" w:color="auto" w:fill="auto"/>
            <w:tcMar>
              <w:left w:w="28" w:type="dxa"/>
              <w:right w:w="28" w:type="dxa"/>
            </w:tcMar>
            <w:vAlign w:val="center"/>
            <w:hideMark/>
          </w:tcPr>
          <w:p w:rsidR="008C0AB5" w:rsidRPr="008C1502" w:rsidRDefault="008C0AB5" w:rsidP="003C4CB4">
            <w:pPr>
              <w:jc w:val="center"/>
              <w:rPr>
                <w:rFonts w:ascii="Arial Narrow" w:hAnsi="Arial Narrow"/>
                <w:b/>
                <w:bCs/>
                <w:sz w:val="16"/>
                <w:szCs w:val="16"/>
              </w:rPr>
            </w:pPr>
          </w:p>
        </w:tc>
        <w:tc>
          <w:tcPr>
            <w:tcW w:w="811" w:type="dxa"/>
            <w:shd w:val="clear" w:color="auto" w:fill="auto"/>
            <w:tcMar>
              <w:left w:w="28" w:type="dxa"/>
              <w:right w:w="28" w:type="dxa"/>
            </w:tcMar>
            <w:vAlign w:val="center"/>
            <w:hideMark/>
          </w:tcPr>
          <w:p w:rsidR="008C0AB5" w:rsidRPr="008C1502" w:rsidRDefault="008C0AB5" w:rsidP="003C4CB4">
            <w:pPr>
              <w:ind w:right="113"/>
              <w:jc w:val="right"/>
              <w:rPr>
                <w:rFonts w:ascii="Arial Narrow" w:hAnsi="Arial Narrow"/>
                <w:b/>
                <w:bCs/>
                <w:sz w:val="16"/>
                <w:szCs w:val="16"/>
              </w:rPr>
            </w:pPr>
          </w:p>
        </w:tc>
        <w:tc>
          <w:tcPr>
            <w:tcW w:w="753" w:type="dxa"/>
            <w:shd w:val="clear" w:color="auto" w:fill="auto"/>
            <w:tcMar>
              <w:left w:w="28" w:type="dxa"/>
              <w:right w:w="28" w:type="dxa"/>
            </w:tcMar>
            <w:vAlign w:val="center"/>
            <w:hideMark/>
          </w:tcPr>
          <w:p w:rsidR="008C0AB5" w:rsidRPr="008C1502" w:rsidRDefault="008C0AB5" w:rsidP="003C4CB4">
            <w:pPr>
              <w:ind w:right="113"/>
              <w:jc w:val="right"/>
              <w:rPr>
                <w:rFonts w:ascii="Arial Narrow" w:hAnsi="Arial Narrow"/>
                <w:b/>
                <w:bCs/>
                <w:sz w:val="16"/>
                <w:szCs w:val="16"/>
              </w:rPr>
            </w:pPr>
          </w:p>
        </w:tc>
        <w:tc>
          <w:tcPr>
            <w:tcW w:w="794" w:type="dxa"/>
            <w:shd w:val="clear" w:color="auto" w:fill="auto"/>
            <w:tcMar>
              <w:left w:w="28" w:type="dxa"/>
              <w:right w:w="28" w:type="dxa"/>
            </w:tcMar>
            <w:vAlign w:val="center"/>
            <w:hideMark/>
          </w:tcPr>
          <w:p w:rsidR="008C0AB5" w:rsidRPr="008C1502" w:rsidRDefault="008C0AB5" w:rsidP="003C4CB4">
            <w:pPr>
              <w:ind w:right="113"/>
              <w:jc w:val="right"/>
              <w:rPr>
                <w:rFonts w:ascii="Arial Narrow" w:hAnsi="Arial Narrow"/>
                <w:b/>
                <w:bCs/>
                <w:sz w:val="16"/>
                <w:szCs w:val="16"/>
              </w:rPr>
            </w:pPr>
          </w:p>
        </w:tc>
        <w:tc>
          <w:tcPr>
            <w:tcW w:w="691" w:type="dxa"/>
            <w:shd w:val="clear" w:color="auto" w:fill="auto"/>
            <w:tcMar>
              <w:left w:w="28" w:type="dxa"/>
              <w:right w:w="28" w:type="dxa"/>
            </w:tcMar>
            <w:vAlign w:val="center"/>
            <w:hideMark/>
          </w:tcPr>
          <w:p w:rsidR="008C0AB5" w:rsidRPr="008C1502" w:rsidRDefault="008C0AB5" w:rsidP="003C4CB4">
            <w:pPr>
              <w:ind w:right="113"/>
              <w:jc w:val="right"/>
              <w:rPr>
                <w:rFonts w:ascii="Arial Narrow" w:hAnsi="Arial Narrow"/>
                <w:b/>
                <w:bCs/>
                <w:sz w:val="16"/>
                <w:szCs w:val="16"/>
              </w:rPr>
            </w:pPr>
          </w:p>
        </w:tc>
        <w:tc>
          <w:tcPr>
            <w:tcW w:w="691" w:type="dxa"/>
            <w:tcBorders>
              <w:right w:val="single" w:sz="4" w:space="0" w:color="auto"/>
            </w:tcBorders>
            <w:shd w:val="clear" w:color="auto" w:fill="auto"/>
            <w:tcMar>
              <w:left w:w="28" w:type="dxa"/>
              <w:right w:w="28" w:type="dxa"/>
            </w:tcMar>
            <w:vAlign w:val="center"/>
            <w:hideMark/>
          </w:tcPr>
          <w:p w:rsidR="008C0AB5" w:rsidRPr="008C1502" w:rsidRDefault="008C0AB5" w:rsidP="003C4CB4">
            <w:pPr>
              <w:ind w:right="113"/>
              <w:jc w:val="right"/>
              <w:rPr>
                <w:rFonts w:ascii="Arial Narrow" w:hAnsi="Arial Narrow"/>
                <w:b/>
                <w:bCs/>
                <w:sz w:val="16"/>
                <w:szCs w:val="16"/>
              </w:rPr>
            </w:pPr>
          </w:p>
        </w:tc>
      </w:tr>
      <w:tr w:rsidR="00A60977" w:rsidRPr="00EA7DB5" w:rsidTr="003C4CB4">
        <w:trPr>
          <w:trHeight w:val="227"/>
        </w:trPr>
        <w:tc>
          <w:tcPr>
            <w:tcW w:w="353" w:type="dxa"/>
            <w:tcBorders>
              <w:left w:val="single" w:sz="4" w:space="0" w:color="auto"/>
              <w:bottom w:val="single" w:sz="4" w:space="0" w:color="auto"/>
            </w:tcBorders>
            <w:shd w:val="clear" w:color="auto" w:fill="BFBFBF" w:themeFill="background1" w:themeFillShade="BF"/>
            <w:tcMar>
              <w:left w:w="28" w:type="dxa"/>
              <w:right w:w="28" w:type="dxa"/>
            </w:tcMar>
            <w:vAlign w:val="center"/>
            <w:hideMark/>
          </w:tcPr>
          <w:p w:rsidR="00A60977" w:rsidRPr="008C1502" w:rsidRDefault="00A60977" w:rsidP="003C4CB4">
            <w:pPr>
              <w:spacing w:before="40" w:after="40"/>
              <w:jc w:val="center"/>
              <w:rPr>
                <w:rFonts w:ascii="Arial Narrow" w:hAnsi="Arial Narrow"/>
                <w:b/>
                <w:bCs/>
                <w:sz w:val="16"/>
                <w:szCs w:val="16"/>
              </w:rPr>
            </w:pPr>
            <w:r w:rsidRPr="008C1502">
              <w:rPr>
                <w:rFonts w:ascii="Arial Narrow" w:hAnsi="Arial Narrow"/>
                <w:b/>
                <w:bCs/>
                <w:sz w:val="16"/>
                <w:szCs w:val="16"/>
              </w:rPr>
              <w:t>Γ</w:t>
            </w:r>
          </w:p>
        </w:tc>
        <w:tc>
          <w:tcPr>
            <w:tcW w:w="4871" w:type="dxa"/>
            <w:gridSpan w:val="2"/>
            <w:tcBorders>
              <w:bottom w:val="single" w:sz="4" w:space="0" w:color="auto"/>
            </w:tcBorders>
            <w:shd w:val="clear" w:color="auto" w:fill="BFBFBF" w:themeFill="background1" w:themeFillShade="BF"/>
            <w:tcMar>
              <w:left w:w="28" w:type="dxa"/>
              <w:right w:w="28" w:type="dxa"/>
            </w:tcMar>
            <w:vAlign w:val="center"/>
            <w:hideMark/>
          </w:tcPr>
          <w:p w:rsidR="00A60977" w:rsidRPr="008C1502" w:rsidRDefault="00A60977" w:rsidP="003C4CB4">
            <w:pPr>
              <w:spacing w:before="40" w:after="40"/>
              <w:rPr>
                <w:rFonts w:ascii="Arial Narrow" w:hAnsi="Arial Narrow"/>
                <w:b/>
                <w:bCs/>
                <w:sz w:val="16"/>
                <w:szCs w:val="16"/>
              </w:rPr>
            </w:pPr>
            <w:r w:rsidRPr="008C1502">
              <w:rPr>
                <w:rFonts w:ascii="Arial Narrow" w:hAnsi="Arial Narrow"/>
                <w:b/>
                <w:bCs/>
                <w:sz w:val="16"/>
                <w:szCs w:val="16"/>
              </w:rPr>
              <w:t>ΓΕΝΙΚΟ ΣΥΝΟΛΟ ΕΣΟΔΩΝ (Α+Β)</w:t>
            </w:r>
          </w:p>
        </w:tc>
        <w:tc>
          <w:tcPr>
            <w:tcW w:w="811" w:type="dxa"/>
            <w:tcBorders>
              <w:bottom w:val="single" w:sz="4" w:space="0" w:color="auto"/>
            </w:tcBorders>
            <w:shd w:val="clear" w:color="auto" w:fill="BFBFBF" w:themeFill="background1" w:themeFillShade="BF"/>
            <w:tcMar>
              <w:left w:w="28" w:type="dxa"/>
              <w:right w:w="28" w:type="dxa"/>
            </w:tcMar>
            <w:vAlign w:val="center"/>
            <w:hideMark/>
          </w:tcPr>
          <w:p w:rsidR="00A60977" w:rsidRDefault="00A60977" w:rsidP="00A60977">
            <w:pPr>
              <w:ind w:right="113"/>
              <w:jc w:val="right"/>
              <w:rPr>
                <w:rFonts w:ascii="Arial Narrow" w:hAnsi="Arial Narrow"/>
                <w:b/>
                <w:bCs/>
                <w:sz w:val="16"/>
                <w:szCs w:val="16"/>
              </w:rPr>
            </w:pPr>
            <w:r>
              <w:rPr>
                <w:rFonts w:ascii="Arial Narrow" w:hAnsi="Arial Narrow"/>
                <w:b/>
                <w:bCs/>
                <w:sz w:val="16"/>
                <w:szCs w:val="16"/>
              </w:rPr>
              <w:t>1.160.066</w:t>
            </w:r>
          </w:p>
        </w:tc>
        <w:tc>
          <w:tcPr>
            <w:tcW w:w="753" w:type="dxa"/>
            <w:tcBorders>
              <w:bottom w:val="single" w:sz="4" w:space="0" w:color="auto"/>
            </w:tcBorders>
            <w:shd w:val="clear" w:color="auto" w:fill="BFBFBF" w:themeFill="background1" w:themeFillShade="BF"/>
            <w:tcMar>
              <w:left w:w="28" w:type="dxa"/>
              <w:right w:w="28" w:type="dxa"/>
            </w:tcMar>
            <w:vAlign w:val="center"/>
            <w:hideMark/>
          </w:tcPr>
          <w:p w:rsidR="00A60977" w:rsidRDefault="00A60977" w:rsidP="00A60977">
            <w:pPr>
              <w:ind w:right="113"/>
              <w:jc w:val="right"/>
              <w:rPr>
                <w:rFonts w:ascii="Arial Narrow" w:hAnsi="Arial Narrow"/>
                <w:b/>
                <w:bCs/>
                <w:sz w:val="16"/>
                <w:szCs w:val="16"/>
              </w:rPr>
            </w:pPr>
            <w:r>
              <w:rPr>
                <w:rFonts w:ascii="Arial Narrow" w:hAnsi="Arial Narrow"/>
                <w:b/>
                <w:bCs/>
                <w:sz w:val="16"/>
                <w:szCs w:val="16"/>
              </w:rPr>
              <w:t>1.310.978</w:t>
            </w:r>
          </w:p>
        </w:tc>
        <w:tc>
          <w:tcPr>
            <w:tcW w:w="794" w:type="dxa"/>
            <w:tcBorders>
              <w:bottom w:val="single" w:sz="4" w:space="0" w:color="auto"/>
            </w:tcBorders>
            <w:shd w:val="clear" w:color="auto" w:fill="BFBFBF" w:themeFill="background1" w:themeFillShade="BF"/>
            <w:tcMar>
              <w:left w:w="28" w:type="dxa"/>
              <w:right w:w="28" w:type="dxa"/>
            </w:tcMar>
            <w:vAlign w:val="center"/>
            <w:hideMark/>
          </w:tcPr>
          <w:p w:rsidR="00A60977" w:rsidRDefault="00A60977" w:rsidP="00A60977">
            <w:pPr>
              <w:ind w:right="113"/>
              <w:jc w:val="right"/>
              <w:rPr>
                <w:rFonts w:ascii="Arial Narrow" w:hAnsi="Arial Narrow"/>
                <w:b/>
                <w:bCs/>
                <w:sz w:val="16"/>
                <w:szCs w:val="16"/>
              </w:rPr>
            </w:pPr>
            <w:r>
              <w:rPr>
                <w:rFonts w:ascii="Arial Narrow" w:hAnsi="Arial Narrow"/>
                <w:b/>
                <w:bCs/>
                <w:sz w:val="16"/>
                <w:szCs w:val="16"/>
              </w:rPr>
              <w:t>793.162</w:t>
            </w:r>
          </w:p>
        </w:tc>
        <w:tc>
          <w:tcPr>
            <w:tcW w:w="691" w:type="dxa"/>
            <w:tcBorders>
              <w:bottom w:val="single" w:sz="4" w:space="0" w:color="auto"/>
            </w:tcBorders>
            <w:shd w:val="clear" w:color="auto" w:fill="BFBFBF" w:themeFill="background1" w:themeFillShade="BF"/>
            <w:tcMar>
              <w:left w:w="28" w:type="dxa"/>
              <w:right w:w="28" w:type="dxa"/>
            </w:tcMar>
            <w:vAlign w:val="center"/>
            <w:hideMark/>
          </w:tcPr>
          <w:p w:rsidR="00A60977" w:rsidRDefault="00A60977" w:rsidP="00A60977">
            <w:pPr>
              <w:ind w:right="113"/>
              <w:jc w:val="right"/>
              <w:rPr>
                <w:rFonts w:ascii="Arial Narrow" w:hAnsi="Arial Narrow"/>
                <w:b/>
                <w:bCs/>
                <w:sz w:val="16"/>
                <w:szCs w:val="16"/>
              </w:rPr>
            </w:pPr>
            <w:r>
              <w:rPr>
                <w:rFonts w:ascii="Arial Narrow" w:hAnsi="Arial Narrow"/>
                <w:b/>
                <w:bCs/>
                <w:sz w:val="16"/>
                <w:szCs w:val="16"/>
              </w:rPr>
              <w:t>13,0</w:t>
            </w:r>
          </w:p>
        </w:tc>
        <w:tc>
          <w:tcPr>
            <w:tcW w:w="691" w:type="dxa"/>
            <w:tcBorders>
              <w:bottom w:val="single" w:sz="4" w:space="0" w:color="auto"/>
              <w:right w:val="single" w:sz="4" w:space="0" w:color="auto"/>
            </w:tcBorders>
            <w:shd w:val="clear" w:color="auto" w:fill="BFBFBF" w:themeFill="background1" w:themeFillShade="BF"/>
            <w:tcMar>
              <w:left w:w="28" w:type="dxa"/>
              <w:right w:w="28" w:type="dxa"/>
            </w:tcMar>
            <w:vAlign w:val="center"/>
            <w:hideMark/>
          </w:tcPr>
          <w:p w:rsidR="00A60977" w:rsidRDefault="00A60977" w:rsidP="00A60977">
            <w:pPr>
              <w:ind w:right="113"/>
              <w:jc w:val="right"/>
              <w:rPr>
                <w:rFonts w:ascii="Arial Narrow" w:hAnsi="Arial Narrow"/>
                <w:b/>
                <w:bCs/>
                <w:sz w:val="16"/>
                <w:szCs w:val="16"/>
              </w:rPr>
            </w:pPr>
            <w:r>
              <w:rPr>
                <w:rFonts w:ascii="Arial Narrow" w:hAnsi="Arial Narrow"/>
                <w:b/>
                <w:bCs/>
                <w:sz w:val="16"/>
                <w:szCs w:val="16"/>
              </w:rPr>
              <w:t>-39,5</w:t>
            </w:r>
          </w:p>
        </w:tc>
      </w:tr>
    </w:tbl>
    <w:p w:rsidR="0069738C" w:rsidRDefault="0069738C">
      <w:pPr>
        <w:rPr>
          <w:sz w:val="22"/>
          <w:szCs w:val="22"/>
        </w:rPr>
      </w:pPr>
    </w:p>
    <w:p w:rsidR="00333D56" w:rsidRDefault="00333D56">
      <w:pPr>
        <w:rPr>
          <w:sz w:val="22"/>
          <w:szCs w:val="22"/>
        </w:rPr>
      </w:pPr>
    </w:p>
    <w:p w:rsidR="00333D56" w:rsidRDefault="00333D56">
      <w:pPr>
        <w:rPr>
          <w:sz w:val="22"/>
          <w:szCs w:val="22"/>
        </w:rPr>
      </w:pPr>
    </w:p>
    <w:p w:rsidR="00E47E3B" w:rsidRPr="00D16A56" w:rsidRDefault="00E47E3B" w:rsidP="00E47E3B">
      <w:pPr>
        <w:rPr>
          <w:sz w:val="22"/>
          <w:szCs w:val="22"/>
        </w:rPr>
      </w:pPr>
    </w:p>
    <w:tbl>
      <w:tblPr>
        <w:tblW w:w="9356" w:type="dxa"/>
        <w:tblInd w:w="101" w:type="dxa"/>
        <w:tblLook w:val="04A0"/>
      </w:tblPr>
      <w:tblGrid>
        <w:gridCol w:w="353"/>
        <w:gridCol w:w="992"/>
        <w:gridCol w:w="647"/>
        <w:gridCol w:w="2755"/>
        <w:gridCol w:w="1041"/>
        <w:gridCol w:w="993"/>
        <w:gridCol w:w="1027"/>
        <w:gridCol w:w="815"/>
        <w:gridCol w:w="733"/>
      </w:tblGrid>
      <w:tr w:rsidR="00E47E3B" w:rsidRPr="00C73F31" w:rsidTr="0069738C">
        <w:trPr>
          <w:trHeight w:val="870"/>
        </w:trPr>
        <w:tc>
          <w:tcPr>
            <w:tcW w:w="9356" w:type="dxa"/>
            <w:gridSpan w:val="9"/>
            <w:tcBorders>
              <w:top w:val="single" w:sz="4" w:space="0" w:color="auto"/>
              <w:left w:val="single" w:sz="4" w:space="0" w:color="auto"/>
              <w:bottom w:val="single" w:sz="4" w:space="0" w:color="auto"/>
              <w:right w:val="nil"/>
            </w:tcBorders>
            <w:shd w:val="clear" w:color="auto" w:fill="404040" w:themeFill="text1" w:themeFillTint="BF"/>
            <w:tcMar>
              <w:left w:w="28" w:type="dxa"/>
              <w:right w:w="28" w:type="dxa"/>
            </w:tcMar>
            <w:vAlign w:val="center"/>
            <w:hideMark/>
          </w:tcPr>
          <w:p w:rsidR="00E47E3B" w:rsidRPr="00C73F31" w:rsidRDefault="00E47E3B" w:rsidP="0069738C">
            <w:pPr>
              <w:jc w:val="center"/>
              <w:rPr>
                <w:rFonts w:ascii="Arial Narrow" w:hAnsi="Arial Narrow"/>
                <w:color w:val="FFFFFF" w:themeColor="background1"/>
              </w:rPr>
            </w:pPr>
            <w:r w:rsidRPr="00C73F31">
              <w:rPr>
                <w:rFonts w:ascii="Arial Narrow" w:hAnsi="Arial Narrow"/>
                <w:b/>
                <w:bCs/>
                <w:color w:val="FFFFFF" w:themeColor="background1"/>
              </w:rPr>
              <w:t xml:space="preserve">Πίνακας </w:t>
            </w:r>
            <w:r>
              <w:rPr>
                <w:rFonts w:ascii="Arial Narrow" w:hAnsi="Arial Narrow"/>
                <w:b/>
                <w:bCs/>
                <w:color w:val="FFFFFF" w:themeColor="background1"/>
              </w:rPr>
              <w:t>3.5</w:t>
            </w:r>
            <w:r w:rsidRPr="00C73F31">
              <w:rPr>
                <w:rFonts w:ascii="Arial Narrow" w:hAnsi="Arial Narrow"/>
                <w:b/>
                <w:bCs/>
                <w:color w:val="FFFFFF" w:themeColor="background1"/>
              </w:rPr>
              <w:t xml:space="preserve"> Δαπάνες Κρατικού Προϋπολογισμού κατά μείζονα κατηγορία</w:t>
            </w:r>
            <w:r>
              <w:rPr>
                <w:rFonts w:ascii="Arial Narrow" w:hAnsi="Arial Narrow"/>
                <w:b/>
                <w:bCs/>
                <w:color w:val="FFFFFF" w:themeColor="background1"/>
              </w:rPr>
              <w:t xml:space="preserve"> σε ταμειακή βάση</w:t>
            </w:r>
            <w:r w:rsidRPr="00C73F31">
              <w:rPr>
                <w:rFonts w:ascii="Arial Narrow" w:hAnsi="Arial Narrow"/>
                <w:b/>
                <w:bCs/>
                <w:color w:val="FFFFFF" w:themeColor="background1"/>
              </w:rPr>
              <w:t xml:space="preserve"> </w:t>
            </w:r>
            <w:r w:rsidRPr="00C73F31">
              <w:rPr>
                <w:rFonts w:ascii="Arial Narrow" w:hAnsi="Arial Narrow"/>
                <w:b/>
                <w:bCs/>
                <w:color w:val="FFFFFF" w:themeColor="background1"/>
              </w:rPr>
              <w:br/>
            </w:r>
            <w:r w:rsidRPr="00C73F31">
              <w:rPr>
                <w:rFonts w:ascii="Arial Narrow" w:hAnsi="Arial Narrow"/>
                <w:b/>
                <w:iCs/>
                <w:color w:val="FFFFFF" w:themeColor="background1"/>
                <w:szCs w:val="22"/>
              </w:rPr>
              <w:t>(σε εκατ. ευρώ)</w:t>
            </w:r>
          </w:p>
        </w:tc>
      </w:tr>
      <w:tr w:rsidR="00E47E3B" w:rsidRPr="00C73F31" w:rsidTr="0069738C">
        <w:trPr>
          <w:trHeight w:val="170"/>
        </w:trPr>
        <w:tc>
          <w:tcPr>
            <w:tcW w:w="9356" w:type="dxa"/>
            <w:gridSpan w:val="9"/>
            <w:tcBorders>
              <w:top w:val="single" w:sz="4" w:space="0" w:color="auto"/>
              <w:left w:val="single" w:sz="4" w:space="0" w:color="auto"/>
              <w:bottom w:val="single" w:sz="4" w:space="0" w:color="auto"/>
              <w:right w:val="nil"/>
            </w:tcBorders>
            <w:shd w:val="clear" w:color="auto" w:fill="auto"/>
            <w:tcMar>
              <w:left w:w="28" w:type="dxa"/>
              <w:right w:w="28" w:type="dxa"/>
            </w:tcMar>
            <w:vAlign w:val="center"/>
            <w:hideMark/>
          </w:tcPr>
          <w:p w:rsidR="00E47E3B" w:rsidRPr="00C73F31" w:rsidRDefault="00E47E3B" w:rsidP="0069738C">
            <w:pPr>
              <w:jc w:val="center"/>
              <w:rPr>
                <w:rFonts w:ascii="Arial Narrow" w:hAnsi="Arial Narrow"/>
                <w:b/>
                <w:bCs/>
                <w:sz w:val="16"/>
              </w:rPr>
            </w:pPr>
          </w:p>
        </w:tc>
      </w:tr>
      <w:tr w:rsidR="00E47E3B" w:rsidRPr="00C73F31" w:rsidTr="0069738C">
        <w:trPr>
          <w:trHeight w:val="276"/>
        </w:trPr>
        <w:tc>
          <w:tcPr>
            <w:tcW w:w="353"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47E3B" w:rsidRPr="00C73F31" w:rsidRDefault="00E47E3B" w:rsidP="0069738C">
            <w:pPr>
              <w:jc w:val="center"/>
              <w:rPr>
                <w:rFonts w:ascii="Arial Narrow" w:hAnsi="Arial Narrow"/>
                <w:b/>
                <w:bCs/>
                <w:sz w:val="16"/>
                <w:szCs w:val="16"/>
              </w:rPr>
            </w:pPr>
            <w:r w:rsidRPr="00C73F31">
              <w:rPr>
                <w:rFonts w:ascii="Arial Narrow" w:hAnsi="Arial Narrow"/>
                <w:b/>
                <w:bCs/>
                <w:sz w:val="16"/>
                <w:szCs w:val="16"/>
              </w:rPr>
              <w:t>α/α</w:t>
            </w:r>
          </w:p>
        </w:tc>
        <w:tc>
          <w:tcPr>
            <w:tcW w:w="992"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47E3B" w:rsidRPr="00C73F31" w:rsidRDefault="00E47E3B" w:rsidP="0069738C">
            <w:pPr>
              <w:jc w:val="center"/>
              <w:rPr>
                <w:rFonts w:ascii="Arial Narrow" w:hAnsi="Arial Narrow"/>
                <w:b/>
                <w:bCs/>
                <w:sz w:val="16"/>
                <w:szCs w:val="16"/>
              </w:rPr>
            </w:pPr>
            <w:r w:rsidRPr="00C73F31">
              <w:rPr>
                <w:rFonts w:ascii="Arial Narrow" w:hAnsi="Arial Narrow"/>
                <w:b/>
                <w:bCs/>
                <w:sz w:val="16"/>
                <w:szCs w:val="16"/>
              </w:rPr>
              <w:t>Μείζονες</w:t>
            </w:r>
          </w:p>
          <w:p w:rsidR="00E47E3B" w:rsidRPr="00C73F31" w:rsidRDefault="00E47E3B" w:rsidP="0069738C">
            <w:pPr>
              <w:jc w:val="center"/>
              <w:rPr>
                <w:rFonts w:ascii="Arial Narrow" w:hAnsi="Arial Narrow"/>
                <w:b/>
                <w:bCs/>
                <w:sz w:val="16"/>
                <w:szCs w:val="16"/>
              </w:rPr>
            </w:pPr>
            <w:r w:rsidRPr="00C73F31">
              <w:rPr>
                <w:rFonts w:ascii="Arial Narrow" w:hAnsi="Arial Narrow"/>
                <w:b/>
                <w:bCs/>
                <w:sz w:val="16"/>
                <w:szCs w:val="16"/>
              </w:rPr>
              <w:t>Κατηγορίες</w:t>
            </w:r>
          </w:p>
        </w:tc>
        <w:tc>
          <w:tcPr>
            <w:tcW w:w="3402" w:type="dxa"/>
            <w:gridSpan w:val="2"/>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47E3B" w:rsidRPr="00C73F31" w:rsidRDefault="00E47E3B" w:rsidP="0069738C">
            <w:pPr>
              <w:jc w:val="center"/>
              <w:rPr>
                <w:rFonts w:ascii="Arial Narrow" w:hAnsi="Arial Narrow"/>
                <w:b/>
                <w:bCs/>
                <w:sz w:val="16"/>
                <w:szCs w:val="16"/>
              </w:rPr>
            </w:pPr>
            <w:r w:rsidRPr="00C73F31">
              <w:rPr>
                <w:rFonts w:ascii="Arial Narrow" w:hAnsi="Arial Narrow"/>
                <w:b/>
                <w:bCs/>
                <w:sz w:val="16"/>
                <w:szCs w:val="16"/>
              </w:rPr>
              <w:t>Περιγραφή</w:t>
            </w:r>
          </w:p>
        </w:tc>
        <w:tc>
          <w:tcPr>
            <w:tcW w:w="104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7E3B" w:rsidRPr="00C73F31" w:rsidRDefault="00E47E3B" w:rsidP="0069738C">
            <w:pPr>
              <w:jc w:val="center"/>
              <w:rPr>
                <w:rFonts w:ascii="Arial Narrow" w:hAnsi="Arial Narrow"/>
                <w:b/>
                <w:bCs/>
                <w:sz w:val="16"/>
                <w:szCs w:val="16"/>
              </w:rPr>
            </w:pPr>
            <w:r w:rsidRPr="00C73F31">
              <w:rPr>
                <w:rFonts w:ascii="Arial Narrow" w:hAnsi="Arial Narrow"/>
                <w:b/>
                <w:bCs/>
                <w:sz w:val="16"/>
                <w:szCs w:val="16"/>
              </w:rPr>
              <w:t>201</w:t>
            </w:r>
            <w:r>
              <w:rPr>
                <w:rFonts w:ascii="Arial Narrow" w:hAnsi="Arial Narrow"/>
                <w:b/>
                <w:bCs/>
                <w:sz w:val="16"/>
                <w:szCs w:val="16"/>
              </w:rPr>
              <w:t>9</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7E3B" w:rsidRPr="00C73F31" w:rsidRDefault="00E47E3B" w:rsidP="0069738C">
            <w:pPr>
              <w:jc w:val="center"/>
              <w:rPr>
                <w:rFonts w:ascii="Arial Narrow" w:hAnsi="Arial Narrow"/>
                <w:b/>
                <w:bCs/>
                <w:sz w:val="16"/>
                <w:szCs w:val="16"/>
              </w:rPr>
            </w:pPr>
            <w:r w:rsidRPr="00C73F31">
              <w:rPr>
                <w:rFonts w:ascii="Arial Narrow" w:hAnsi="Arial Narrow"/>
                <w:b/>
                <w:bCs/>
                <w:sz w:val="16"/>
                <w:szCs w:val="16"/>
              </w:rPr>
              <w:t>20</w:t>
            </w:r>
            <w:r>
              <w:rPr>
                <w:rFonts w:ascii="Arial Narrow" w:hAnsi="Arial Narrow"/>
                <w:b/>
                <w:bCs/>
                <w:sz w:val="16"/>
                <w:szCs w:val="16"/>
              </w:rPr>
              <w:t>20</w:t>
            </w:r>
          </w:p>
        </w:tc>
        <w:tc>
          <w:tcPr>
            <w:tcW w:w="102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7E3B" w:rsidRPr="00C73F31" w:rsidRDefault="00E47E3B" w:rsidP="0069738C">
            <w:pPr>
              <w:jc w:val="center"/>
              <w:rPr>
                <w:rFonts w:ascii="Arial Narrow" w:hAnsi="Arial Narrow"/>
                <w:b/>
                <w:bCs/>
                <w:sz w:val="16"/>
                <w:szCs w:val="16"/>
              </w:rPr>
            </w:pPr>
            <w:r>
              <w:rPr>
                <w:rFonts w:ascii="Arial Narrow" w:hAnsi="Arial Narrow"/>
                <w:b/>
                <w:bCs/>
                <w:sz w:val="16"/>
                <w:szCs w:val="16"/>
              </w:rPr>
              <w:t>2021</w:t>
            </w:r>
          </w:p>
        </w:tc>
        <w:tc>
          <w:tcPr>
            <w:tcW w:w="154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47E3B" w:rsidRPr="00C73F31" w:rsidRDefault="00E47E3B" w:rsidP="0069738C">
            <w:pPr>
              <w:jc w:val="center"/>
              <w:rPr>
                <w:rFonts w:ascii="Arial Narrow" w:hAnsi="Arial Narrow"/>
                <w:b/>
                <w:bCs/>
                <w:sz w:val="16"/>
                <w:szCs w:val="16"/>
              </w:rPr>
            </w:pPr>
            <w:r w:rsidRPr="00C73F31">
              <w:rPr>
                <w:rFonts w:ascii="Arial Narrow" w:hAnsi="Arial Narrow"/>
                <w:b/>
                <w:bCs/>
                <w:sz w:val="16"/>
                <w:szCs w:val="16"/>
              </w:rPr>
              <w:t>Μεταβολή %</w:t>
            </w:r>
          </w:p>
        </w:tc>
      </w:tr>
      <w:tr w:rsidR="00E47E3B" w:rsidRPr="00C73F31" w:rsidTr="0069738C">
        <w:trPr>
          <w:trHeight w:val="408"/>
        </w:trPr>
        <w:tc>
          <w:tcPr>
            <w:tcW w:w="353" w:type="dxa"/>
            <w:vMerge/>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47E3B" w:rsidRPr="00C73F31" w:rsidRDefault="00E47E3B" w:rsidP="0069738C">
            <w:pPr>
              <w:rPr>
                <w:rFonts w:ascii="Arial Narrow" w:hAnsi="Arial Narrow"/>
                <w:b/>
                <w:bCs/>
                <w:sz w:val="16"/>
                <w:szCs w:val="16"/>
              </w:rPr>
            </w:pPr>
          </w:p>
        </w:tc>
        <w:tc>
          <w:tcPr>
            <w:tcW w:w="992" w:type="dxa"/>
            <w:vMerge/>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47E3B" w:rsidRPr="00C73F31" w:rsidRDefault="00E47E3B" w:rsidP="0069738C">
            <w:pPr>
              <w:rPr>
                <w:rFonts w:ascii="Arial Narrow" w:hAnsi="Arial Narrow"/>
                <w:b/>
                <w:bCs/>
                <w:sz w:val="16"/>
                <w:szCs w:val="16"/>
              </w:rPr>
            </w:pPr>
          </w:p>
        </w:tc>
        <w:tc>
          <w:tcPr>
            <w:tcW w:w="3402" w:type="dxa"/>
            <w:gridSpan w:val="2"/>
            <w:vMerge/>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47E3B" w:rsidRPr="00C73F31" w:rsidRDefault="00E47E3B" w:rsidP="0069738C">
            <w:pPr>
              <w:rPr>
                <w:rFonts w:ascii="Arial Narrow" w:hAnsi="Arial Narrow"/>
                <w:b/>
                <w:bCs/>
                <w:sz w:val="16"/>
                <w:szCs w:val="16"/>
              </w:rPr>
            </w:pPr>
          </w:p>
        </w:tc>
        <w:tc>
          <w:tcPr>
            <w:tcW w:w="10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47E3B" w:rsidRPr="00C73F31" w:rsidRDefault="00E47E3B" w:rsidP="0069738C">
            <w:pPr>
              <w:jc w:val="center"/>
              <w:rPr>
                <w:rFonts w:ascii="Arial Narrow" w:hAnsi="Arial Narrow"/>
                <w:b/>
                <w:bCs/>
                <w:sz w:val="16"/>
                <w:szCs w:val="16"/>
              </w:rPr>
            </w:pPr>
            <w:r w:rsidRPr="00C73F31">
              <w:rPr>
                <w:rFonts w:ascii="Arial Narrow" w:hAnsi="Arial Narrow"/>
                <w:b/>
                <w:bCs/>
                <w:sz w:val="16"/>
                <w:szCs w:val="16"/>
              </w:rPr>
              <w:t>Πραγματο-</w:t>
            </w:r>
            <w:r w:rsidRPr="00C73F31">
              <w:rPr>
                <w:rFonts w:ascii="Arial Narrow" w:hAnsi="Arial Narrow"/>
                <w:b/>
                <w:bCs/>
                <w:sz w:val="16"/>
                <w:szCs w:val="16"/>
              </w:rPr>
              <w:br/>
              <w:t>ποιήσεις</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7E3B" w:rsidRPr="00C73F31" w:rsidRDefault="00E47E3B" w:rsidP="0069738C">
            <w:pPr>
              <w:jc w:val="center"/>
              <w:rPr>
                <w:rFonts w:ascii="Arial Narrow" w:hAnsi="Arial Narrow"/>
                <w:b/>
                <w:bCs/>
                <w:sz w:val="16"/>
                <w:szCs w:val="16"/>
              </w:rPr>
            </w:pPr>
            <w:r w:rsidRPr="00C73F31">
              <w:rPr>
                <w:rFonts w:ascii="Arial Narrow" w:hAnsi="Arial Narrow"/>
                <w:b/>
                <w:bCs/>
                <w:sz w:val="16"/>
                <w:szCs w:val="16"/>
              </w:rPr>
              <w:t>Εκτιμήσεις</w:t>
            </w:r>
          </w:p>
        </w:tc>
        <w:tc>
          <w:tcPr>
            <w:tcW w:w="102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7E3B" w:rsidRPr="00C73F31" w:rsidRDefault="00E47E3B" w:rsidP="0069738C">
            <w:pPr>
              <w:jc w:val="center"/>
              <w:rPr>
                <w:rFonts w:ascii="Arial Narrow" w:hAnsi="Arial Narrow"/>
                <w:b/>
                <w:bCs/>
                <w:sz w:val="16"/>
                <w:szCs w:val="16"/>
              </w:rPr>
            </w:pPr>
            <w:r w:rsidRPr="00C73F31">
              <w:rPr>
                <w:rFonts w:ascii="Arial Narrow" w:hAnsi="Arial Narrow"/>
                <w:b/>
                <w:bCs/>
                <w:sz w:val="16"/>
                <w:szCs w:val="16"/>
              </w:rPr>
              <w:t>Προβλέψεις</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7E3B" w:rsidRPr="00C73F31" w:rsidRDefault="00E47E3B" w:rsidP="0069738C">
            <w:pPr>
              <w:jc w:val="center"/>
              <w:rPr>
                <w:rFonts w:ascii="Arial Narrow" w:hAnsi="Arial Narrow"/>
                <w:b/>
                <w:bCs/>
                <w:sz w:val="16"/>
                <w:szCs w:val="16"/>
              </w:rPr>
            </w:pPr>
            <w:r w:rsidRPr="00C73F31">
              <w:rPr>
                <w:rFonts w:ascii="Arial Narrow" w:hAnsi="Arial Narrow"/>
                <w:b/>
                <w:bCs/>
                <w:sz w:val="16"/>
                <w:szCs w:val="16"/>
              </w:rPr>
              <w:t>20</w:t>
            </w:r>
            <w:r>
              <w:rPr>
                <w:rFonts w:ascii="Arial Narrow" w:hAnsi="Arial Narrow"/>
                <w:b/>
                <w:bCs/>
                <w:sz w:val="16"/>
                <w:szCs w:val="16"/>
              </w:rPr>
              <w:t>20/19</w:t>
            </w:r>
          </w:p>
        </w:tc>
        <w:tc>
          <w:tcPr>
            <w:tcW w:w="73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47E3B" w:rsidRPr="00C73F31" w:rsidRDefault="00E47E3B" w:rsidP="0069738C">
            <w:pPr>
              <w:jc w:val="center"/>
              <w:rPr>
                <w:rFonts w:ascii="Arial Narrow" w:hAnsi="Arial Narrow"/>
                <w:b/>
                <w:bCs/>
                <w:sz w:val="16"/>
                <w:szCs w:val="16"/>
              </w:rPr>
            </w:pPr>
            <w:r>
              <w:rPr>
                <w:rFonts w:ascii="Arial Narrow" w:hAnsi="Arial Narrow"/>
                <w:b/>
                <w:bCs/>
                <w:sz w:val="16"/>
                <w:szCs w:val="16"/>
              </w:rPr>
              <w:t>2021</w:t>
            </w:r>
            <w:r w:rsidRPr="00C73F31">
              <w:rPr>
                <w:rFonts w:ascii="Arial Narrow" w:hAnsi="Arial Narrow"/>
                <w:b/>
                <w:bCs/>
                <w:sz w:val="16"/>
                <w:szCs w:val="16"/>
              </w:rPr>
              <w:t>/</w:t>
            </w:r>
            <w:r>
              <w:rPr>
                <w:rFonts w:ascii="Arial Narrow" w:hAnsi="Arial Narrow"/>
                <w:b/>
                <w:bCs/>
                <w:sz w:val="16"/>
                <w:szCs w:val="16"/>
              </w:rPr>
              <w:t>20</w:t>
            </w:r>
          </w:p>
        </w:tc>
      </w:tr>
      <w:tr w:rsidR="00E47E3B" w:rsidRPr="00C73F31" w:rsidTr="0069738C">
        <w:trPr>
          <w:trHeight w:val="170"/>
        </w:trPr>
        <w:tc>
          <w:tcPr>
            <w:tcW w:w="353" w:type="dxa"/>
            <w:tcBorders>
              <w:top w:val="single" w:sz="4" w:space="0" w:color="auto"/>
              <w:left w:val="single" w:sz="4" w:space="0" w:color="auto"/>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sz w:val="16"/>
                <w:szCs w:val="16"/>
              </w:rPr>
            </w:pPr>
            <w:r w:rsidRPr="00C73F31">
              <w:rPr>
                <w:rFonts w:ascii="Arial Narrow" w:hAnsi="Arial Narrow"/>
                <w:sz w:val="16"/>
                <w:szCs w:val="16"/>
              </w:rPr>
              <w:t>1</w:t>
            </w:r>
          </w:p>
        </w:tc>
        <w:tc>
          <w:tcPr>
            <w:tcW w:w="992" w:type="dxa"/>
            <w:tcBorders>
              <w:top w:val="single" w:sz="4" w:space="0" w:color="auto"/>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sz w:val="16"/>
                <w:szCs w:val="16"/>
              </w:rPr>
            </w:pPr>
            <w:r w:rsidRPr="00C73F31">
              <w:rPr>
                <w:rFonts w:ascii="Arial Narrow" w:hAnsi="Arial Narrow"/>
                <w:sz w:val="16"/>
                <w:szCs w:val="16"/>
              </w:rPr>
              <w:t>21</w:t>
            </w:r>
          </w:p>
        </w:tc>
        <w:tc>
          <w:tcPr>
            <w:tcW w:w="3402" w:type="dxa"/>
            <w:gridSpan w:val="2"/>
            <w:tcBorders>
              <w:top w:val="single" w:sz="4" w:space="0" w:color="auto"/>
              <w:bottom w:val="nil"/>
            </w:tcBorders>
            <w:shd w:val="clear" w:color="auto" w:fill="auto"/>
            <w:tcMar>
              <w:left w:w="28" w:type="dxa"/>
              <w:right w:w="28" w:type="dxa"/>
            </w:tcMar>
            <w:vAlign w:val="bottom"/>
            <w:hideMark/>
          </w:tcPr>
          <w:p w:rsidR="00E47E3B" w:rsidRPr="00C73F31" w:rsidRDefault="00E47E3B" w:rsidP="0069738C">
            <w:pPr>
              <w:rPr>
                <w:rFonts w:ascii="Arial Narrow" w:hAnsi="Arial Narrow"/>
                <w:sz w:val="16"/>
                <w:szCs w:val="16"/>
              </w:rPr>
            </w:pPr>
            <w:r w:rsidRPr="00C73F31">
              <w:rPr>
                <w:rFonts w:ascii="Arial Narrow" w:hAnsi="Arial Narrow"/>
                <w:sz w:val="16"/>
                <w:szCs w:val="16"/>
              </w:rPr>
              <w:t xml:space="preserve">Παροχές σε εργαζομένους </w:t>
            </w:r>
          </w:p>
        </w:tc>
        <w:tc>
          <w:tcPr>
            <w:tcW w:w="1041" w:type="dxa"/>
            <w:tcBorders>
              <w:top w:val="single" w:sz="4" w:space="0" w:color="auto"/>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13.248</w:t>
            </w:r>
          </w:p>
        </w:tc>
        <w:tc>
          <w:tcPr>
            <w:tcW w:w="993" w:type="dxa"/>
            <w:tcBorders>
              <w:top w:val="single" w:sz="4" w:space="0" w:color="auto"/>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13.415</w:t>
            </w:r>
          </w:p>
        </w:tc>
        <w:tc>
          <w:tcPr>
            <w:tcW w:w="1027" w:type="dxa"/>
            <w:tcBorders>
              <w:top w:val="single" w:sz="4" w:space="0" w:color="auto"/>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13.544</w:t>
            </w:r>
          </w:p>
        </w:tc>
        <w:tc>
          <w:tcPr>
            <w:tcW w:w="815" w:type="dxa"/>
            <w:tcBorders>
              <w:top w:val="single" w:sz="4" w:space="0" w:color="auto"/>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1,3</w:t>
            </w:r>
          </w:p>
        </w:tc>
        <w:tc>
          <w:tcPr>
            <w:tcW w:w="733" w:type="dxa"/>
            <w:tcBorders>
              <w:top w:val="single" w:sz="4" w:space="0" w:color="auto"/>
              <w:bottom w:val="nil"/>
              <w:right w:val="single" w:sz="4" w:space="0" w:color="auto"/>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1,0</w:t>
            </w:r>
          </w:p>
        </w:tc>
      </w:tr>
      <w:tr w:rsidR="00E47E3B" w:rsidRPr="00C73F31" w:rsidTr="0069738C">
        <w:trPr>
          <w:trHeight w:val="170"/>
        </w:trPr>
        <w:tc>
          <w:tcPr>
            <w:tcW w:w="353" w:type="dxa"/>
            <w:tcBorders>
              <w:top w:val="nil"/>
              <w:left w:val="single" w:sz="4" w:space="0" w:color="auto"/>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sz w:val="16"/>
                <w:szCs w:val="16"/>
              </w:rPr>
            </w:pPr>
            <w:r w:rsidRPr="00C73F31">
              <w:rPr>
                <w:rFonts w:ascii="Arial Narrow" w:hAnsi="Arial Narrow"/>
                <w:sz w:val="16"/>
                <w:szCs w:val="16"/>
              </w:rPr>
              <w:t>2</w:t>
            </w:r>
          </w:p>
        </w:tc>
        <w:tc>
          <w:tcPr>
            <w:tcW w:w="992" w:type="dxa"/>
            <w:tcBorders>
              <w:top w:val="nil"/>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sz w:val="16"/>
                <w:szCs w:val="16"/>
              </w:rPr>
            </w:pPr>
            <w:r w:rsidRPr="00C73F31">
              <w:rPr>
                <w:rFonts w:ascii="Arial Narrow" w:hAnsi="Arial Narrow"/>
                <w:sz w:val="16"/>
                <w:szCs w:val="16"/>
              </w:rPr>
              <w:t>22</w:t>
            </w:r>
          </w:p>
        </w:tc>
        <w:tc>
          <w:tcPr>
            <w:tcW w:w="3402" w:type="dxa"/>
            <w:gridSpan w:val="2"/>
            <w:tcBorders>
              <w:top w:val="nil"/>
              <w:bottom w:val="nil"/>
            </w:tcBorders>
            <w:shd w:val="clear" w:color="auto" w:fill="auto"/>
            <w:tcMar>
              <w:left w:w="28" w:type="dxa"/>
              <w:right w:w="28" w:type="dxa"/>
            </w:tcMar>
            <w:vAlign w:val="bottom"/>
            <w:hideMark/>
          </w:tcPr>
          <w:p w:rsidR="00E47E3B" w:rsidRPr="00C73F31" w:rsidRDefault="00E47E3B" w:rsidP="0069738C">
            <w:pPr>
              <w:rPr>
                <w:rFonts w:ascii="Arial Narrow" w:hAnsi="Arial Narrow"/>
                <w:sz w:val="16"/>
                <w:szCs w:val="16"/>
              </w:rPr>
            </w:pPr>
            <w:r w:rsidRPr="00C73F31">
              <w:rPr>
                <w:rFonts w:ascii="Arial Narrow" w:hAnsi="Arial Narrow"/>
                <w:sz w:val="16"/>
                <w:szCs w:val="16"/>
              </w:rPr>
              <w:t>Κοινωνικές παροχές</w:t>
            </w:r>
          </w:p>
        </w:tc>
        <w:tc>
          <w:tcPr>
            <w:tcW w:w="1041"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653</w:t>
            </w:r>
          </w:p>
        </w:tc>
        <w:tc>
          <w:tcPr>
            <w:tcW w:w="993"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241</w:t>
            </w:r>
          </w:p>
        </w:tc>
        <w:tc>
          <w:tcPr>
            <w:tcW w:w="1027"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199</w:t>
            </w:r>
          </w:p>
        </w:tc>
        <w:tc>
          <w:tcPr>
            <w:tcW w:w="815"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-63,0</w:t>
            </w:r>
          </w:p>
        </w:tc>
        <w:tc>
          <w:tcPr>
            <w:tcW w:w="733" w:type="dxa"/>
            <w:tcBorders>
              <w:top w:val="nil"/>
              <w:bottom w:val="nil"/>
              <w:right w:val="single" w:sz="4" w:space="0" w:color="auto"/>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-17,6</w:t>
            </w:r>
          </w:p>
        </w:tc>
      </w:tr>
      <w:tr w:rsidR="00E47E3B" w:rsidRPr="00C73F31" w:rsidTr="0069738C">
        <w:trPr>
          <w:trHeight w:val="170"/>
        </w:trPr>
        <w:tc>
          <w:tcPr>
            <w:tcW w:w="353" w:type="dxa"/>
            <w:tcBorders>
              <w:top w:val="nil"/>
              <w:left w:val="single" w:sz="4" w:space="0" w:color="auto"/>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sz w:val="16"/>
                <w:szCs w:val="16"/>
              </w:rPr>
            </w:pPr>
            <w:r w:rsidRPr="00C73F31">
              <w:rPr>
                <w:rFonts w:ascii="Arial Narrow" w:hAnsi="Arial Narrow"/>
                <w:sz w:val="16"/>
                <w:szCs w:val="16"/>
              </w:rPr>
              <w:t>3</w:t>
            </w:r>
          </w:p>
        </w:tc>
        <w:tc>
          <w:tcPr>
            <w:tcW w:w="992" w:type="dxa"/>
            <w:tcBorders>
              <w:top w:val="nil"/>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sz w:val="16"/>
                <w:szCs w:val="16"/>
              </w:rPr>
            </w:pPr>
            <w:r w:rsidRPr="00C73F31">
              <w:rPr>
                <w:rFonts w:ascii="Arial Narrow" w:hAnsi="Arial Narrow"/>
                <w:sz w:val="16"/>
                <w:szCs w:val="16"/>
              </w:rPr>
              <w:t>23</w:t>
            </w:r>
          </w:p>
        </w:tc>
        <w:tc>
          <w:tcPr>
            <w:tcW w:w="3402" w:type="dxa"/>
            <w:gridSpan w:val="2"/>
            <w:tcBorders>
              <w:top w:val="nil"/>
              <w:bottom w:val="nil"/>
            </w:tcBorders>
            <w:shd w:val="clear" w:color="auto" w:fill="auto"/>
            <w:tcMar>
              <w:left w:w="28" w:type="dxa"/>
              <w:right w:w="28" w:type="dxa"/>
            </w:tcMar>
            <w:vAlign w:val="bottom"/>
            <w:hideMark/>
          </w:tcPr>
          <w:p w:rsidR="00E47E3B" w:rsidRPr="00C73F31" w:rsidRDefault="00E47E3B" w:rsidP="0069738C">
            <w:pPr>
              <w:rPr>
                <w:rFonts w:ascii="Arial Narrow" w:hAnsi="Arial Narrow"/>
                <w:sz w:val="16"/>
                <w:szCs w:val="16"/>
              </w:rPr>
            </w:pPr>
            <w:r w:rsidRPr="00C73F31">
              <w:rPr>
                <w:rFonts w:ascii="Arial Narrow" w:hAnsi="Arial Narrow"/>
                <w:sz w:val="16"/>
                <w:szCs w:val="16"/>
              </w:rPr>
              <w:t>Μεταβιβάσεις</w:t>
            </w:r>
          </w:p>
        </w:tc>
        <w:tc>
          <w:tcPr>
            <w:tcW w:w="1041"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28.205</w:t>
            </w:r>
          </w:p>
        </w:tc>
        <w:tc>
          <w:tcPr>
            <w:tcW w:w="993"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38.997</w:t>
            </w:r>
          </w:p>
        </w:tc>
        <w:tc>
          <w:tcPr>
            <w:tcW w:w="1027"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31.394</w:t>
            </w:r>
          </w:p>
        </w:tc>
        <w:tc>
          <w:tcPr>
            <w:tcW w:w="815"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38,3</w:t>
            </w:r>
          </w:p>
        </w:tc>
        <w:tc>
          <w:tcPr>
            <w:tcW w:w="733" w:type="dxa"/>
            <w:tcBorders>
              <w:top w:val="nil"/>
              <w:bottom w:val="nil"/>
              <w:right w:val="single" w:sz="4" w:space="0" w:color="auto"/>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-19,5</w:t>
            </w:r>
          </w:p>
        </w:tc>
      </w:tr>
      <w:tr w:rsidR="00E47E3B" w:rsidRPr="00C73F31" w:rsidTr="0069738C">
        <w:trPr>
          <w:trHeight w:val="170"/>
        </w:trPr>
        <w:tc>
          <w:tcPr>
            <w:tcW w:w="353" w:type="dxa"/>
            <w:tcBorders>
              <w:top w:val="nil"/>
              <w:left w:val="single" w:sz="4" w:space="0" w:color="auto"/>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sz w:val="16"/>
                <w:szCs w:val="16"/>
              </w:rPr>
            </w:pPr>
            <w:r w:rsidRPr="00C73F31">
              <w:rPr>
                <w:rFonts w:ascii="Arial Narrow" w:hAnsi="Arial Narrow"/>
                <w:sz w:val="16"/>
                <w:szCs w:val="16"/>
              </w:rPr>
              <w:t>4</w:t>
            </w:r>
          </w:p>
        </w:tc>
        <w:tc>
          <w:tcPr>
            <w:tcW w:w="992" w:type="dxa"/>
            <w:tcBorders>
              <w:top w:val="nil"/>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sz w:val="16"/>
                <w:szCs w:val="16"/>
              </w:rPr>
            </w:pPr>
            <w:r w:rsidRPr="00C73F31">
              <w:rPr>
                <w:rFonts w:ascii="Arial Narrow" w:hAnsi="Arial Narrow"/>
                <w:sz w:val="16"/>
                <w:szCs w:val="16"/>
              </w:rPr>
              <w:t>24</w:t>
            </w:r>
          </w:p>
        </w:tc>
        <w:tc>
          <w:tcPr>
            <w:tcW w:w="3402" w:type="dxa"/>
            <w:gridSpan w:val="2"/>
            <w:tcBorders>
              <w:top w:val="nil"/>
              <w:bottom w:val="nil"/>
            </w:tcBorders>
            <w:shd w:val="clear" w:color="auto" w:fill="auto"/>
            <w:tcMar>
              <w:left w:w="28" w:type="dxa"/>
              <w:right w:w="28" w:type="dxa"/>
            </w:tcMar>
            <w:vAlign w:val="bottom"/>
            <w:hideMark/>
          </w:tcPr>
          <w:p w:rsidR="00E47E3B" w:rsidRPr="00C73F31" w:rsidRDefault="00E47E3B" w:rsidP="0069738C">
            <w:pPr>
              <w:rPr>
                <w:rFonts w:ascii="Arial Narrow" w:hAnsi="Arial Narrow"/>
                <w:sz w:val="16"/>
                <w:szCs w:val="16"/>
              </w:rPr>
            </w:pPr>
            <w:r w:rsidRPr="00C73F31">
              <w:rPr>
                <w:rFonts w:ascii="Arial Narrow" w:hAnsi="Arial Narrow"/>
                <w:sz w:val="16"/>
                <w:szCs w:val="16"/>
              </w:rPr>
              <w:t>Αγορές αγαθών και υπηρεσιών</w:t>
            </w:r>
          </w:p>
        </w:tc>
        <w:tc>
          <w:tcPr>
            <w:tcW w:w="1041"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1.464</w:t>
            </w:r>
          </w:p>
        </w:tc>
        <w:tc>
          <w:tcPr>
            <w:tcW w:w="993"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1.802</w:t>
            </w:r>
          </w:p>
        </w:tc>
        <w:tc>
          <w:tcPr>
            <w:tcW w:w="1027"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1.251</w:t>
            </w:r>
          </w:p>
        </w:tc>
        <w:tc>
          <w:tcPr>
            <w:tcW w:w="815"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23,1</w:t>
            </w:r>
          </w:p>
        </w:tc>
        <w:tc>
          <w:tcPr>
            <w:tcW w:w="733" w:type="dxa"/>
            <w:tcBorders>
              <w:top w:val="nil"/>
              <w:bottom w:val="nil"/>
              <w:right w:val="single" w:sz="4" w:space="0" w:color="auto"/>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-30,6</w:t>
            </w:r>
          </w:p>
        </w:tc>
      </w:tr>
      <w:tr w:rsidR="00E47E3B" w:rsidRPr="00C73F31" w:rsidTr="0069738C">
        <w:trPr>
          <w:trHeight w:val="170"/>
        </w:trPr>
        <w:tc>
          <w:tcPr>
            <w:tcW w:w="353" w:type="dxa"/>
            <w:tcBorders>
              <w:top w:val="nil"/>
              <w:left w:val="single" w:sz="4" w:space="0" w:color="auto"/>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sz w:val="16"/>
                <w:szCs w:val="16"/>
              </w:rPr>
            </w:pPr>
            <w:r w:rsidRPr="00C73F31">
              <w:rPr>
                <w:rFonts w:ascii="Arial Narrow" w:hAnsi="Arial Narrow"/>
                <w:sz w:val="16"/>
                <w:szCs w:val="16"/>
              </w:rPr>
              <w:t>5</w:t>
            </w:r>
          </w:p>
        </w:tc>
        <w:tc>
          <w:tcPr>
            <w:tcW w:w="992" w:type="dxa"/>
            <w:tcBorders>
              <w:top w:val="nil"/>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sz w:val="16"/>
                <w:szCs w:val="16"/>
              </w:rPr>
            </w:pPr>
            <w:r w:rsidRPr="00C73F31">
              <w:rPr>
                <w:rFonts w:ascii="Arial Narrow" w:hAnsi="Arial Narrow"/>
                <w:sz w:val="16"/>
                <w:szCs w:val="16"/>
              </w:rPr>
              <w:t>25</w:t>
            </w:r>
          </w:p>
        </w:tc>
        <w:tc>
          <w:tcPr>
            <w:tcW w:w="3402" w:type="dxa"/>
            <w:gridSpan w:val="2"/>
            <w:tcBorders>
              <w:top w:val="nil"/>
              <w:bottom w:val="nil"/>
            </w:tcBorders>
            <w:shd w:val="clear" w:color="auto" w:fill="auto"/>
            <w:tcMar>
              <w:left w:w="28" w:type="dxa"/>
              <w:right w:w="28" w:type="dxa"/>
            </w:tcMar>
            <w:vAlign w:val="bottom"/>
            <w:hideMark/>
          </w:tcPr>
          <w:p w:rsidR="00E47E3B" w:rsidRPr="00C73F31" w:rsidRDefault="00E47E3B" w:rsidP="0069738C">
            <w:pPr>
              <w:rPr>
                <w:rFonts w:ascii="Arial Narrow" w:hAnsi="Arial Narrow"/>
                <w:sz w:val="16"/>
                <w:szCs w:val="16"/>
              </w:rPr>
            </w:pPr>
            <w:r w:rsidRPr="00C73F31">
              <w:rPr>
                <w:rFonts w:ascii="Arial Narrow" w:hAnsi="Arial Narrow"/>
                <w:sz w:val="16"/>
                <w:szCs w:val="16"/>
              </w:rPr>
              <w:t>Επιδοτήσεις</w:t>
            </w:r>
          </w:p>
        </w:tc>
        <w:tc>
          <w:tcPr>
            <w:tcW w:w="1041"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224</w:t>
            </w:r>
          </w:p>
        </w:tc>
        <w:tc>
          <w:tcPr>
            <w:tcW w:w="993"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102</w:t>
            </w:r>
          </w:p>
        </w:tc>
        <w:tc>
          <w:tcPr>
            <w:tcW w:w="1027"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80</w:t>
            </w:r>
          </w:p>
        </w:tc>
        <w:tc>
          <w:tcPr>
            <w:tcW w:w="815"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-54,7</w:t>
            </w:r>
          </w:p>
        </w:tc>
        <w:tc>
          <w:tcPr>
            <w:tcW w:w="733" w:type="dxa"/>
            <w:tcBorders>
              <w:top w:val="nil"/>
              <w:bottom w:val="nil"/>
              <w:right w:val="single" w:sz="4" w:space="0" w:color="auto"/>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-21,1</w:t>
            </w:r>
          </w:p>
        </w:tc>
      </w:tr>
      <w:tr w:rsidR="00E47E3B" w:rsidRPr="00C73F31" w:rsidTr="0069738C">
        <w:trPr>
          <w:trHeight w:val="170"/>
        </w:trPr>
        <w:tc>
          <w:tcPr>
            <w:tcW w:w="353" w:type="dxa"/>
            <w:tcBorders>
              <w:top w:val="nil"/>
              <w:left w:val="single" w:sz="4" w:space="0" w:color="auto"/>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sz w:val="16"/>
                <w:szCs w:val="16"/>
              </w:rPr>
            </w:pPr>
            <w:r w:rsidRPr="00C73F31">
              <w:rPr>
                <w:rFonts w:ascii="Arial Narrow" w:hAnsi="Arial Narrow"/>
                <w:sz w:val="16"/>
                <w:szCs w:val="16"/>
              </w:rPr>
              <w:t>6</w:t>
            </w:r>
          </w:p>
        </w:tc>
        <w:tc>
          <w:tcPr>
            <w:tcW w:w="992" w:type="dxa"/>
            <w:tcBorders>
              <w:top w:val="nil"/>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sz w:val="16"/>
                <w:szCs w:val="16"/>
              </w:rPr>
            </w:pPr>
            <w:r w:rsidRPr="00C73F31">
              <w:rPr>
                <w:rFonts w:ascii="Arial Narrow" w:hAnsi="Arial Narrow"/>
                <w:sz w:val="16"/>
                <w:szCs w:val="16"/>
              </w:rPr>
              <w:t>26</w:t>
            </w:r>
          </w:p>
        </w:tc>
        <w:tc>
          <w:tcPr>
            <w:tcW w:w="3402" w:type="dxa"/>
            <w:gridSpan w:val="2"/>
            <w:tcBorders>
              <w:top w:val="nil"/>
              <w:bottom w:val="nil"/>
            </w:tcBorders>
            <w:shd w:val="clear" w:color="auto" w:fill="auto"/>
            <w:tcMar>
              <w:left w:w="28" w:type="dxa"/>
              <w:right w:w="28" w:type="dxa"/>
            </w:tcMar>
            <w:vAlign w:val="bottom"/>
            <w:hideMark/>
          </w:tcPr>
          <w:p w:rsidR="00E47E3B" w:rsidRPr="00C73F31" w:rsidRDefault="00E47E3B" w:rsidP="0069738C">
            <w:pPr>
              <w:rPr>
                <w:rFonts w:ascii="Arial Narrow" w:hAnsi="Arial Narrow"/>
                <w:sz w:val="16"/>
                <w:szCs w:val="16"/>
              </w:rPr>
            </w:pPr>
            <w:r w:rsidRPr="00C73F31">
              <w:rPr>
                <w:rFonts w:ascii="Arial Narrow" w:hAnsi="Arial Narrow"/>
                <w:sz w:val="16"/>
                <w:szCs w:val="16"/>
              </w:rPr>
              <w:t>Τόκοι</w:t>
            </w:r>
            <w:r w:rsidRPr="00C73F31">
              <w:rPr>
                <w:rFonts w:ascii="Arial Narrow" w:hAnsi="Arial Narrow"/>
                <w:sz w:val="16"/>
                <w:szCs w:val="16"/>
                <w:vertAlign w:val="superscript"/>
              </w:rPr>
              <w:t xml:space="preserve"> 1</w:t>
            </w:r>
          </w:p>
        </w:tc>
        <w:tc>
          <w:tcPr>
            <w:tcW w:w="1041"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5.225</w:t>
            </w:r>
          </w:p>
        </w:tc>
        <w:tc>
          <w:tcPr>
            <w:tcW w:w="993"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4.695</w:t>
            </w:r>
          </w:p>
        </w:tc>
        <w:tc>
          <w:tcPr>
            <w:tcW w:w="1027"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4.510</w:t>
            </w:r>
          </w:p>
        </w:tc>
        <w:tc>
          <w:tcPr>
            <w:tcW w:w="815"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-10,1</w:t>
            </w:r>
          </w:p>
        </w:tc>
        <w:tc>
          <w:tcPr>
            <w:tcW w:w="733" w:type="dxa"/>
            <w:tcBorders>
              <w:top w:val="nil"/>
              <w:bottom w:val="nil"/>
              <w:right w:val="single" w:sz="4" w:space="0" w:color="auto"/>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-3,9</w:t>
            </w:r>
          </w:p>
        </w:tc>
      </w:tr>
      <w:tr w:rsidR="00E47E3B" w:rsidRPr="00C73F31" w:rsidTr="0069738C">
        <w:trPr>
          <w:trHeight w:val="170"/>
        </w:trPr>
        <w:tc>
          <w:tcPr>
            <w:tcW w:w="353" w:type="dxa"/>
            <w:tcBorders>
              <w:top w:val="nil"/>
              <w:left w:val="single" w:sz="4" w:space="0" w:color="auto"/>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sz w:val="16"/>
                <w:szCs w:val="16"/>
              </w:rPr>
            </w:pPr>
            <w:r w:rsidRPr="00C73F31">
              <w:rPr>
                <w:rFonts w:ascii="Arial Narrow" w:hAnsi="Arial Narrow"/>
                <w:sz w:val="16"/>
                <w:szCs w:val="16"/>
              </w:rPr>
              <w:t>7</w:t>
            </w:r>
          </w:p>
        </w:tc>
        <w:tc>
          <w:tcPr>
            <w:tcW w:w="992" w:type="dxa"/>
            <w:tcBorders>
              <w:top w:val="nil"/>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sz w:val="16"/>
                <w:szCs w:val="16"/>
              </w:rPr>
            </w:pPr>
            <w:r w:rsidRPr="00C73F31">
              <w:rPr>
                <w:rFonts w:ascii="Arial Narrow" w:hAnsi="Arial Narrow"/>
                <w:sz w:val="16"/>
                <w:szCs w:val="16"/>
              </w:rPr>
              <w:t>27</w:t>
            </w:r>
          </w:p>
        </w:tc>
        <w:tc>
          <w:tcPr>
            <w:tcW w:w="3402" w:type="dxa"/>
            <w:gridSpan w:val="2"/>
            <w:tcBorders>
              <w:top w:val="nil"/>
              <w:bottom w:val="nil"/>
            </w:tcBorders>
            <w:shd w:val="clear" w:color="auto" w:fill="auto"/>
            <w:tcMar>
              <w:left w:w="28" w:type="dxa"/>
              <w:right w:w="28" w:type="dxa"/>
            </w:tcMar>
            <w:vAlign w:val="bottom"/>
            <w:hideMark/>
          </w:tcPr>
          <w:p w:rsidR="00E47E3B" w:rsidRPr="00C73F31" w:rsidRDefault="00E47E3B" w:rsidP="0069738C">
            <w:pPr>
              <w:rPr>
                <w:rFonts w:ascii="Arial Narrow" w:hAnsi="Arial Narrow"/>
                <w:sz w:val="16"/>
                <w:szCs w:val="16"/>
              </w:rPr>
            </w:pPr>
            <w:r w:rsidRPr="00C73F31">
              <w:rPr>
                <w:rFonts w:ascii="Arial Narrow" w:hAnsi="Arial Narrow"/>
                <w:sz w:val="16"/>
                <w:szCs w:val="16"/>
              </w:rPr>
              <w:t>Λοιπές δαπάνες</w:t>
            </w:r>
          </w:p>
        </w:tc>
        <w:tc>
          <w:tcPr>
            <w:tcW w:w="1041"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50</w:t>
            </w:r>
          </w:p>
        </w:tc>
        <w:tc>
          <w:tcPr>
            <w:tcW w:w="993"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72</w:t>
            </w:r>
          </w:p>
        </w:tc>
        <w:tc>
          <w:tcPr>
            <w:tcW w:w="1027"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91</w:t>
            </w:r>
          </w:p>
        </w:tc>
        <w:tc>
          <w:tcPr>
            <w:tcW w:w="815"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44,3</w:t>
            </w:r>
          </w:p>
        </w:tc>
        <w:tc>
          <w:tcPr>
            <w:tcW w:w="733" w:type="dxa"/>
            <w:tcBorders>
              <w:top w:val="nil"/>
              <w:bottom w:val="nil"/>
              <w:right w:val="single" w:sz="4" w:space="0" w:color="auto"/>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27,6</w:t>
            </w:r>
          </w:p>
        </w:tc>
      </w:tr>
      <w:tr w:rsidR="00E47E3B" w:rsidRPr="00C73F31" w:rsidTr="0069738C">
        <w:trPr>
          <w:trHeight w:val="170"/>
        </w:trPr>
        <w:tc>
          <w:tcPr>
            <w:tcW w:w="353" w:type="dxa"/>
            <w:tcBorders>
              <w:top w:val="nil"/>
              <w:left w:val="single" w:sz="4" w:space="0" w:color="auto"/>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sz w:val="16"/>
                <w:szCs w:val="16"/>
              </w:rPr>
            </w:pPr>
            <w:r w:rsidRPr="00C73F31">
              <w:rPr>
                <w:rFonts w:ascii="Arial Narrow" w:hAnsi="Arial Narrow"/>
                <w:sz w:val="16"/>
                <w:szCs w:val="16"/>
              </w:rPr>
              <w:t>8</w:t>
            </w:r>
          </w:p>
        </w:tc>
        <w:tc>
          <w:tcPr>
            <w:tcW w:w="992" w:type="dxa"/>
            <w:tcBorders>
              <w:top w:val="nil"/>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sz w:val="16"/>
                <w:szCs w:val="16"/>
              </w:rPr>
            </w:pPr>
            <w:r w:rsidRPr="00C73F31">
              <w:rPr>
                <w:rFonts w:ascii="Arial Narrow" w:hAnsi="Arial Narrow"/>
                <w:sz w:val="16"/>
                <w:szCs w:val="16"/>
              </w:rPr>
              <w:t>29</w:t>
            </w:r>
          </w:p>
        </w:tc>
        <w:tc>
          <w:tcPr>
            <w:tcW w:w="3402" w:type="dxa"/>
            <w:gridSpan w:val="2"/>
            <w:tcBorders>
              <w:top w:val="nil"/>
              <w:bottom w:val="nil"/>
            </w:tcBorders>
            <w:shd w:val="clear" w:color="auto" w:fill="auto"/>
            <w:tcMar>
              <w:left w:w="28" w:type="dxa"/>
              <w:right w:w="28" w:type="dxa"/>
            </w:tcMar>
            <w:vAlign w:val="bottom"/>
            <w:hideMark/>
          </w:tcPr>
          <w:p w:rsidR="00E47E3B" w:rsidRPr="00C73F31" w:rsidRDefault="00E47E3B" w:rsidP="0069738C">
            <w:pPr>
              <w:rPr>
                <w:rFonts w:ascii="Arial Narrow" w:hAnsi="Arial Narrow"/>
                <w:sz w:val="16"/>
                <w:szCs w:val="16"/>
              </w:rPr>
            </w:pPr>
            <w:r w:rsidRPr="00C73F31">
              <w:rPr>
                <w:rFonts w:ascii="Arial Narrow" w:hAnsi="Arial Narrow"/>
                <w:sz w:val="16"/>
                <w:szCs w:val="16"/>
              </w:rPr>
              <w:t>Πιστώσεις υπό κατανομή</w:t>
            </w:r>
          </w:p>
        </w:tc>
        <w:tc>
          <w:tcPr>
            <w:tcW w:w="1041"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5.642</w:t>
            </w:r>
          </w:p>
        </w:tc>
        <w:tc>
          <w:tcPr>
            <w:tcW w:w="993"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10.783</w:t>
            </w:r>
          </w:p>
        </w:tc>
        <w:tc>
          <w:tcPr>
            <w:tcW w:w="1027"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14.094</w:t>
            </w:r>
          </w:p>
        </w:tc>
        <w:tc>
          <w:tcPr>
            <w:tcW w:w="815"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91,1</w:t>
            </w:r>
          </w:p>
        </w:tc>
        <w:tc>
          <w:tcPr>
            <w:tcW w:w="733" w:type="dxa"/>
            <w:tcBorders>
              <w:top w:val="nil"/>
              <w:bottom w:val="nil"/>
              <w:right w:val="single" w:sz="4" w:space="0" w:color="auto"/>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30,7</w:t>
            </w:r>
          </w:p>
        </w:tc>
      </w:tr>
      <w:tr w:rsidR="00E47E3B" w:rsidRPr="00C73F31" w:rsidTr="0069738C">
        <w:trPr>
          <w:trHeight w:val="170"/>
        </w:trPr>
        <w:tc>
          <w:tcPr>
            <w:tcW w:w="353" w:type="dxa"/>
            <w:tcBorders>
              <w:top w:val="nil"/>
              <w:left w:val="single" w:sz="4" w:space="0" w:color="auto"/>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i/>
                <w:iCs/>
                <w:sz w:val="16"/>
                <w:szCs w:val="16"/>
              </w:rPr>
            </w:pPr>
          </w:p>
        </w:tc>
        <w:tc>
          <w:tcPr>
            <w:tcW w:w="992" w:type="dxa"/>
            <w:tcBorders>
              <w:top w:val="nil"/>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i/>
                <w:iCs/>
                <w:sz w:val="16"/>
                <w:szCs w:val="16"/>
              </w:rPr>
            </w:pPr>
          </w:p>
        </w:tc>
        <w:tc>
          <w:tcPr>
            <w:tcW w:w="3402" w:type="dxa"/>
            <w:gridSpan w:val="2"/>
            <w:tcBorders>
              <w:top w:val="nil"/>
              <w:bottom w:val="nil"/>
            </w:tcBorders>
            <w:shd w:val="clear" w:color="auto" w:fill="auto"/>
            <w:tcMar>
              <w:left w:w="28" w:type="dxa"/>
              <w:right w:w="28" w:type="dxa"/>
            </w:tcMar>
            <w:vAlign w:val="bottom"/>
            <w:hideMark/>
          </w:tcPr>
          <w:p w:rsidR="00E47E3B" w:rsidRPr="00C73F31" w:rsidRDefault="00E47E3B" w:rsidP="0069738C">
            <w:pPr>
              <w:rPr>
                <w:rFonts w:ascii="Arial Narrow" w:hAnsi="Arial Narrow"/>
                <w:i/>
                <w:iCs/>
                <w:sz w:val="16"/>
                <w:szCs w:val="16"/>
              </w:rPr>
            </w:pPr>
            <w:r w:rsidRPr="00C73F31">
              <w:rPr>
                <w:rFonts w:ascii="Arial Narrow" w:hAnsi="Arial Narrow"/>
                <w:i/>
                <w:iCs/>
                <w:sz w:val="16"/>
                <w:szCs w:val="16"/>
              </w:rPr>
              <w:t>εκ των οποίων</w:t>
            </w:r>
            <w:r>
              <w:rPr>
                <w:rFonts w:ascii="Arial Narrow" w:hAnsi="Arial Narrow"/>
                <w:i/>
                <w:iCs/>
                <w:sz w:val="16"/>
                <w:szCs w:val="16"/>
              </w:rPr>
              <w:t>:</w:t>
            </w:r>
          </w:p>
        </w:tc>
        <w:tc>
          <w:tcPr>
            <w:tcW w:w="1041" w:type="dxa"/>
            <w:tcBorders>
              <w:top w:val="nil"/>
              <w:bottom w:val="nil"/>
            </w:tcBorders>
            <w:shd w:val="clear" w:color="auto" w:fill="auto"/>
            <w:tcMar>
              <w:left w:w="28" w:type="dxa"/>
              <w:right w:w="28" w:type="dxa"/>
            </w:tcMar>
            <w:vAlign w:val="bottom"/>
            <w:hideMark/>
          </w:tcPr>
          <w:p w:rsidR="00E47E3B" w:rsidRDefault="00E47E3B" w:rsidP="0069738C">
            <w:pPr>
              <w:ind w:right="170"/>
              <w:rPr>
                <w:rFonts w:ascii="Arial Narrow" w:hAnsi="Arial Narrow"/>
                <w:sz w:val="16"/>
                <w:szCs w:val="16"/>
              </w:rPr>
            </w:pPr>
            <w:r>
              <w:rPr>
                <w:rFonts w:ascii="Arial Narrow" w:hAnsi="Arial Narrow"/>
                <w:sz w:val="16"/>
                <w:szCs w:val="16"/>
              </w:rPr>
              <w:t> </w:t>
            </w:r>
          </w:p>
        </w:tc>
        <w:tc>
          <w:tcPr>
            <w:tcW w:w="993" w:type="dxa"/>
            <w:tcBorders>
              <w:top w:val="nil"/>
              <w:bottom w:val="nil"/>
            </w:tcBorders>
            <w:shd w:val="clear" w:color="auto" w:fill="auto"/>
            <w:tcMar>
              <w:left w:w="28" w:type="dxa"/>
              <w:right w:w="28" w:type="dxa"/>
            </w:tcMar>
            <w:vAlign w:val="bottom"/>
            <w:hideMark/>
          </w:tcPr>
          <w:p w:rsidR="00E47E3B" w:rsidRDefault="00E47E3B" w:rsidP="0069738C">
            <w:pPr>
              <w:ind w:right="170"/>
              <w:rPr>
                <w:rFonts w:ascii="Arial Narrow" w:hAnsi="Arial Narrow"/>
                <w:sz w:val="16"/>
                <w:szCs w:val="16"/>
              </w:rPr>
            </w:pPr>
            <w:r>
              <w:rPr>
                <w:rFonts w:ascii="Arial Narrow" w:hAnsi="Arial Narrow"/>
                <w:sz w:val="16"/>
                <w:szCs w:val="16"/>
              </w:rPr>
              <w:t> </w:t>
            </w:r>
          </w:p>
        </w:tc>
        <w:tc>
          <w:tcPr>
            <w:tcW w:w="1027" w:type="dxa"/>
            <w:tcBorders>
              <w:top w:val="nil"/>
              <w:bottom w:val="nil"/>
            </w:tcBorders>
            <w:shd w:val="clear" w:color="auto" w:fill="auto"/>
            <w:tcMar>
              <w:left w:w="28" w:type="dxa"/>
              <w:right w:w="28" w:type="dxa"/>
            </w:tcMar>
            <w:vAlign w:val="bottom"/>
            <w:hideMark/>
          </w:tcPr>
          <w:p w:rsidR="00E47E3B" w:rsidRDefault="00E47E3B" w:rsidP="0069738C">
            <w:pPr>
              <w:ind w:right="170"/>
              <w:rPr>
                <w:rFonts w:ascii="Arial Narrow" w:hAnsi="Arial Narrow"/>
                <w:sz w:val="16"/>
                <w:szCs w:val="16"/>
              </w:rPr>
            </w:pPr>
            <w:r>
              <w:rPr>
                <w:rFonts w:ascii="Arial Narrow" w:hAnsi="Arial Narrow"/>
                <w:sz w:val="16"/>
                <w:szCs w:val="16"/>
              </w:rPr>
              <w:t> </w:t>
            </w:r>
          </w:p>
        </w:tc>
        <w:tc>
          <w:tcPr>
            <w:tcW w:w="815"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 </w:t>
            </w:r>
          </w:p>
        </w:tc>
        <w:tc>
          <w:tcPr>
            <w:tcW w:w="733" w:type="dxa"/>
            <w:tcBorders>
              <w:top w:val="nil"/>
              <w:bottom w:val="nil"/>
              <w:right w:val="single" w:sz="4" w:space="0" w:color="auto"/>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 </w:t>
            </w:r>
          </w:p>
        </w:tc>
      </w:tr>
      <w:tr w:rsidR="00E47E3B" w:rsidRPr="00C73F31" w:rsidTr="0069738C">
        <w:trPr>
          <w:trHeight w:val="170"/>
        </w:trPr>
        <w:tc>
          <w:tcPr>
            <w:tcW w:w="353" w:type="dxa"/>
            <w:tcBorders>
              <w:top w:val="nil"/>
              <w:left w:val="single" w:sz="4" w:space="0" w:color="auto"/>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i/>
                <w:iCs/>
                <w:sz w:val="16"/>
                <w:szCs w:val="16"/>
              </w:rPr>
            </w:pPr>
          </w:p>
        </w:tc>
        <w:tc>
          <w:tcPr>
            <w:tcW w:w="992" w:type="dxa"/>
            <w:tcBorders>
              <w:top w:val="nil"/>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i/>
                <w:iCs/>
                <w:sz w:val="16"/>
                <w:szCs w:val="16"/>
              </w:rPr>
            </w:pPr>
          </w:p>
        </w:tc>
        <w:tc>
          <w:tcPr>
            <w:tcW w:w="3402" w:type="dxa"/>
            <w:gridSpan w:val="2"/>
            <w:tcBorders>
              <w:top w:val="nil"/>
              <w:bottom w:val="nil"/>
            </w:tcBorders>
            <w:shd w:val="clear" w:color="auto" w:fill="auto"/>
            <w:tcMar>
              <w:left w:w="28" w:type="dxa"/>
              <w:right w:w="28" w:type="dxa"/>
            </w:tcMar>
            <w:vAlign w:val="bottom"/>
            <w:hideMark/>
          </w:tcPr>
          <w:p w:rsidR="00E47E3B" w:rsidRPr="00C73F31" w:rsidRDefault="00E47E3B" w:rsidP="0069738C">
            <w:pPr>
              <w:rPr>
                <w:rFonts w:ascii="Arial Narrow" w:hAnsi="Arial Narrow"/>
                <w:i/>
                <w:iCs/>
                <w:sz w:val="16"/>
                <w:szCs w:val="16"/>
              </w:rPr>
            </w:pPr>
            <w:r>
              <w:rPr>
                <w:rFonts w:ascii="Arial Narrow" w:hAnsi="Arial Narrow"/>
                <w:i/>
                <w:iCs/>
                <w:sz w:val="16"/>
                <w:szCs w:val="16"/>
              </w:rPr>
              <w:t>-  ΠΔΕ</w:t>
            </w:r>
          </w:p>
        </w:tc>
        <w:tc>
          <w:tcPr>
            <w:tcW w:w="1041"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i/>
                <w:iCs/>
                <w:sz w:val="16"/>
                <w:szCs w:val="16"/>
              </w:rPr>
            </w:pPr>
            <w:r>
              <w:rPr>
                <w:rFonts w:ascii="Arial Narrow" w:hAnsi="Arial Narrow"/>
                <w:i/>
                <w:iCs/>
                <w:sz w:val="16"/>
                <w:szCs w:val="16"/>
              </w:rPr>
              <w:t>5.642</w:t>
            </w:r>
          </w:p>
        </w:tc>
        <w:tc>
          <w:tcPr>
            <w:tcW w:w="993"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i/>
                <w:iCs/>
                <w:sz w:val="16"/>
                <w:szCs w:val="16"/>
              </w:rPr>
            </w:pPr>
            <w:r>
              <w:rPr>
                <w:rFonts w:ascii="Arial Narrow" w:hAnsi="Arial Narrow"/>
                <w:i/>
                <w:iCs/>
                <w:sz w:val="16"/>
                <w:szCs w:val="16"/>
              </w:rPr>
              <w:t>10.421</w:t>
            </w:r>
          </w:p>
        </w:tc>
        <w:tc>
          <w:tcPr>
            <w:tcW w:w="1027"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i/>
                <w:iCs/>
                <w:sz w:val="16"/>
                <w:szCs w:val="16"/>
              </w:rPr>
            </w:pPr>
            <w:r>
              <w:rPr>
                <w:rFonts w:ascii="Arial Narrow" w:hAnsi="Arial Narrow"/>
                <w:i/>
                <w:iCs/>
                <w:sz w:val="16"/>
                <w:szCs w:val="16"/>
              </w:rPr>
              <w:t>6.750</w:t>
            </w:r>
          </w:p>
        </w:tc>
        <w:tc>
          <w:tcPr>
            <w:tcW w:w="815"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84,7</w:t>
            </w:r>
          </w:p>
        </w:tc>
        <w:tc>
          <w:tcPr>
            <w:tcW w:w="733" w:type="dxa"/>
            <w:tcBorders>
              <w:top w:val="nil"/>
              <w:bottom w:val="nil"/>
              <w:right w:val="single" w:sz="4" w:space="0" w:color="auto"/>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-35,2</w:t>
            </w:r>
          </w:p>
        </w:tc>
      </w:tr>
      <w:tr w:rsidR="00E47E3B" w:rsidRPr="00C73F31" w:rsidTr="0069738C">
        <w:trPr>
          <w:trHeight w:val="170"/>
        </w:trPr>
        <w:tc>
          <w:tcPr>
            <w:tcW w:w="353" w:type="dxa"/>
            <w:tcBorders>
              <w:top w:val="nil"/>
              <w:left w:val="single" w:sz="4" w:space="0" w:color="auto"/>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i/>
                <w:iCs/>
                <w:sz w:val="16"/>
                <w:szCs w:val="16"/>
              </w:rPr>
            </w:pPr>
          </w:p>
        </w:tc>
        <w:tc>
          <w:tcPr>
            <w:tcW w:w="992" w:type="dxa"/>
            <w:tcBorders>
              <w:top w:val="nil"/>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i/>
                <w:iCs/>
                <w:sz w:val="16"/>
                <w:szCs w:val="16"/>
              </w:rPr>
            </w:pPr>
          </w:p>
        </w:tc>
        <w:tc>
          <w:tcPr>
            <w:tcW w:w="3402" w:type="dxa"/>
            <w:gridSpan w:val="2"/>
            <w:tcBorders>
              <w:top w:val="nil"/>
              <w:bottom w:val="nil"/>
            </w:tcBorders>
            <w:shd w:val="clear" w:color="auto" w:fill="auto"/>
            <w:tcMar>
              <w:left w:w="28" w:type="dxa"/>
              <w:right w:w="28" w:type="dxa"/>
            </w:tcMar>
            <w:vAlign w:val="bottom"/>
            <w:hideMark/>
          </w:tcPr>
          <w:p w:rsidR="00E47E3B" w:rsidRPr="00C73F31" w:rsidRDefault="00E47E3B" w:rsidP="0069738C">
            <w:pPr>
              <w:rPr>
                <w:rFonts w:ascii="Arial Narrow" w:hAnsi="Arial Narrow"/>
                <w:i/>
                <w:iCs/>
                <w:sz w:val="16"/>
                <w:szCs w:val="16"/>
              </w:rPr>
            </w:pPr>
            <w:r>
              <w:rPr>
                <w:rFonts w:ascii="Arial Narrow" w:hAnsi="Arial Narrow"/>
                <w:i/>
                <w:iCs/>
                <w:sz w:val="16"/>
                <w:szCs w:val="16"/>
              </w:rPr>
              <w:t>-  Ταμείο Ανάκαμψης και Σταθερότητας</w:t>
            </w:r>
          </w:p>
        </w:tc>
        <w:tc>
          <w:tcPr>
            <w:tcW w:w="1041"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i/>
                <w:iCs/>
                <w:sz w:val="16"/>
                <w:szCs w:val="16"/>
              </w:rPr>
            </w:pPr>
            <w:r>
              <w:rPr>
                <w:rFonts w:ascii="Arial Narrow" w:hAnsi="Arial Narrow"/>
                <w:i/>
                <w:iCs/>
                <w:sz w:val="16"/>
                <w:szCs w:val="16"/>
              </w:rPr>
              <w:t>0</w:t>
            </w:r>
          </w:p>
        </w:tc>
        <w:tc>
          <w:tcPr>
            <w:tcW w:w="993"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i/>
                <w:iCs/>
                <w:sz w:val="16"/>
                <w:szCs w:val="16"/>
              </w:rPr>
            </w:pPr>
            <w:r>
              <w:rPr>
                <w:rFonts w:ascii="Arial Narrow" w:hAnsi="Arial Narrow"/>
                <w:i/>
                <w:iCs/>
                <w:sz w:val="16"/>
                <w:szCs w:val="16"/>
              </w:rPr>
              <w:t>0</w:t>
            </w:r>
          </w:p>
        </w:tc>
        <w:tc>
          <w:tcPr>
            <w:tcW w:w="1027"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i/>
                <w:iCs/>
                <w:sz w:val="16"/>
                <w:szCs w:val="16"/>
              </w:rPr>
            </w:pPr>
            <w:r>
              <w:rPr>
                <w:rFonts w:ascii="Arial Narrow" w:hAnsi="Arial Narrow"/>
                <w:i/>
                <w:iCs/>
                <w:sz w:val="16"/>
                <w:szCs w:val="16"/>
              </w:rPr>
              <w:t>2.635</w:t>
            </w:r>
          </w:p>
        </w:tc>
        <w:tc>
          <w:tcPr>
            <w:tcW w:w="815"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 </w:t>
            </w:r>
          </w:p>
        </w:tc>
        <w:tc>
          <w:tcPr>
            <w:tcW w:w="733" w:type="dxa"/>
            <w:tcBorders>
              <w:top w:val="nil"/>
              <w:bottom w:val="nil"/>
              <w:right w:val="single" w:sz="4" w:space="0" w:color="auto"/>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 </w:t>
            </w:r>
          </w:p>
        </w:tc>
      </w:tr>
      <w:tr w:rsidR="00E47E3B" w:rsidRPr="00C73F31" w:rsidTr="0069738C">
        <w:trPr>
          <w:trHeight w:val="170"/>
        </w:trPr>
        <w:tc>
          <w:tcPr>
            <w:tcW w:w="353" w:type="dxa"/>
            <w:tcBorders>
              <w:top w:val="nil"/>
              <w:left w:val="single" w:sz="4" w:space="0" w:color="auto"/>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sz w:val="16"/>
                <w:szCs w:val="16"/>
              </w:rPr>
            </w:pPr>
            <w:r w:rsidRPr="00C73F31">
              <w:rPr>
                <w:rFonts w:ascii="Arial Narrow" w:hAnsi="Arial Narrow"/>
                <w:sz w:val="16"/>
                <w:szCs w:val="16"/>
              </w:rPr>
              <w:t>9</w:t>
            </w:r>
          </w:p>
        </w:tc>
        <w:tc>
          <w:tcPr>
            <w:tcW w:w="992" w:type="dxa"/>
            <w:tcBorders>
              <w:top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sz w:val="16"/>
                <w:szCs w:val="16"/>
              </w:rPr>
            </w:pPr>
            <w:r w:rsidRPr="00C73F31">
              <w:rPr>
                <w:rFonts w:ascii="Arial Narrow" w:hAnsi="Arial Narrow"/>
                <w:sz w:val="16"/>
                <w:szCs w:val="16"/>
              </w:rPr>
              <w:t>31</w:t>
            </w:r>
          </w:p>
        </w:tc>
        <w:tc>
          <w:tcPr>
            <w:tcW w:w="3402" w:type="dxa"/>
            <w:gridSpan w:val="2"/>
            <w:tcBorders>
              <w:top w:val="nil"/>
            </w:tcBorders>
            <w:shd w:val="clear" w:color="auto" w:fill="auto"/>
            <w:tcMar>
              <w:left w:w="28" w:type="dxa"/>
              <w:right w:w="28" w:type="dxa"/>
            </w:tcMar>
            <w:vAlign w:val="bottom"/>
            <w:hideMark/>
          </w:tcPr>
          <w:p w:rsidR="00E47E3B" w:rsidRPr="00C73F31" w:rsidRDefault="00E47E3B" w:rsidP="0069738C">
            <w:pPr>
              <w:rPr>
                <w:rFonts w:ascii="Arial Narrow" w:hAnsi="Arial Narrow"/>
                <w:sz w:val="16"/>
                <w:szCs w:val="16"/>
              </w:rPr>
            </w:pPr>
            <w:r w:rsidRPr="00C73F31">
              <w:rPr>
                <w:rFonts w:ascii="Arial Narrow" w:hAnsi="Arial Narrow"/>
                <w:sz w:val="16"/>
                <w:szCs w:val="16"/>
              </w:rPr>
              <w:t>Αγορές παγίων περιουσιακών στοιχείων</w:t>
            </w:r>
          </w:p>
        </w:tc>
        <w:tc>
          <w:tcPr>
            <w:tcW w:w="1041"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562</w:t>
            </w:r>
          </w:p>
        </w:tc>
        <w:tc>
          <w:tcPr>
            <w:tcW w:w="993"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668</w:t>
            </w:r>
          </w:p>
        </w:tc>
        <w:tc>
          <w:tcPr>
            <w:tcW w:w="1027"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2.646</w:t>
            </w:r>
          </w:p>
        </w:tc>
        <w:tc>
          <w:tcPr>
            <w:tcW w:w="815"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18,8</w:t>
            </w:r>
          </w:p>
        </w:tc>
        <w:tc>
          <w:tcPr>
            <w:tcW w:w="733" w:type="dxa"/>
            <w:tcBorders>
              <w:top w:val="nil"/>
              <w:bottom w:val="nil"/>
              <w:right w:val="single" w:sz="4" w:space="0" w:color="auto"/>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296,4</w:t>
            </w:r>
          </w:p>
        </w:tc>
      </w:tr>
      <w:tr w:rsidR="00E47E3B" w:rsidRPr="00C73F31" w:rsidTr="0069738C">
        <w:trPr>
          <w:trHeight w:val="170"/>
        </w:trPr>
        <w:tc>
          <w:tcPr>
            <w:tcW w:w="353" w:type="dxa"/>
            <w:tcBorders>
              <w:top w:val="nil"/>
              <w:left w:val="single" w:sz="4" w:space="0" w:color="auto"/>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sz w:val="16"/>
                <w:szCs w:val="16"/>
              </w:rPr>
            </w:pPr>
            <w:r w:rsidRPr="00C73F31">
              <w:rPr>
                <w:rFonts w:ascii="Arial Narrow" w:hAnsi="Arial Narrow"/>
                <w:sz w:val="16"/>
                <w:szCs w:val="16"/>
              </w:rPr>
              <w:t>10</w:t>
            </w:r>
          </w:p>
        </w:tc>
        <w:tc>
          <w:tcPr>
            <w:tcW w:w="992" w:type="dxa"/>
            <w:tcBorders>
              <w:top w:val="nil"/>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sz w:val="16"/>
                <w:szCs w:val="16"/>
              </w:rPr>
            </w:pPr>
            <w:r w:rsidRPr="00C73F31">
              <w:rPr>
                <w:rFonts w:ascii="Arial Narrow" w:hAnsi="Arial Narrow"/>
                <w:sz w:val="16"/>
                <w:szCs w:val="16"/>
              </w:rPr>
              <w:t>33</w:t>
            </w:r>
          </w:p>
        </w:tc>
        <w:tc>
          <w:tcPr>
            <w:tcW w:w="3402" w:type="dxa"/>
            <w:gridSpan w:val="2"/>
            <w:tcBorders>
              <w:top w:val="nil"/>
              <w:bottom w:val="nil"/>
            </w:tcBorders>
            <w:shd w:val="clear" w:color="auto" w:fill="auto"/>
            <w:tcMar>
              <w:left w:w="28" w:type="dxa"/>
              <w:right w:w="28" w:type="dxa"/>
            </w:tcMar>
            <w:vAlign w:val="bottom"/>
            <w:hideMark/>
          </w:tcPr>
          <w:p w:rsidR="00E47E3B" w:rsidRPr="00C73F31" w:rsidRDefault="00E47E3B" w:rsidP="0069738C">
            <w:pPr>
              <w:rPr>
                <w:rFonts w:ascii="Arial Narrow" w:hAnsi="Arial Narrow"/>
                <w:sz w:val="16"/>
                <w:szCs w:val="16"/>
              </w:rPr>
            </w:pPr>
            <w:r w:rsidRPr="00C73F31">
              <w:rPr>
                <w:rFonts w:ascii="Arial Narrow" w:hAnsi="Arial Narrow"/>
                <w:sz w:val="16"/>
                <w:szCs w:val="16"/>
              </w:rPr>
              <w:t>Αγορές τιμαλφών</w:t>
            </w:r>
          </w:p>
        </w:tc>
        <w:tc>
          <w:tcPr>
            <w:tcW w:w="1041"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0</w:t>
            </w:r>
          </w:p>
        </w:tc>
        <w:tc>
          <w:tcPr>
            <w:tcW w:w="993"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0</w:t>
            </w:r>
          </w:p>
        </w:tc>
        <w:tc>
          <w:tcPr>
            <w:tcW w:w="1027"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0</w:t>
            </w:r>
          </w:p>
        </w:tc>
        <w:tc>
          <w:tcPr>
            <w:tcW w:w="815"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2,6</w:t>
            </w:r>
          </w:p>
        </w:tc>
        <w:tc>
          <w:tcPr>
            <w:tcW w:w="733" w:type="dxa"/>
            <w:tcBorders>
              <w:top w:val="nil"/>
              <w:bottom w:val="nil"/>
              <w:right w:val="single" w:sz="4" w:space="0" w:color="auto"/>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420,0</w:t>
            </w:r>
          </w:p>
        </w:tc>
      </w:tr>
      <w:tr w:rsidR="00E47E3B" w:rsidRPr="00C73F31" w:rsidTr="0069738C">
        <w:trPr>
          <w:trHeight w:val="170"/>
        </w:trPr>
        <w:tc>
          <w:tcPr>
            <w:tcW w:w="353" w:type="dxa"/>
            <w:tcBorders>
              <w:left w:val="single" w:sz="4" w:space="0" w:color="auto"/>
            </w:tcBorders>
            <w:shd w:val="clear" w:color="000000" w:fill="BFBFBF"/>
            <w:tcMar>
              <w:left w:w="28" w:type="dxa"/>
              <w:right w:w="28" w:type="dxa"/>
            </w:tcMar>
            <w:hideMark/>
          </w:tcPr>
          <w:p w:rsidR="00E47E3B" w:rsidRPr="00C73F31" w:rsidRDefault="00E47E3B" w:rsidP="0069738C">
            <w:pPr>
              <w:jc w:val="center"/>
              <w:rPr>
                <w:rFonts w:ascii="Arial Narrow" w:hAnsi="Arial Narrow"/>
                <w:b/>
                <w:bCs/>
                <w:sz w:val="16"/>
                <w:szCs w:val="16"/>
              </w:rPr>
            </w:pPr>
            <w:r w:rsidRPr="00C73F31">
              <w:rPr>
                <w:rFonts w:ascii="Arial Narrow" w:hAnsi="Arial Narrow"/>
                <w:b/>
                <w:bCs/>
                <w:sz w:val="16"/>
                <w:szCs w:val="16"/>
              </w:rPr>
              <w:t>Α</w:t>
            </w:r>
          </w:p>
        </w:tc>
        <w:tc>
          <w:tcPr>
            <w:tcW w:w="4394" w:type="dxa"/>
            <w:gridSpan w:val="3"/>
            <w:shd w:val="clear" w:color="000000" w:fill="BFBFBF"/>
            <w:tcMar>
              <w:left w:w="28" w:type="dxa"/>
              <w:right w:w="28" w:type="dxa"/>
            </w:tcMar>
            <w:vAlign w:val="center"/>
            <w:hideMark/>
          </w:tcPr>
          <w:p w:rsidR="00E47E3B" w:rsidRPr="00C73F31" w:rsidRDefault="00E47E3B" w:rsidP="0069738C">
            <w:pPr>
              <w:rPr>
                <w:rFonts w:ascii="Arial Narrow" w:hAnsi="Arial Narrow"/>
                <w:b/>
                <w:bCs/>
                <w:sz w:val="16"/>
                <w:szCs w:val="16"/>
              </w:rPr>
            </w:pPr>
            <w:r w:rsidRPr="00C73F31">
              <w:rPr>
                <w:rFonts w:ascii="Arial Narrow" w:hAnsi="Arial Narrow"/>
                <w:b/>
                <w:bCs/>
                <w:sz w:val="16"/>
                <w:szCs w:val="16"/>
              </w:rPr>
              <w:t>Δαπάνες μη χρηματοοικονομικών συναλλαγών (1+2+3+4+5+6+7+8+9+10)</w:t>
            </w:r>
          </w:p>
        </w:tc>
        <w:tc>
          <w:tcPr>
            <w:tcW w:w="1041" w:type="dxa"/>
            <w:shd w:val="clear" w:color="000000" w:fill="BFBFBF"/>
            <w:tcMar>
              <w:left w:w="28" w:type="dxa"/>
              <w:right w:w="28" w:type="dxa"/>
            </w:tcMar>
            <w:vAlign w:val="center"/>
            <w:hideMark/>
          </w:tcPr>
          <w:p w:rsidR="00E47E3B" w:rsidRDefault="00E47E3B" w:rsidP="0069738C">
            <w:pPr>
              <w:ind w:right="170"/>
              <w:jc w:val="right"/>
              <w:rPr>
                <w:rFonts w:ascii="Arial Narrow" w:hAnsi="Arial Narrow"/>
                <w:b/>
                <w:bCs/>
                <w:sz w:val="16"/>
                <w:szCs w:val="16"/>
              </w:rPr>
            </w:pPr>
            <w:r>
              <w:rPr>
                <w:rFonts w:ascii="Arial Narrow" w:hAnsi="Arial Narrow"/>
                <w:b/>
                <w:bCs/>
                <w:sz w:val="16"/>
                <w:szCs w:val="16"/>
              </w:rPr>
              <w:t>55.272</w:t>
            </w:r>
          </w:p>
        </w:tc>
        <w:tc>
          <w:tcPr>
            <w:tcW w:w="993" w:type="dxa"/>
            <w:shd w:val="clear" w:color="000000" w:fill="BFBFBF"/>
            <w:tcMar>
              <w:left w:w="28" w:type="dxa"/>
              <w:right w:w="28" w:type="dxa"/>
            </w:tcMar>
            <w:vAlign w:val="center"/>
            <w:hideMark/>
          </w:tcPr>
          <w:p w:rsidR="00E47E3B" w:rsidRDefault="00E47E3B" w:rsidP="0069738C">
            <w:pPr>
              <w:ind w:right="170"/>
              <w:jc w:val="right"/>
              <w:rPr>
                <w:rFonts w:ascii="Arial Narrow" w:hAnsi="Arial Narrow"/>
                <w:b/>
                <w:bCs/>
                <w:sz w:val="16"/>
                <w:szCs w:val="16"/>
              </w:rPr>
            </w:pPr>
            <w:r>
              <w:rPr>
                <w:rFonts w:ascii="Arial Narrow" w:hAnsi="Arial Narrow"/>
                <w:b/>
                <w:bCs/>
                <w:sz w:val="16"/>
                <w:szCs w:val="16"/>
              </w:rPr>
              <w:t>70.774</w:t>
            </w:r>
          </w:p>
        </w:tc>
        <w:tc>
          <w:tcPr>
            <w:tcW w:w="1027" w:type="dxa"/>
            <w:shd w:val="clear" w:color="000000" w:fill="BFBFBF"/>
            <w:tcMar>
              <w:left w:w="28" w:type="dxa"/>
              <w:right w:w="28" w:type="dxa"/>
            </w:tcMar>
            <w:vAlign w:val="center"/>
            <w:hideMark/>
          </w:tcPr>
          <w:p w:rsidR="00E47E3B" w:rsidRDefault="00E47E3B" w:rsidP="0069738C">
            <w:pPr>
              <w:ind w:right="170"/>
              <w:jc w:val="right"/>
              <w:rPr>
                <w:rFonts w:ascii="Arial Narrow" w:hAnsi="Arial Narrow"/>
                <w:b/>
                <w:bCs/>
                <w:sz w:val="16"/>
                <w:szCs w:val="16"/>
              </w:rPr>
            </w:pPr>
            <w:r>
              <w:rPr>
                <w:rFonts w:ascii="Arial Narrow" w:hAnsi="Arial Narrow"/>
                <w:b/>
                <w:bCs/>
                <w:sz w:val="16"/>
                <w:szCs w:val="16"/>
              </w:rPr>
              <w:t>67.811</w:t>
            </w:r>
          </w:p>
        </w:tc>
        <w:tc>
          <w:tcPr>
            <w:tcW w:w="815" w:type="dxa"/>
            <w:shd w:val="clear" w:color="000000" w:fill="BFBFBF"/>
            <w:tcMar>
              <w:left w:w="28" w:type="dxa"/>
              <w:right w:w="28" w:type="dxa"/>
            </w:tcMar>
            <w:vAlign w:val="center"/>
            <w:hideMark/>
          </w:tcPr>
          <w:p w:rsidR="00E47E3B" w:rsidRDefault="00E47E3B" w:rsidP="0069738C">
            <w:pPr>
              <w:ind w:right="170"/>
              <w:jc w:val="right"/>
              <w:rPr>
                <w:rFonts w:ascii="Arial Narrow" w:hAnsi="Arial Narrow"/>
                <w:b/>
                <w:bCs/>
                <w:sz w:val="16"/>
                <w:szCs w:val="16"/>
              </w:rPr>
            </w:pPr>
            <w:r>
              <w:rPr>
                <w:rFonts w:ascii="Arial Narrow" w:hAnsi="Arial Narrow"/>
                <w:b/>
                <w:bCs/>
                <w:sz w:val="16"/>
                <w:szCs w:val="16"/>
              </w:rPr>
              <w:t>28,0</w:t>
            </w:r>
          </w:p>
        </w:tc>
        <w:tc>
          <w:tcPr>
            <w:tcW w:w="733" w:type="dxa"/>
            <w:tcBorders>
              <w:right w:val="single" w:sz="4" w:space="0" w:color="auto"/>
            </w:tcBorders>
            <w:shd w:val="clear" w:color="000000" w:fill="BFBFBF"/>
            <w:tcMar>
              <w:left w:w="28" w:type="dxa"/>
              <w:right w:w="28" w:type="dxa"/>
            </w:tcMar>
            <w:vAlign w:val="center"/>
            <w:hideMark/>
          </w:tcPr>
          <w:p w:rsidR="00E47E3B" w:rsidRDefault="00E47E3B" w:rsidP="0069738C">
            <w:pPr>
              <w:ind w:right="170"/>
              <w:jc w:val="right"/>
              <w:rPr>
                <w:rFonts w:ascii="Arial Narrow" w:hAnsi="Arial Narrow"/>
                <w:b/>
                <w:bCs/>
                <w:sz w:val="16"/>
                <w:szCs w:val="16"/>
              </w:rPr>
            </w:pPr>
            <w:r>
              <w:rPr>
                <w:rFonts w:ascii="Arial Narrow" w:hAnsi="Arial Narrow"/>
                <w:b/>
                <w:bCs/>
                <w:sz w:val="16"/>
                <w:szCs w:val="16"/>
              </w:rPr>
              <w:t>-4,2</w:t>
            </w:r>
          </w:p>
        </w:tc>
      </w:tr>
      <w:tr w:rsidR="00E47E3B" w:rsidRPr="00C73F31" w:rsidTr="0069738C">
        <w:trPr>
          <w:trHeight w:val="170"/>
        </w:trPr>
        <w:tc>
          <w:tcPr>
            <w:tcW w:w="353" w:type="dxa"/>
            <w:tcBorders>
              <w:top w:val="nil"/>
              <w:left w:val="single" w:sz="4" w:space="0" w:color="auto"/>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sz w:val="16"/>
                <w:szCs w:val="16"/>
              </w:rPr>
            </w:pPr>
            <w:r w:rsidRPr="00C73F31">
              <w:rPr>
                <w:rFonts w:ascii="Arial Narrow" w:hAnsi="Arial Narrow"/>
                <w:sz w:val="16"/>
                <w:szCs w:val="16"/>
              </w:rPr>
              <w:t>11</w:t>
            </w:r>
          </w:p>
        </w:tc>
        <w:tc>
          <w:tcPr>
            <w:tcW w:w="992" w:type="dxa"/>
            <w:tcBorders>
              <w:top w:val="nil"/>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sz w:val="16"/>
                <w:szCs w:val="16"/>
              </w:rPr>
            </w:pPr>
            <w:r w:rsidRPr="00C73F31">
              <w:rPr>
                <w:rFonts w:ascii="Arial Narrow" w:hAnsi="Arial Narrow"/>
                <w:sz w:val="16"/>
                <w:szCs w:val="16"/>
              </w:rPr>
              <w:t>45</w:t>
            </w:r>
          </w:p>
        </w:tc>
        <w:tc>
          <w:tcPr>
            <w:tcW w:w="3402" w:type="dxa"/>
            <w:gridSpan w:val="2"/>
            <w:tcBorders>
              <w:top w:val="nil"/>
              <w:bottom w:val="nil"/>
            </w:tcBorders>
            <w:shd w:val="clear" w:color="auto" w:fill="auto"/>
            <w:tcMar>
              <w:left w:w="28" w:type="dxa"/>
              <w:right w:w="28" w:type="dxa"/>
            </w:tcMar>
            <w:vAlign w:val="bottom"/>
            <w:hideMark/>
          </w:tcPr>
          <w:p w:rsidR="00E47E3B" w:rsidRPr="00C73F31" w:rsidRDefault="00E47E3B" w:rsidP="0069738C">
            <w:pPr>
              <w:rPr>
                <w:rFonts w:ascii="Arial Narrow" w:hAnsi="Arial Narrow"/>
                <w:sz w:val="16"/>
                <w:szCs w:val="16"/>
              </w:rPr>
            </w:pPr>
            <w:r w:rsidRPr="00C73F31">
              <w:rPr>
                <w:rFonts w:ascii="Arial Narrow" w:hAnsi="Arial Narrow"/>
                <w:sz w:val="16"/>
                <w:szCs w:val="16"/>
              </w:rPr>
              <w:t xml:space="preserve">Συμμετοχικοί τίτλοι και μερίδια επενδυτικών κεφαλαίων </w:t>
            </w:r>
          </w:p>
        </w:tc>
        <w:tc>
          <w:tcPr>
            <w:tcW w:w="1041"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20</w:t>
            </w:r>
          </w:p>
        </w:tc>
        <w:tc>
          <w:tcPr>
            <w:tcW w:w="993"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437</w:t>
            </w:r>
          </w:p>
        </w:tc>
        <w:tc>
          <w:tcPr>
            <w:tcW w:w="1027"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1.562</w:t>
            </w:r>
          </w:p>
        </w:tc>
        <w:tc>
          <w:tcPr>
            <w:tcW w:w="815"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2.092,9</w:t>
            </w:r>
          </w:p>
        </w:tc>
        <w:tc>
          <w:tcPr>
            <w:tcW w:w="733" w:type="dxa"/>
            <w:tcBorders>
              <w:top w:val="nil"/>
              <w:bottom w:val="nil"/>
              <w:right w:val="single" w:sz="4" w:space="0" w:color="auto"/>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257,2</w:t>
            </w:r>
          </w:p>
        </w:tc>
      </w:tr>
      <w:tr w:rsidR="00E47E3B" w:rsidRPr="00C73F31" w:rsidTr="0069738C">
        <w:trPr>
          <w:trHeight w:val="170"/>
        </w:trPr>
        <w:tc>
          <w:tcPr>
            <w:tcW w:w="353" w:type="dxa"/>
            <w:tcBorders>
              <w:top w:val="nil"/>
              <w:left w:val="single" w:sz="4" w:space="0" w:color="auto"/>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sz w:val="16"/>
                <w:szCs w:val="16"/>
              </w:rPr>
            </w:pPr>
            <w:r w:rsidRPr="00C73F31">
              <w:rPr>
                <w:rFonts w:ascii="Arial Narrow" w:hAnsi="Arial Narrow"/>
                <w:sz w:val="16"/>
                <w:szCs w:val="16"/>
              </w:rPr>
              <w:t>12</w:t>
            </w:r>
          </w:p>
        </w:tc>
        <w:tc>
          <w:tcPr>
            <w:tcW w:w="992" w:type="dxa"/>
            <w:tcBorders>
              <w:top w:val="nil"/>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sz w:val="16"/>
                <w:szCs w:val="16"/>
              </w:rPr>
            </w:pPr>
            <w:r w:rsidRPr="00C73F31">
              <w:rPr>
                <w:rFonts w:ascii="Arial Narrow" w:hAnsi="Arial Narrow"/>
                <w:sz w:val="16"/>
                <w:szCs w:val="16"/>
              </w:rPr>
              <w:t>49</w:t>
            </w:r>
          </w:p>
        </w:tc>
        <w:tc>
          <w:tcPr>
            <w:tcW w:w="3402" w:type="dxa"/>
            <w:gridSpan w:val="2"/>
            <w:tcBorders>
              <w:top w:val="nil"/>
              <w:bottom w:val="nil"/>
            </w:tcBorders>
            <w:shd w:val="clear" w:color="auto" w:fill="auto"/>
            <w:tcMar>
              <w:left w:w="28" w:type="dxa"/>
              <w:right w:w="28" w:type="dxa"/>
            </w:tcMar>
            <w:vAlign w:val="bottom"/>
            <w:hideMark/>
          </w:tcPr>
          <w:p w:rsidR="00E47E3B" w:rsidRPr="00C73F31" w:rsidRDefault="00E47E3B" w:rsidP="0069738C">
            <w:pPr>
              <w:rPr>
                <w:rFonts w:ascii="Arial Narrow" w:hAnsi="Arial Narrow"/>
                <w:sz w:val="16"/>
                <w:szCs w:val="16"/>
              </w:rPr>
            </w:pPr>
            <w:r w:rsidRPr="00C73F31">
              <w:rPr>
                <w:rFonts w:ascii="Arial Narrow" w:hAnsi="Arial Narrow"/>
                <w:sz w:val="16"/>
                <w:szCs w:val="16"/>
              </w:rPr>
              <w:t>Προκαταβολές και λοιπές απαιτήσεις</w:t>
            </w:r>
          </w:p>
        </w:tc>
        <w:tc>
          <w:tcPr>
            <w:tcW w:w="1041"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15</w:t>
            </w:r>
          </w:p>
        </w:tc>
        <w:tc>
          <w:tcPr>
            <w:tcW w:w="993"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41</w:t>
            </w:r>
          </w:p>
        </w:tc>
        <w:tc>
          <w:tcPr>
            <w:tcW w:w="1027"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0</w:t>
            </w:r>
          </w:p>
        </w:tc>
        <w:tc>
          <w:tcPr>
            <w:tcW w:w="815"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166,8</w:t>
            </w:r>
          </w:p>
        </w:tc>
        <w:tc>
          <w:tcPr>
            <w:tcW w:w="733" w:type="dxa"/>
            <w:tcBorders>
              <w:top w:val="nil"/>
              <w:bottom w:val="nil"/>
              <w:right w:val="single" w:sz="4" w:space="0" w:color="auto"/>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-100,0</w:t>
            </w:r>
          </w:p>
        </w:tc>
      </w:tr>
      <w:tr w:rsidR="00E47E3B" w:rsidRPr="00C73F31" w:rsidTr="0069738C">
        <w:trPr>
          <w:trHeight w:val="170"/>
        </w:trPr>
        <w:tc>
          <w:tcPr>
            <w:tcW w:w="353" w:type="dxa"/>
            <w:tcBorders>
              <w:top w:val="nil"/>
              <w:left w:val="single" w:sz="4" w:space="0" w:color="auto"/>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sz w:val="16"/>
                <w:szCs w:val="16"/>
              </w:rPr>
            </w:pPr>
            <w:r w:rsidRPr="00C73F31">
              <w:rPr>
                <w:rFonts w:ascii="Arial Narrow" w:hAnsi="Arial Narrow"/>
                <w:sz w:val="16"/>
                <w:szCs w:val="16"/>
              </w:rPr>
              <w:t>13</w:t>
            </w:r>
          </w:p>
        </w:tc>
        <w:tc>
          <w:tcPr>
            <w:tcW w:w="992" w:type="dxa"/>
            <w:tcBorders>
              <w:top w:val="nil"/>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sz w:val="16"/>
                <w:szCs w:val="16"/>
              </w:rPr>
            </w:pPr>
            <w:r w:rsidRPr="00C73F31">
              <w:rPr>
                <w:rFonts w:ascii="Arial Narrow" w:hAnsi="Arial Narrow"/>
                <w:sz w:val="16"/>
                <w:szCs w:val="16"/>
              </w:rPr>
              <w:t>52</w:t>
            </w:r>
          </w:p>
        </w:tc>
        <w:tc>
          <w:tcPr>
            <w:tcW w:w="3402" w:type="dxa"/>
            <w:gridSpan w:val="2"/>
            <w:tcBorders>
              <w:top w:val="nil"/>
              <w:bottom w:val="nil"/>
            </w:tcBorders>
            <w:shd w:val="clear" w:color="auto" w:fill="auto"/>
            <w:tcMar>
              <w:left w:w="28" w:type="dxa"/>
              <w:right w:w="28" w:type="dxa"/>
            </w:tcMar>
            <w:vAlign w:val="bottom"/>
            <w:hideMark/>
          </w:tcPr>
          <w:p w:rsidR="00E47E3B" w:rsidRPr="00C73F31" w:rsidRDefault="00E47E3B" w:rsidP="0069738C">
            <w:pPr>
              <w:rPr>
                <w:rFonts w:ascii="Arial Narrow" w:hAnsi="Arial Narrow"/>
                <w:sz w:val="16"/>
                <w:szCs w:val="16"/>
              </w:rPr>
            </w:pPr>
            <w:r w:rsidRPr="00C73F31">
              <w:rPr>
                <w:rFonts w:ascii="Arial Narrow" w:hAnsi="Arial Narrow"/>
                <w:sz w:val="16"/>
                <w:szCs w:val="16"/>
              </w:rPr>
              <w:t xml:space="preserve">Υποχρεώσεις από νόμισμα και καταθέσεις </w:t>
            </w:r>
          </w:p>
        </w:tc>
        <w:tc>
          <w:tcPr>
            <w:tcW w:w="1041"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0</w:t>
            </w:r>
          </w:p>
        </w:tc>
        <w:tc>
          <w:tcPr>
            <w:tcW w:w="993"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0</w:t>
            </w:r>
          </w:p>
        </w:tc>
        <w:tc>
          <w:tcPr>
            <w:tcW w:w="1027"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0</w:t>
            </w:r>
          </w:p>
        </w:tc>
        <w:tc>
          <w:tcPr>
            <w:tcW w:w="815"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 </w:t>
            </w:r>
          </w:p>
        </w:tc>
        <w:tc>
          <w:tcPr>
            <w:tcW w:w="733" w:type="dxa"/>
            <w:tcBorders>
              <w:top w:val="nil"/>
              <w:bottom w:val="nil"/>
              <w:right w:val="single" w:sz="4" w:space="0" w:color="auto"/>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 </w:t>
            </w:r>
          </w:p>
        </w:tc>
      </w:tr>
      <w:tr w:rsidR="00E47E3B" w:rsidRPr="00C73F31" w:rsidTr="0069738C">
        <w:trPr>
          <w:trHeight w:val="170"/>
        </w:trPr>
        <w:tc>
          <w:tcPr>
            <w:tcW w:w="353" w:type="dxa"/>
            <w:tcBorders>
              <w:top w:val="nil"/>
              <w:left w:val="single" w:sz="4" w:space="0" w:color="auto"/>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sz w:val="16"/>
                <w:szCs w:val="16"/>
              </w:rPr>
            </w:pPr>
            <w:r w:rsidRPr="00C73F31">
              <w:rPr>
                <w:rFonts w:ascii="Arial Narrow" w:hAnsi="Arial Narrow"/>
                <w:sz w:val="16"/>
                <w:szCs w:val="16"/>
              </w:rPr>
              <w:t>14</w:t>
            </w:r>
          </w:p>
        </w:tc>
        <w:tc>
          <w:tcPr>
            <w:tcW w:w="992" w:type="dxa"/>
            <w:tcBorders>
              <w:top w:val="nil"/>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sz w:val="16"/>
                <w:szCs w:val="16"/>
              </w:rPr>
            </w:pPr>
            <w:r w:rsidRPr="00C73F31">
              <w:rPr>
                <w:rFonts w:ascii="Arial Narrow" w:hAnsi="Arial Narrow"/>
                <w:sz w:val="16"/>
                <w:szCs w:val="16"/>
              </w:rPr>
              <w:t>53</w:t>
            </w:r>
          </w:p>
        </w:tc>
        <w:tc>
          <w:tcPr>
            <w:tcW w:w="3402" w:type="dxa"/>
            <w:gridSpan w:val="2"/>
            <w:tcBorders>
              <w:top w:val="nil"/>
              <w:bottom w:val="nil"/>
            </w:tcBorders>
            <w:shd w:val="clear" w:color="auto" w:fill="auto"/>
            <w:tcMar>
              <w:left w:w="28" w:type="dxa"/>
              <w:right w:w="28" w:type="dxa"/>
            </w:tcMar>
            <w:vAlign w:val="bottom"/>
            <w:hideMark/>
          </w:tcPr>
          <w:p w:rsidR="00E47E3B" w:rsidRPr="00C73F31" w:rsidRDefault="00E47E3B" w:rsidP="0069738C">
            <w:pPr>
              <w:rPr>
                <w:rFonts w:ascii="Arial Narrow" w:hAnsi="Arial Narrow"/>
                <w:sz w:val="16"/>
                <w:szCs w:val="16"/>
              </w:rPr>
            </w:pPr>
            <w:r w:rsidRPr="00C73F31">
              <w:rPr>
                <w:rFonts w:ascii="Arial Narrow" w:hAnsi="Arial Narrow"/>
                <w:sz w:val="16"/>
                <w:szCs w:val="16"/>
              </w:rPr>
              <w:t>Χρεωστικοί τίτλοι (υποχρεώσεις)</w:t>
            </w:r>
          </w:p>
        </w:tc>
        <w:tc>
          <w:tcPr>
            <w:tcW w:w="1041"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39.305</w:t>
            </w:r>
          </w:p>
        </w:tc>
        <w:tc>
          <w:tcPr>
            <w:tcW w:w="993"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29.584</w:t>
            </w:r>
          </w:p>
        </w:tc>
        <w:tc>
          <w:tcPr>
            <w:tcW w:w="1027"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26.504</w:t>
            </w:r>
          </w:p>
        </w:tc>
        <w:tc>
          <w:tcPr>
            <w:tcW w:w="815"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-24,7</w:t>
            </w:r>
          </w:p>
        </w:tc>
        <w:tc>
          <w:tcPr>
            <w:tcW w:w="733" w:type="dxa"/>
            <w:tcBorders>
              <w:top w:val="nil"/>
              <w:bottom w:val="nil"/>
              <w:right w:val="single" w:sz="4" w:space="0" w:color="auto"/>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-10,4</w:t>
            </w:r>
          </w:p>
        </w:tc>
      </w:tr>
      <w:tr w:rsidR="00E47E3B" w:rsidRPr="00C73F31" w:rsidTr="0069738C">
        <w:trPr>
          <w:trHeight w:val="170"/>
        </w:trPr>
        <w:tc>
          <w:tcPr>
            <w:tcW w:w="353" w:type="dxa"/>
            <w:tcBorders>
              <w:top w:val="nil"/>
              <w:left w:val="single" w:sz="4" w:space="0" w:color="auto"/>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sz w:val="16"/>
                <w:szCs w:val="16"/>
              </w:rPr>
            </w:pPr>
            <w:r w:rsidRPr="00C73F31">
              <w:rPr>
                <w:rFonts w:ascii="Arial Narrow" w:hAnsi="Arial Narrow"/>
                <w:sz w:val="16"/>
                <w:szCs w:val="16"/>
              </w:rPr>
              <w:t>15</w:t>
            </w:r>
          </w:p>
        </w:tc>
        <w:tc>
          <w:tcPr>
            <w:tcW w:w="992" w:type="dxa"/>
            <w:tcBorders>
              <w:top w:val="nil"/>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sz w:val="16"/>
                <w:szCs w:val="16"/>
              </w:rPr>
            </w:pPr>
            <w:r w:rsidRPr="00C73F31">
              <w:rPr>
                <w:rFonts w:ascii="Arial Narrow" w:hAnsi="Arial Narrow"/>
                <w:sz w:val="16"/>
                <w:szCs w:val="16"/>
              </w:rPr>
              <w:t>54</w:t>
            </w:r>
          </w:p>
        </w:tc>
        <w:tc>
          <w:tcPr>
            <w:tcW w:w="3402" w:type="dxa"/>
            <w:gridSpan w:val="2"/>
            <w:tcBorders>
              <w:top w:val="nil"/>
              <w:bottom w:val="nil"/>
            </w:tcBorders>
            <w:shd w:val="clear" w:color="auto" w:fill="auto"/>
            <w:tcMar>
              <w:left w:w="28" w:type="dxa"/>
              <w:right w:w="28" w:type="dxa"/>
            </w:tcMar>
            <w:vAlign w:val="bottom"/>
            <w:hideMark/>
          </w:tcPr>
          <w:p w:rsidR="00E47E3B" w:rsidRPr="00C73F31" w:rsidRDefault="00E47E3B" w:rsidP="0069738C">
            <w:pPr>
              <w:rPr>
                <w:rFonts w:ascii="Arial Narrow" w:hAnsi="Arial Narrow"/>
                <w:sz w:val="16"/>
                <w:szCs w:val="16"/>
              </w:rPr>
            </w:pPr>
            <w:r w:rsidRPr="00C73F31">
              <w:rPr>
                <w:rFonts w:ascii="Arial Narrow" w:hAnsi="Arial Narrow"/>
                <w:sz w:val="16"/>
                <w:szCs w:val="16"/>
              </w:rPr>
              <w:t xml:space="preserve">Δάνεια </w:t>
            </w:r>
          </w:p>
        </w:tc>
        <w:tc>
          <w:tcPr>
            <w:tcW w:w="1041"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1.066.617</w:t>
            </w:r>
          </w:p>
        </w:tc>
        <w:tc>
          <w:tcPr>
            <w:tcW w:w="993"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1.221.527</w:t>
            </w:r>
          </w:p>
        </w:tc>
        <w:tc>
          <w:tcPr>
            <w:tcW w:w="1027"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704.871</w:t>
            </w:r>
          </w:p>
        </w:tc>
        <w:tc>
          <w:tcPr>
            <w:tcW w:w="815"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14,5</w:t>
            </w:r>
          </w:p>
        </w:tc>
        <w:tc>
          <w:tcPr>
            <w:tcW w:w="733" w:type="dxa"/>
            <w:tcBorders>
              <w:top w:val="nil"/>
              <w:bottom w:val="nil"/>
              <w:right w:val="single" w:sz="4" w:space="0" w:color="auto"/>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-42,3</w:t>
            </w:r>
          </w:p>
        </w:tc>
      </w:tr>
      <w:tr w:rsidR="00E47E3B" w:rsidRPr="00C73F31" w:rsidTr="0069738C">
        <w:trPr>
          <w:trHeight w:val="170"/>
        </w:trPr>
        <w:tc>
          <w:tcPr>
            <w:tcW w:w="353" w:type="dxa"/>
            <w:tcBorders>
              <w:top w:val="nil"/>
              <w:left w:val="single" w:sz="4" w:space="0" w:color="auto"/>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sz w:val="16"/>
                <w:szCs w:val="16"/>
              </w:rPr>
            </w:pPr>
            <w:r w:rsidRPr="00C73F31">
              <w:rPr>
                <w:rFonts w:ascii="Arial Narrow" w:hAnsi="Arial Narrow"/>
                <w:sz w:val="16"/>
                <w:szCs w:val="16"/>
              </w:rPr>
              <w:t>16</w:t>
            </w:r>
          </w:p>
        </w:tc>
        <w:tc>
          <w:tcPr>
            <w:tcW w:w="992" w:type="dxa"/>
            <w:tcBorders>
              <w:top w:val="nil"/>
              <w:bottom w:val="nil"/>
            </w:tcBorders>
            <w:shd w:val="clear" w:color="auto" w:fill="auto"/>
            <w:noWrap/>
            <w:tcMar>
              <w:left w:w="28" w:type="dxa"/>
              <w:right w:w="28" w:type="dxa"/>
            </w:tcMar>
            <w:vAlign w:val="bottom"/>
            <w:hideMark/>
          </w:tcPr>
          <w:p w:rsidR="00E47E3B" w:rsidRPr="00C73F31" w:rsidRDefault="00E47E3B" w:rsidP="0069738C">
            <w:pPr>
              <w:jc w:val="center"/>
              <w:rPr>
                <w:rFonts w:ascii="Arial Narrow" w:hAnsi="Arial Narrow"/>
                <w:sz w:val="16"/>
                <w:szCs w:val="16"/>
              </w:rPr>
            </w:pPr>
            <w:r w:rsidRPr="00C73F31">
              <w:rPr>
                <w:rFonts w:ascii="Arial Narrow" w:hAnsi="Arial Narrow"/>
                <w:sz w:val="16"/>
                <w:szCs w:val="16"/>
              </w:rPr>
              <w:t>57</w:t>
            </w:r>
          </w:p>
        </w:tc>
        <w:tc>
          <w:tcPr>
            <w:tcW w:w="3402" w:type="dxa"/>
            <w:gridSpan w:val="2"/>
            <w:tcBorders>
              <w:top w:val="nil"/>
              <w:bottom w:val="nil"/>
            </w:tcBorders>
            <w:shd w:val="clear" w:color="auto" w:fill="auto"/>
            <w:tcMar>
              <w:left w:w="28" w:type="dxa"/>
              <w:right w:w="28" w:type="dxa"/>
            </w:tcMar>
            <w:vAlign w:val="bottom"/>
            <w:hideMark/>
          </w:tcPr>
          <w:p w:rsidR="00E47E3B" w:rsidRPr="00C73F31" w:rsidRDefault="00E47E3B" w:rsidP="0069738C">
            <w:pPr>
              <w:rPr>
                <w:rFonts w:ascii="Arial Narrow" w:hAnsi="Arial Narrow"/>
                <w:sz w:val="16"/>
                <w:szCs w:val="16"/>
              </w:rPr>
            </w:pPr>
            <w:r w:rsidRPr="00C73F31">
              <w:rPr>
                <w:rFonts w:ascii="Arial Narrow" w:hAnsi="Arial Narrow"/>
                <w:sz w:val="16"/>
                <w:szCs w:val="16"/>
              </w:rPr>
              <w:t>Χρηματοοικονομικά παράγωγα</w:t>
            </w:r>
          </w:p>
        </w:tc>
        <w:tc>
          <w:tcPr>
            <w:tcW w:w="1041"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2.274</w:t>
            </w:r>
          </w:p>
        </w:tc>
        <w:tc>
          <w:tcPr>
            <w:tcW w:w="993"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2.314</w:t>
            </w:r>
          </w:p>
        </w:tc>
        <w:tc>
          <w:tcPr>
            <w:tcW w:w="1027"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1.450</w:t>
            </w:r>
          </w:p>
        </w:tc>
        <w:tc>
          <w:tcPr>
            <w:tcW w:w="815" w:type="dxa"/>
            <w:tcBorders>
              <w:top w:val="nil"/>
              <w:bottom w:val="nil"/>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1,7</w:t>
            </w:r>
          </w:p>
        </w:tc>
        <w:tc>
          <w:tcPr>
            <w:tcW w:w="733" w:type="dxa"/>
            <w:tcBorders>
              <w:top w:val="nil"/>
              <w:bottom w:val="nil"/>
              <w:right w:val="single" w:sz="4" w:space="0" w:color="auto"/>
            </w:tcBorders>
            <w:shd w:val="clear" w:color="auto" w:fill="auto"/>
            <w:tcMar>
              <w:left w:w="28" w:type="dxa"/>
              <w:right w:w="28" w:type="dxa"/>
            </w:tcMar>
            <w:vAlign w:val="bottom"/>
            <w:hideMark/>
          </w:tcPr>
          <w:p w:rsidR="00E47E3B" w:rsidRDefault="00E47E3B" w:rsidP="0069738C">
            <w:pPr>
              <w:ind w:right="170"/>
              <w:jc w:val="right"/>
              <w:rPr>
                <w:rFonts w:ascii="Arial Narrow" w:hAnsi="Arial Narrow"/>
                <w:sz w:val="16"/>
                <w:szCs w:val="16"/>
              </w:rPr>
            </w:pPr>
            <w:r>
              <w:rPr>
                <w:rFonts w:ascii="Arial Narrow" w:hAnsi="Arial Narrow"/>
                <w:sz w:val="16"/>
                <w:szCs w:val="16"/>
              </w:rPr>
              <w:t>-37,3</w:t>
            </w:r>
          </w:p>
        </w:tc>
      </w:tr>
      <w:tr w:rsidR="00E47E3B" w:rsidRPr="00C73F31" w:rsidTr="0069738C">
        <w:trPr>
          <w:trHeight w:val="170"/>
        </w:trPr>
        <w:tc>
          <w:tcPr>
            <w:tcW w:w="353" w:type="dxa"/>
            <w:tcBorders>
              <w:left w:val="single" w:sz="4" w:space="0" w:color="auto"/>
            </w:tcBorders>
            <w:shd w:val="clear" w:color="000000" w:fill="BFBFBF"/>
            <w:tcMar>
              <w:left w:w="28" w:type="dxa"/>
              <w:right w:w="28" w:type="dxa"/>
            </w:tcMar>
            <w:hideMark/>
          </w:tcPr>
          <w:p w:rsidR="00E47E3B" w:rsidRPr="00C73F31" w:rsidRDefault="00E47E3B" w:rsidP="0069738C">
            <w:pPr>
              <w:jc w:val="center"/>
              <w:rPr>
                <w:rFonts w:ascii="Arial Narrow" w:hAnsi="Arial Narrow"/>
                <w:b/>
                <w:bCs/>
                <w:sz w:val="16"/>
                <w:szCs w:val="16"/>
              </w:rPr>
            </w:pPr>
            <w:r w:rsidRPr="00C73F31">
              <w:rPr>
                <w:rFonts w:ascii="Arial Narrow" w:hAnsi="Arial Narrow"/>
                <w:b/>
                <w:bCs/>
                <w:sz w:val="16"/>
                <w:szCs w:val="16"/>
              </w:rPr>
              <w:t>Β</w:t>
            </w:r>
          </w:p>
        </w:tc>
        <w:tc>
          <w:tcPr>
            <w:tcW w:w="4394" w:type="dxa"/>
            <w:gridSpan w:val="3"/>
            <w:shd w:val="clear" w:color="000000" w:fill="BFBFBF"/>
            <w:tcMar>
              <w:left w:w="28" w:type="dxa"/>
              <w:right w:w="28" w:type="dxa"/>
            </w:tcMar>
            <w:vAlign w:val="center"/>
            <w:hideMark/>
          </w:tcPr>
          <w:p w:rsidR="00E47E3B" w:rsidRDefault="00E47E3B" w:rsidP="0069738C">
            <w:pPr>
              <w:rPr>
                <w:rFonts w:ascii="Arial Narrow" w:hAnsi="Arial Narrow"/>
                <w:b/>
                <w:bCs/>
                <w:sz w:val="16"/>
                <w:szCs w:val="16"/>
              </w:rPr>
            </w:pPr>
            <w:r w:rsidRPr="00C73F31">
              <w:rPr>
                <w:rFonts w:ascii="Arial Narrow" w:hAnsi="Arial Narrow"/>
                <w:b/>
                <w:bCs/>
                <w:sz w:val="16"/>
                <w:szCs w:val="16"/>
              </w:rPr>
              <w:t>Δαπάνες χρηματοοικονομικών συναλλαγών</w:t>
            </w:r>
          </w:p>
          <w:p w:rsidR="00E47E3B" w:rsidRPr="00C73F31" w:rsidRDefault="00E47E3B" w:rsidP="0069738C">
            <w:pPr>
              <w:rPr>
                <w:rFonts w:ascii="Arial Narrow" w:hAnsi="Arial Narrow"/>
                <w:b/>
                <w:bCs/>
                <w:sz w:val="16"/>
                <w:szCs w:val="16"/>
              </w:rPr>
            </w:pPr>
            <w:r w:rsidRPr="00C73F31">
              <w:rPr>
                <w:rFonts w:ascii="Arial Narrow" w:hAnsi="Arial Narrow"/>
                <w:b/>
                <w:bCs/>
                <w:sz w:val="16"/>
                <w:szCs w:val="16"/>
              </w:rPr>
              <w:t>(11+12+13+14+15+16)</w:t>
            </w:r>
          </w:p>
        </w:tc>
        <w:tc>
          <w:tcPr>
            <w:tcW w:w="1041" w:type="dxa"/>
            <w:shd w:val="clear" w:color="000000" w:fill="BFBFBF"/>
            <w:tcMar>
              <w:left w:w="28" w:type="dxa"/>
              <w:right w:w="28" w:type="dxa"/>
            </w:tcMar>
            <w:vAlign w:val="center"/>
            <w:hideMark/>
          </w:tcPr>
          <w:p w:rsidR="00E47E3B" w:rsidRDefault="00E47E3B" w:rsidP="0069738C">
            <w:pPr>
              <w:ind w:right="170"/>
              <w:jc w:val="right"/>
              <w:rPr>
                <w:rFonts w:ascii="Arial Narrow" w:hAnsi="Arial Narrow"/>
                <w:b/>
                <w:bCs/>
                <w:sz w:val="16"/>
                <w:szCs w:val="16"/>
              </w:rPr>
            </w:pPr>
            <w:r>
              <w:rPr>
                <w:rFonts w:ascii="Arial Narrow" w:hAnsi="Arial Narrow"/>
                <w:b/>
                <w:bCs/>
                <w:sz w:val="16"/>
                <w:szCs w:val="16"/>
              </w:rPr>
              <w:t>1.108.231</w:t>
            </w:r>
          </w:p>
        </w:tc>
        <w:tc>
          <w:tcPr>
            <w:tcW w:w="993" w:type="dxa"/>
            <w:shd w:val="clear" w:color="000000" w:fill="BFBFBF"/>
            <w:tcMar>
              <w:left w:w="28" w:type="dxa"/>
              <w:right w:w="28" w:type="dxa"/>
            </w:tcMar>
            <w:vAlign w:val="center"/>
            <w:hideMark/>
          </w:tcPr>
          <w:p w:rsidR="00E47E3B" w:rsidRDefault="00E47E3B" w:rsidP="0069738C">
            <w:pPr>
              <w:ind w:right="170"/>
              <w:jc w:val="right"/>
              <w:rPr>
                <w:rFonts w:ascii="Arial Narrow" w:hAnsi="Arial Narrow"/>
                <w:b/>
                <w:bCs/>
                <w:sz w:val="16"/>
                <w:szCs w:val="16"/>
              </w:rPr>
            </w:pPr>
            <w:r>
              <w:rPr>
                <w:rFonts w:ascii="Arial Narrow" w:hAnsi="Arial Narrow"/>
                <w:b/>
                <w:bCs/>
                <w:sz w:val="16"/>
                <w:szCs w:val="16"/>
              </w:rPr>
              <w:t>1.253.903</w:t>
            </w:r>
          </w:p>
        </w:tc>
        <w:tc>
          <w:tcPr>
            <w:tcW w:w="1027" w:type="dxa"/>
            <w:shd w:val="clear" w:color="000000" w:fill="BFBFBF"/>
            <w:tcMar>
              <w:left w:w="28" w:type="dxa"/>
              <w:right w:w="28" w:type="dxa"/>
            </w:tcMar>
            <w:vAlign w:val="center"/>
            <w:hideMark/>
          </w:tcPr>
          <w:p w:rsidR="00E47E3B" w:rsidRDefault="00E47E3B" w:rsidP="0069738C">
            <w:pPr>
              <w:ind w:right="170"/>
              <w:jc w:val="right"/>
              <w:rPr>
                <w:rFonts w:ascii="Arial Narrow" w:hAnsi="Arial Narrow"/>
                <w:b/>
                <w:bCs/>
                <w:sz w:val="16"/>
                <w:szCs w:val="16"/>
              </w:rPr>
            </w:pPr>
            <w:r>
              <w:rPr>
                <w:rFonts w:ascii="Arial Narrow" w:hAnsi="Arial Narrow"/>
                <w:b/>
                <w:bCs/>
                <w:sz w:val="16"/>
                <w:szCs w:val="16"/>
              </w:rPr>
              <w:t>734.388</w:t>
            </w:r>
          </w:p>
        </w:tc>
        <w:tc>
          <w:tcPr>
            <w:tcW w:w="815" w:type="dxa"/>
            <w:shd w:val="clear" w:color="000000" w:fill="BFBFBF"/>
            <w:tcMar>
              <w:left w:w="28" w:type="dxa"/>
              <w:right w:w="28" w:type="dxa"/>
            </w:tcMar>
            <w:vAlign w:val="center"/>
            <w:hideMark/>
          </w:tcPr>
          <w:p w:rsidR="00E47E3B" w:rsidRDefault="00E47E3B" w:rsidP="0069738C">
            <w:pPr>
              <w:ind w:right="170"/>
              <w:jc w:val="right"/>
              <w:rPr>
                <w:rFonts w:ascii="Arial Narrow" w:hAnsi="Arial Narrow"/>
                <w:b/>
                <w:bCs/>
                <w:sz w:val="16"/>
                <w:szCs w:val="16"/>
              </w:rPr>
            </w:pPr>
            <w:r>
              <w:rPr>
                <w:rFonts w:ascii="Arial Narrow" w:hAnsi="Arial Narrow"/>
                <w:b/>
                <w:bCs/>
                <w:sz w:val="16"/>
                <w:szCs w:val="16"/>
              </w:rPr>
              <w:t>13,1</w:t>
            </w:r>
          </w:p>
        </w:tc>
        <w:tc>
          <w:tcPr>
            <w:tcW w:w="733" w:type="dxa"/>
            <w:tcBorders>
              <w:right w:val="single" w:sz="4" w:space="0" w:color="auto"/>
            </w:tcBorders>
            <w:shd w:val="clear" w:color="000000" w:fill="BFBFBF"/>
            <w:tcMar>
              <w:left w:w="28" w:type="dxa"/>
              <w:right w:w="28" w:type="dxa"/>
            </w:tcMar>
            <w:vAlign w:val="center"/>
            <w:hideMark/>
          </w:tcPr>
          <w:p w:rsidR="00E47E3B" w:rsidRDefault="00E47E3B" w:rsidP="0069738C">
            <w:pPr>
              <w:ind w:right="170"/>
              <w:jc w:val="right"/>
              <w:rPr>
                <w:rFonts w:ascii="Arial Narrow" w:hAnsi="Arial Narrow"/>
                <w:b/>
                <w:bCs/>
                <w:sz w:val="16"/>
                <w:szCs w:val="16"/>
              </w:rPr>
            </w:pPr>
            <w:r>
              <w:rPr>
                <w:rFonts w:ascii="Arial Narrow" w:hAnsi="Arial Narrow"/>
                <w:b/>
                <w:bCs/>
                <w:sz w:val="16"/>
                <w:szCs w:val="16"/>
              </w:rPr>
              <w:t>-41,4</w:t>
            </w:r>
          </w:p>
        </w:tc>
      </w:tr>
      <w:tr w:rsidR="00E47E3B" w:rsidRPr="00C73F31" w:rsidTr="0069738C">
        <w:trPr>
          <w:trHeight w:val="170"/>
        </w:trPr>
        <w:tc>
          <w:tcPr>
            <w:tcW w:w="353" w:type="dxa"/>
            <w:tcBorders>
              <w:left w:val="single" w:sz="4" w:space="0" w:color="auto"/>
            </w:tcBorders>
            <w:shd w:val="clear" w:color="auto" w:fill="auto"/>
            <w:tcMar>
              <w:left w:w="28" w:type="dxa"/>
              <w:right w:w="28" w:type="dxa"/>
            </w:tcMar>
            <w:vAlign w:val="center"/>
            <w:hideMark/>
          </w:tcPr>
          <w:p w:rsidR="00E47E3B" w:rsidRPr="00C73F31" w:rsidRDefault="00E47E3B" w:rsidP="0069738C">
            <w:pPr>
              <w:jc w:val="center"/>
              <w:rPr>
                <w:rFonts w:ascii="Arial Narrow" w:hAnsi="Arial Narrow"/>
                <w:b/>
                <w:bCs/>
                <w:sz w:val="16"/>
                <w:szCs w:val="16"/>
              </w:rPr>
            </w:pPr>
          </w:p>
        </w:tc>
        <w:tc>
          <w:tcPr>
            <w:tcW w:w="1639" w:type="dxa"/>
            <w:gridSpan w:val="2"/>
            <w:shd w:val="clear" w:color="auto" w:fill="auto"/>
            <w:tcMar>
              <w:left w:w="28" w:type="dxa"/>
              <w:right w:w="28" w:type="dxa"/>
            </w:tcMar>
            <w:vAlign w:val="center"/>
            <w:hideMark/>
          </w:tcPr>
          <w:p w:rsidR="00E47E3B" w:rsidRPr="00C73F31" w:rsidRDefault="00E47E3B" w:rsidP="0069738C">
            <w:pPr>
              <w:rPr>
                <w:rFonts w:ascii="Arial Narrow" w:hAnsi="Arial Narrow"/>
                <w:b/>
                <w:bCs/>
                <w:sz w:val="16"/>
                <w:szCs w:val="16"/>
              </w:rPr>
            </w:pPr>
          </w:p>
        </w:tc>
        <w:tc>
          <w:tcPr>
            <w:tcW w:w="2755" w:type="dxa"/>
            <w:shd w:val="clear" w:color="auto" w:fill="auto"/>
            <w:tcMar>
              <w:left w:w="28" w:type="dxa"/>
              <w:right w:w="28" w:type="dxa"/>
            </w:tcMar>
            <w:vAlign w:val="center"/>
          </w:tcPr>
          <w:p w:rsidR="00E47E3B" w:rsidRDefault="00E47E3B" w:rsidP="0069738C">
            <w:pPr>
              <w:rPr>
                <w:rFonts w:ascii="Arial Narrow" w:hAnsi="Arial Narrow"/>
                <w:b/>
                <w:bCs/>
                <w:sz w:val="16"/>
                <w:szCs w:val="16"/>
              </w:rPr>
            </w:pPr>
            <w:r>
              <w:rPr>
                <w:rFonts w:ascii="Arial Narrow" w:hAnsi="Arial Narrow"/>
                <w:b/>
                <w:bCs/>
                <w:sz w:val="16"/>
                <w:szCs w:val="16"/>
              </w:rPr>
              <w:t> </w:t>
            </w:r>
          </w:p>
        </w:tc>
        <w:tc>
          <w:tcPr>
            <w:tcW w:w="1041" w:type="dxa"/>
            <w:shd w:val="clear" w:color="auto" w:fill="auto"/>
            <w:tcMar>
              <w:left w:w="28" w:type="dxa"/>
              <w:right w:w="28" w:type="dxa"/>
            </w:tcMar>
            <w:vAlign w:val="center"/>
            <w:hideMark/>
          </w:tcPr>
          <w:p w:rsidR="00E47E3B" w:rsidRDefault="00E47E3B" w:rsidP="0069738C">
            <w:pPr>
              <w:ind w:right="170"/>
              <w:rPr>
                <w:rFonts w:ascii="Arial Narrow" w:hAnsi="Arial Narrow"/>
                <w:b/>
                <w:bCs/>
                <w:sz w:val="16"/>
                <w:szCs w:val="16"/>
              </w:rPr>
            </w:pPr>
            <w:r>
              <w:rPr>
                <w:rFonts w:ascii="Arial Narrow" w:hAnsi="Arial Narrow"/>
                <w:b/>
                <w:bCs/>
                <w:sz w:val="16"/>
                <w:szCs w:val="16"/>
              </w:rPr>
              <w:t> </w:t>
            </w:r>
          </w:p>
        </w:tc>
        <w:tc>
          <w:tcPr>
            <w:tcW w:w="993" w:type="dxa"/>
            <w:shd w:val="clear" w:color="auto" w:fill="auto"/>
            <w:tcMar>
              <w:left w:w="28" w:type="dxa"/>
              <w:right w:w="28" w:type="dxa"/>
            </w:tcMar>
            <w:vAlign w:val="center"/>
            <w:hideMark/>
          </w:tcPr>
          <w:p w:rsidR="00E47E3B" w:rsidRDefault="00E47E3B" w:rsidP="0069738C">
            <w:pPr>
              <w:ind w:right="170"/>
              <w:jc w:val="right"/>
              <w:rPr>
                <w:rFonts w:ascii="Arial Narrow" w:hAnsi="Arial Narrow"/>
                <w:b/>
                <w:bCs/>
                <w:sz w:val="16"/>
                <w:szCs w:val="16"/>
              </w:rPr>
            </w:pPr>
            <w:r>
              <w:rPr>
                <w:rFonts w:ascii="Arial Narrow" w:hAnsi="Arial Narrow"/>
                <w:b/>
                <w:bCs/>
                <w:sz w:val="16"/>
                <w:szCs w:val="16"/>
              </w:rPr>
              <w:t> </w:t>
            </w:r>
          </w:p>
        </w:tc>
        <w:tc>
          <w:tcPr>
            <w:tcW w:w="1027" w:type="dxa"/>
            <w:shd w:val="clear" w:color="auto" w:fill="auto"/>
            <w:tcMar>
              <w:left w:w="28" w:type="dxa"/>
              <w:right w:w="28" w:type="dxa"/>
            </w:tcMar>
            <w:vAlign w:val="center"/>
            <w:hideMark/>
          </w:tcPr>
          <w:p w:rsidR="00E47E3B" w:rsidRDefault="00E47E3B" w:rsidP="0069738C">
            <w:pPr>
              <w:ind w:right="170"/>
              <w:jc w:val="right"/>
              <w:rPr>
                <w:rFonts w:ascii="Arial Narrow" w:hAnsi="Arial Narrow"/>
                <w:b/>
                <w:bCs/>
                <w:sz w:val="16"/>
                <w:szCs w:val="16"/>
              </w:rPr>
            </w:pPr>
            <w:r>
              <w:rPr>
                <w:rFonts w:ascii="Arial Narrow" w:hAnsi="Arial Narrow"/>
                <w:b/>
                <w:bCs/>
                <w:sz w:val="16"/>
                <w:szCs w:val="16"/>
              </w:rPr>
              <w:t> </w:t>
            </w:r>
          </w:p>
        </w:tc>
        <w:tc>
          <w:tcPr>
            <w:tcW w:w="815" w:type="dxa"/>
            <w:shd w:val="clear" w:color="auto" w:fill="auto"/>
            <w:tcMar>
              <w:left w:w="28" w:type="dxa"/>
              <w:right w:w="28" w:type="dxa"/>
            </w:tcMar>
            <w:vAlign w:val="center"/>
            <w:hideMark/>
          </w:tcPr>
          <w:p w:rsidR="00E47E3B" w:rsidRDefault="00E47E3B" w:rsidP="0069738C">
            <w:pPr>
              <w:ind w:right="170"/>
              <w:jc w:val="right"/>
              <w:rPr>
                <w:rFonts w:ascii="Arial Narrow" w:hAnsi="Arial Narrow"/>
                <w:b/>
                <w:bCs/>
                <w:sz w:val="16"/>
                <w:szCs w:val="16"/>
              </w:rPr>
            </w:pPr>
            <w:r>
              <w:rPr>
                <w:rFonts w:ascii="Arial Narrow" w:hAnsi="Arial Narrow"/>
                <w:b/>
                <w:bCs/>
                <w:sz w:val="16"/>
                <w:szCs w:val="16"/>
              </w:rPr>
              <w:t> </w:t>
            </w:r>
          </w:p>
        </w:tc>
        <w:tc>
          <w:tcPr>
            <w:tcW w:w="733" w:type="dxa"/>
            <w:tcBorders>
              <w:right w:val="single" w:sz="4" w:space="0" w:color="auto"/>
            </w:tcBorders>
            <w:shd w:val="clear" w:color="auto" w:fill="auto"/>
            <w:tcMar>
              <w:left w:w="28" w:type="dxa"/>
              <w:right w:w="28" w:type="dxa"/>
            </w:tcMar>
            <w:vAlign w:val="center"/>
            <w:hideMark/>
          </w:tcPr>
          <w:p w:rsidR="00E47E3B" w:rsidRDefault="00E47E3B" w:rsidP="0069738C">
            <w:pPr>
              <w:ind w:right="170"/>
              <w:jc w:val="right"/>
              <w:rPr>
                <w:rFonts w:ascii="Arial Narrow" w:hAnsi="Arial Narrow"/>
                <w:b/>
                <w:bCs/>
                <w:sz w:val="16"/>
                <w:szCs w:val="16"/>
              </w:rPr>
            </w:pPr>
          </w:p>
        </w:tc>
      </w:tr>
      <w:tr w:rsidR="00E47E3B" w:rsidRPr="00C73F31" w:rsidTr="0069738C">
        <w:trPr>
          <w:trHeight w:val="340"/>
        </w:trPr>
        <w:tc>
          <w:tcPr>
            <w:tcW w:w="353" w:type="dxa"/>
            <w:tcBorders>
              <w:left w:val="single" w:sz="4" w:space="0" w:color="auto"/>
              <w:bottom w:val="single" w:sz="4" w:space="0" w:color="auto"/>
            </w:tcBorders>
            <w:shd w:val="clear" w:color="000000" w:fill="BFBFBF"/>
            <w:tcMar>
              <w:left w:w="28" w:type="dxa"/>
              <w:right w:w="28" w:type="dxa"/>
            </w:tcMar>
            <w:vAlign w:val="center"/>
            <w:hideMark/>
          </w:tcPr>
          <w:p w:rsidR="00E47E3B" w:rsidRPr="00C73F31" w:rsidRDefault="00E47E3B" w:rsidP="0069738C">
            <w:pPr>
              <w:jc w:val="center"/>
              <w:rPr>
                <w:rFonts w:ascii="Arial Narrow" w:hAnsi="Arial Narrow"/>
                <w:b/>
                <w:bCs/>
                <w:sz w:val="16"/>
                <w:szCs w:val="16"/>
              </w:rPr>
            </w:pPr>
            <w:r w:rsidRPr="00C73F31">
              <w:rPr>
                <w:rFonts w:ascii="Arial Narrow" w:hAnsi="Arial Narrow"/>
                <w:b/>
                <w:bCs/>
                <w:sz w:val="16"/>
                <w:szCs w:val="16"/>
              </w:rPr>
              <w:t>Γ</w:t>
            </w:r>
          </w:p>
        </w:tc>
        <w:tc>
          <w:tcPr>
            <w:tcW w:w="4394" w:type="dxa"/>
            <w:gridSpan w:val="3"/>
            <w:tcBorders>
              <w:bottom w:val="single" w:sz="4" w:space="0" w:color="auto"/>
            </w:tcBorders>
            <w:shd w:val="clear" w:color="000000" w:fill="BFBFBF"/>
            <w:tcMar>
              <w:left w:w="28" w:type="dxa"/>
              <w:right w:w="28" w:type="dxa"/>
            </w:tcMar>
            <w:vAlign w:val="center"/>
            <w:hideMark/>
          </w:tcPr>
          <w:p w:rsidR="00E47E3B" w:rsidRPr="00C73F31" w:rsidRDefault="00E47E3B" w:rsidP="0069738C">
            <w:pPr>
              <w:rPr>
                <w:rFonts w:ascii="Arial Narrow" w:hAnsi="Arial Narrow"/>
                <w:b/>
                <w:bCs/>
                <w:sz w:val="16"/>
                <w:szCs w:val="16"/>
              </w:rPr>
            </w:pPr>
            <w:r w:rsidRPr="00C73F31">
              <w:rPr>
                <w:rFonts w:ascii="Arial Narrow" w:hAnsi="Arial Narrow"/>
                <w:b/>
                <w:bCs/>
                <w:sz w:val="16"/>
                <w:szCs w:val="16"/>
              </w:rPr>
              <w:t>Γενικό σύνολο δαπανών (Α+Β)</w:t>
            </w:r>
          </w:p>
        </w:tc>
        <w:tc>
          <w:tcPr>
            <w:tcW w:w="1041" w:type="dxa"/>
            <w:tcBorders>
              <w:bottom w:val="single" w:sz="4" w:space="0" w:color="auto"/>
            </w:tcBorders>
            <w:shd w:val="clear" w:color="000000" w:fill="BFBFBF"/>
            <w:tcMar>
              <w:left w:w="28" w:type="dxa"/>
              <w:right w:w="28" w:type="dxa"/>
            </w:tcMar>
            <w:vAlign w:val="center"/>
            <w:hideMark/>
          </w:tcPr>
          <w:p w:rsidR="00E47E3B" w:rsidRDefault="00E47E3B" w:rsidP="0069738C">
            <w:pPr>
              <w:ind w:right="170"/>
              <w:jc w:val="right"/>
              <w:rPr>
                <w:rFonts w:ascii="Arial Narrow" w:hAnsi="Arial Narrow"/>
                <w:b/>
                <w:bCs/>
                <w:sz w:val="16"/>
                <w:szCs w:val="16"/>
              </w:rPr>
            </w:pPr>
            <w:r>
              <w:rPr>
                <w:rFonts w:ascii="Arial Narrow" w:hAnsi="Arial Narrow"/>
                <w:b/>
                <w:bCs/>
                <w:sz w:val="16"/>
                <w:szCs w:val="16"/>
              </w:rPr>
              <w:t>1.163.504</w:t>
            </w:r>
          </w:p>
        </w:tc>
        <w:tc>
          <w:tcPr>
            <w:tcW w:w="993" w:type="dxa"/>
            <w:tcBorders>
              <w:bottom w:val="single" w:sz="4" w:space="0" w:color="auto"/>
            </w:tcBorders>
            <w:shd w:val="clear" w:color="000000" w:fill="BFBFBF"/>
            <w:tcMar>
              <w:left w:w="28" w:type="dxa"/>
              <w:right w:w="28" w:type="dxa"/>
            </w:tcMar>
            <w:vAlign w:val="center"/>
            <w:hideMark/>
          </w:tcPr>
          <w:p w:rsidR="00E47E3B" w:rsidRDefault="00E47E3B" w:rsidP="0069738C">
            <w:pPr>
              <w:ind w:right="170"/>
              <w:jc w:val="right"/>
              <w:rPr>
                <w:rFonts w:ascii="Arial Narrow" w:hAnsi="Arial Narrow"/>
                <w:b/>
                <w:bCs/>
                <w:sz w:val="16"/>
                <w:szCs w:val="16"/>
              </w:rPr>
            </w:pPr>
            <w:r>
              <w:rPr>
                <w:rFonts w:ascii="Arial Narrow" w:hAnsi="Arial Narrow"/>
                <w:b/>
                <w:bCs/>
                <w:sz w:val="16"/>
                <w:szCs w:val="16"/>
              </w:rPr>
              <w:t>1.324.677</w:t>
            </w:r>
          </w:p>
        </w:tc>
        <w:tc>
          <w:tcPr>
            <w:tcW w:w="1027" w:type="dxa"/>
            <w:tcBorders>
              <w:bottom w:val="single" w:sz="4" w:space="0" w:color="auto"/>
            </w:tcBorders>
            <w:shd w:val="clear" w:color="000000" w:fill="BFBFBF"/>
            <w:tcMar>
              <w:left w:w="28" w:type="dxa"/>
              <w:right w:w="28" w:type="dxa"/>
            </w:tcMar>
            <w:vAlign w:val="center"/>
            <w:hideMark/>
          </w:tcPr>
          <w:p w:rsidR="00E47E3B" w:rsidRDefault="00E47E3B" w:rsidP="0069738C">
            <w:pPr>
              <w:ind w:right="170"/>
              <w:jc w:val="right"/>
              <w:rPr>
                <w:rFonts w:ascii="Arial Narrow" w:hAnsi="Arial Narrow"/>
                <w:b/>
                <w:bCs/>
                <w:sz w:val="16"/>
                <w:szCs w:val="16"/>
              </w:rPr>
            </w:pPr>
            <w:r>
              <w:rPr>
                <w:rFonts w:ascii="Arial Narrow" w:hAnsi="Arial Narrow"/>
                <w:b/>
                <w:bCs/>
                <w:sz w:val="16"/>
                <w:szCs w:val="16"/>
              </w:rPr>
              <w:t>802.198</w:t>
            </w:r>
          </w:p>
        </w:tc>
        <w:tc>
          <w:tcPr>
            <w:tcW w:w="815" w:type="dxa"/>
            <w:tcBorders>
              <w:bottom w:val="single" w:sz="4" w:space="0" w:color="auto"/>
            </w:tcBorders>
            <w:shd w:val="clear" w:color="000000" w:fill="BFBFBF"/>
            <w:tcMar>
              <w:left w:w="28" w:type="dxa"/>
              <w:right w:w="28" w:type="dxa"/>
            </w:tcMar>
            <w:vAlign w:val="center"/>
            <w:hideMark/>
          </w:tcPr>
          <w:p w:rsidR="00E47E3B" w:rsidRDefault="00E47E3B" w:rsidP="0069738C">
            <w:pPr>
              <w:ind w:right="170"/>
              <w:jc w:val="right"/>
              <w:rPr>
                <w:rFonts w:ascii="Arial Narrow" w:hAnsi="Arial Narrow"/>
                <w:b/>
                <w:bCs/>
                <w:sz w:val="16"/>
                <w:szCs w:val="16"/>
              </w:rPr>
            </w:pPr>
            <w:r>
              <w:rPr>
                <w:rFonts w:ascii="Arial Narrow" w:hAnsi="Arial Narrow"/>
                <w:b/>
                <w:bCs/>
                <w:sz w:val="16"/>
                <w:szCs w:val="16"/>
              </w:rPr>
              <w:t>13,9</w:t>
            </w:r>
          </w:p>
        </w:tc>
        <w:tc>
          <w:tcPr>
            <w:tcW w:w="733" w:type="dxa"/>
            <w:tcBorders>
              <w:bottom w:val="single" w:sz="4" w:space="0" w:color="auto"/>
              <w:right w:val="single" w:sz="4" w:space="0" w:color="auto"/>
            </w:tcBorders>
            <w:shd w:val="clear" w:color="000000" w:fill="BFBFBF"/>
            <w:tcMar>
              <w:left w:w="28" w:type="dxa"/>
              <w:right w:w="28" w:type="dxa"/>
            </w:tcMar>
            <w:vAlign w:val="center"/>
            <w:hideMark/>
          </w:tcPr>
          <w:p w:rsidR="00E47E3B" w:rsidRDefault="00E47E3B" w:rsidP="0069738C">
            <w:pPr>
              <w:ind w:right="170"/>
              <w:jc w:val="right"/>
              <w:rPr>
                <w:rFonts w:ascii="Arial Narrow" w:hAnsi="Arial Narrow"/>
                <w:b/>
                <w:bCs/>
                <w:sz w:val="16"/>
                <w:szCs w:val="16"/>
              </w:rPr>
            </w:pPr>
            <w:r>
              <w:rPr>
                <w:rFonts w:ascii="Arial Narrow" w:hAnsi="Arial Narrow"/>
                <w:b/>
                <w:bCs/>
                <w:sz w:val="16"/>
                <w:szCs w:val="16"/>
              </w:rPr>
              <w:t>-39,4</w:t>
            </w:r>
          </w:p>
        </w:tc>
      </w:tr>
    </w:tbl>
    <w:p w:rsidR="00E47E3B" w:rsidRPr="00C73F31" w:rsidRDefault="00E47E3B" w:rsidP="00E47E3B">
      <w:pPr>
        <w:tabs>
          <w:tab w:val="left" w:pos="284"/>
          <w:tab w:val="left" w:pos="10096"/>
          <w:tab w:val="left" w:pos="10318"/>
        </w:tabs>
        <w:ind w:right="-710"/>
        <w:rPr>
          <w:rFonts w:ascii="Arial Narrow" w:hAnsi="Arial Narrow"/>
          <w:sz w:val="16"/>
          <w:szCs w:val="16"/>
        </w:rPr>
      </w:pPr>
      <w:r w:rsidRPr="00C73F31">
        <w:rPr>
          <w:rFonts w:ascii="Arial Narrow" w:hAnsi="Arial Narrow"/>
          <w:sz w:val="16"/>
          <w:szCs w:val="16"/>
          <w:vertAlign w:val="superscript"/>
        </w:rPr>
        <w:t>1</w:t>
      </w:r>
      <w:r w:rsidRPr="00C73F31">
        <w:rPr>
          <w:rFonts w:ascii="Arial Narrow" w:hAnsi="Arial Narrow"/>
          <w:sz w:val="16"/>
          <w:szCs w:val="16"/>
        </w:rPr>
        <w:tab/>
        <w:t>Τόκοι σε ακαθάριστη βάση.</w:t>
      </w:r>
    </w:p>
    <w:p w:rsidR="00E47E3B" w:rsidRDefault="00E47E3B" w:rsidP="00E47E3B">
      <w:pPr>
        <w:jc w:val="both"/>
        <w:rPr>
          <w:bCs/>
          <w:iCs/>
          <w:sz w:val="22"/>
          <w:szCs w:val="22"/>
        </w:rPr>
      </w:pPr>
    </w:p>
    <w:p w:rsidR="00E47E3B" w:rsidRDefault="00E47E3B" w:rsidP="00174A83">
      <w:pPr>
        <w:rPr>
          <w:rFonts w:ascii="Arial Narrow" w:hAnsi="Arial Narrow"/>
          <w:sz w:val="18"/>
          <w:szCs w:val="18"/>
        </w:rPr>
      </w:pPr>
    </w:p>
    <w:p w:rsidR="009677D0" w:rsidRDefault="009677D0" w:rsidP="009677D0">
      <w:pPr>
        <w:rPr>
          <w:sz w:val="20"/>
          <w:szCs w:val="22"/>
        </w:rPr>
      </w:pPr>
    </w:p>
    <w:p w:rsidR="009930A8" w:rsidRDefault="009930A8" w:rsidP="009677D0">
      <w:pPr>
        <w:rPr>
          <w:sz w:val="20"/>
          <w:szCs w:val="22"/>
        </w:rPr>
      </w:pPr>
    </w:p>
    <w:p w:rsidR="009930A8" w:rsidRPr="00300D3C" w:rsidRDefault="009930A8" w:rsidP="009677D0">
      <w:pPr>
        <w:rPr>
          <w:sz w:val="20"/>
          <w:szCs w:val="22"/>
        </w:rPr>
      </w:pPr>
    </w:p>
    <w:p w:rsidR="009677D0" w:rsidRPr="00514E97" w:rsidRDefault="009677D0" w:rsidP="009677D0">
      <w:pPr>
        <w:shd w:val="clear" w:color="auto" w:fill="7F7F7F" w:themeFill="text1" w:themeFillTint="80"/>
        <w:rPr>
          <w:rFonts w:ascii="Arial Narrow" w:hAnsi="Arial Narrow"/>
          <w:b/>
          <w:color w:val="FFFFFF" w:themeColor="background1"/>
          <w:sz w:val="26"/>
          <w:szCs w:val="26"/>
        </w:rPr>
      </w:pPr>
      <w:r>
        <w:rPr>
          <w:rFonts w:ascii="Arial Narrow" w:hAnsi="Arial Narrow"/>
          <w:b/>
          <w:color w:val="FFFFFF" w:themeColor="background1"/>
          <w:sz w:val="26"/>
          <w:szCs w:val="26"/>
        </w:rPr>
        <w:t>2.</w:t>
      </w:r>
      <w:r>
        <w:rPr>
          <w:rFonts w:ascii="Arial Narrow" w:hAnsi="Arial Narrow"/>
          <w:b/>
          <w:color w:val="FFFFFF" w:themeColor="background1"/>
          <w:sz w:val="26"/>
          <w:szCs w:val="26"/>
        </w:rPr>
        <w:tab/>
        <w:t xml:space="preserve">Κρατικός προϋπολογισμός </w:t>
      </w:r>
      <w:r w:rsidR="00E148AB">
        <w:rPr>
          <w:rFonts w:ascii="Arial Narrow" w:hAnsi="Arial Narrow"/>
          <w:b/>
          <w:color w:val="FFFFFF" w:themeColor="background1"/>
          <w:sz w:val="26"/>
          <w:szCs w:val="26"/>
        </w:rPr>
        <w:t>2020</w:t>
      </w:r>
    </w:p>
    <w:p w:rsidR="009677D0" w:rsidRPr="00973874" w:rsidRDefault="009677D0" w:rsidP="009677D0">
      <w:pPr>
        <w:jc w:val="both"/>
        <w:rPr>
          <w:sz w:val="20"/>
          <w:szCs w:val="22"/>
        </w:rPr>
      </w:pPr>
    </w:p>
    <w:p w:rsidR="00E71B1B" w:rsidRPr="00A50FB2" w:rsidRDefault="00E71B1B" w:rsidP="00E71B1B">
      <w:pPr>
        <w:jc w:val="both"/>
        <w:rPr>
          <w:sz w:val="22"/>
          <w:szCs w:val="22"/>
          <w:lang w:eastAsia="en-US"/>
        </w:rPr>
      </w:pPr>
      <w:r w:rsidRPr="007140E1">
        <w:rPr>
          <w:sz w:val="22"/>
          <w:szCs w:val="22"/>
          <w:lang w:eastAsia="en-US"/>
        </w:rPr>
        <w:t xml:space="preserve">Το ισοζύγιο του Κρατικού Προϋπολογισμού κατά </w:t>
      </w:r>
      <w:r w:rsidRPr="007140E1">
        <w:rPr>
          <w:sz w:val="22"/>
          <w:szCs w:val="22"/>
          <w:lang w:val="en-US" w:eastAsia="en-US"/>
        </w:rPr>
        <w:t>ESA</w:t>
      </w:r>
      <w:r w:rsidRPr="007140E1">
        <w:rPr>
          <w:sz w:val="22"/>
          <w:szCs w:val="22"/>
          <w:lang w:eastAsia="en-US"/>
        </w:rPr>
        <w:t xml:space="preserve"> για το έτος 2020 εκτιμάται ότι θα διαμορφ</w:t>
      </w:r>
      <w:r w:rsidRPr="007140E1">
        <w:rPr>
          <w:sz w:val="22"/>
          <w:szCs w:val="22"/>
          <w:lang w:eastAsia="en-US"/>
        </w:rPr>
        <w:t>ω</w:t>
      </w:r>
      <w:r w:rsidRPr="007140E1">
        <w:rPr>
          <w:sz w:val="22"/>
          <w:szCs w:val="22"/>
          <w:lang w:eastAsia="en-US"/>
        </w:rPr>
        <w:t xml:space="preserve">θεί σε έλλειμμα 20.228 εκατ. ευρώ, </w:t>
      </w:r>
      <w:r w:rsidR="0069738C">
        <w:rPr>
          <w:sz w:val="22"/>
          <w:szCs w:val="22"/>
          <w:lang w:eastAsia="en-US"/>
        </w:rPr>
        <w:t xml:space="preserve">έναντι στόχου ελλείμματος, ύψους 2.453 εκατ. ευρώ </w:t>
      </w:r>
      <w:r w:rsidRPr="007140E1">
        <w:rPr>
          <w:sz w:val="22"/>
          <w:szCs w:val="22"/>
          <w:lang w:eastAsia="en-US"/>
        </w:rPr>
        <w:t>της εισηγ</w:t>
      </w:r>
      <w:r w:rsidRPr="007140E1">
        <w:rPr>
          <w:sz w:val="22"/>
          <w:szCs w:val="22"/>
          <w:lang w:eastAsia="en-US"/>
        </w:rPr>
        <w:t>η</w:t>
      </w:r>
      <w:r w:rsidRPr="007140E1">
        <w:rPr>
          <w:sz w:val="22"/>
          <w:szCs w:val="22"/>
          <w:lang w:eastAsia="en-US"/>
        </w:rPr>
        <w:t xml:space="preserve">τικής έκθεσης </w:t>
      </w:r>
      <w:r w:rsidRPr="007140E1">
        <w:rPr>
          <w:sz w:val="22"/>
          <w:szCs w:val="22"/>
        </w:rPr>
        <w:t>του Προϋπολογισμού 2020</w:t>
      </w:r>
      <w:r w:rsidRPr="007140E1">
        <w:rPr>
          <w:sz w:val="22"/>
          <w:szCs w:val="22"/>
          <w:lang w:eastAsia="en-US"/>
        </w:rPr>
        <w:t>. Επίσης, το πρωτογενές αποτέλεσμα του Κρατικού Προ</w:t>
      </w:r>
      <w:r w:rsidRPr="007140E1">
        <w:rPr>
          <w:sz w:val="22"/>
          <w:szCs w:val="22"/>
          <w:lang w:eastAsia="en-US"/>
        </w:rPr>
        <w:t>ϋ</w:t>
      </w:r>
      <w:r w:rsidRPr="007140E1">
        <w:rPr>
          <w:sz w:val="22"/>
          <w:szCs w:val="22"/>
          <w:lang w:eastAsia="en-US"/>
        </w:rPr>
        <w:t xml:space="preserve">πολογισμού κατά </w:t>
      </w:r>
      <w:r w:rsidRPr="007140E1">
        <w:rPr>
          <w:sz w:val="22"/>
          <w:szCs w:val="22"/>
          <w:lang w:val="en-US" w:eastAsia="en-US"/>
        </w:rPr>
        <w:t>ESA</w:t>
      </w:r>
      <w:r w:rsidRPr="007140E1">
        <w:rPr>
          <w:sz w:val="22"/>
          <w:szCs w:val="22"/>
          <w:lang w:eastAsia="en-US"/>
        </w:rPr>
        <w:t>, ε</w:t>
      </w:r>
      <w:r w:rsidR="0069738C">
        <w:rPr>
          <w:sz w:val="22"/>
          <w:szCs w:val="22"/>
          <w:lang w:eastAsia="en-US"/>
        </w:rPr>
        <w:t>κτιμάται σε έλλειμμα ύψους 14.</w:t>
      </w:r>
      <w:r w:rsidRPr="007140E1">
        <w:rPr>
          <w:sz w:val="22"/>
          <w:szCs w:val="22"/>
          <w:lang w:eastAsia="en-US"/>
        </w:rPr>
        <w:t xml:space="preserve">393 εκατ. ευρώ, έναντι στόχου </w:t>
      </w:r>
      <w:r w:rsidR="008A59F4">
        <w:rPr>
          <w:sz w:val="22"/>
          <w:szCs w:val="22"/>
          <w:lang w:eastAsia="en-US"/>
        </w:rPr>
        <w:t>για πλεόν</w:t>
      </w:r>
      <w:r w:rsidR="008A59F4">
        <w:rPr>
          <w:sz w:val="22"/>
          <w:szCs w:val="22"/>
          <w:lang w:eastAsia="en-US"/>
        </w:rPr>
        <w:t>α</w:t>
      </w:r>
      <w:r w:rsidR="008A59F4">
        <w:rPr>
          <w:sz w:val="22"/>
          <w:szCs w:val="22"/>
          <w:lang w:eastAsia="en-US"/>
        </w:rPr>
        <w:t>σμα ύψους 3.547 εκατ. ευρώ.</w:t>
      </w:r>
    </w:p>
    <w:p w:rsidR="009677D0" w:rsidRDefault="009677D0" w:rsidP="009677D0">
      <w:pPr>
        <w:jc w:val="both"/>
        <w:rPr>
          <w:bCs/>
          <w:sz w:val="22"/>
          <w:szCs w:val="22"/>
        </w:rPr>
      </w:pPr>
    </w:p>
    <w:p w:rsidR="009930A8" w:rsidRDefault="009930A8" w:rsidP="009677D0">
      <w:pPr>
        <w:jc w:val="both"/>
        <w:rPr>
          <w:bCs/>
          <w:sz w:val="22"/>
          <w:szCs w:val="22"/>
        </w:rPr>
      </w:pPr>
    </w:p>
    <w:p w:rsidR="009677D0" w:rsidRPr="00E36FE7" w:rsidRDefault="009677D0" w:rsidP="009677D0">
      <w:pPr>
        <w:shd w:val="clear" w:color="auto" w:fill="BFBFBF" w:themeFill="background1" w:themeFillShade="BF"/>
        <w:jc w:val="both"/>
        <w:rPr>
          <w:rFonts w:ascii="Arial Narrow" w:hAnsi="Arial Narrow"/>
          <w:b/>
          <w:szCs w:val="22"/>
        </w:rPr>
      </w:pPr>
      <w:r w:rsidRPr="00E36FE7">
        <w:rPr>
          <w:rFonts w:ascii="Arial Narrow" w:hAnsi="Arial Narrow"/>
          <w:b/>
          <w:szCs w:val="22"/>
        </w:rPr>
        <w:t>2.1</w:t>
      </w:r>
      <w:r w:rsidRPr="00E36FE7">
        <w:rPr>
          <w:rFonts w:ascii="Arial Narrow" w:hAnsi="Arial Narrow"/>
          <w:b/>
          <w:szCs w:val="22"/>
        </w:rPr>
        <w:tab/>
        <w:t>Έσοδα</w:t>
      </w:r>
    </w:p>
    <w:p w:rsidR="009677D0" w:rsidRPr="00973874" w:rsidRDefault="009677D0" w:rsidP="009677D0">
      <w:pPr>
        <w:rPr>
          <w:sz w:val="20"/>
          <w:szCs w:val="22"/>
          <w:lang w:eastAsia="en-US"/>
        </w:rPr>
      </w:pPr>
    </w:p>
    <w:p w:rsidR="00E148AB" w:rsidRPr="008F5AFA" w:rsidRDefault="00E148AB" w:rsidP="00E148AB">
      <w:pPr>
        <w:ind w:right="-2"/>
        <w:contextualSpacing/>
        <w:jc w:val="both"/>
        <w:rPr>
          <w:sz w:val="22"/>
          <w:szCs w:val="22"/>
        </w:rPr>
      </w:pPr>
      <w:r w:rsidRPr="008F5AFA">
        <w:rPr>
          <w:sz w:val="22"/>
          <w:szCs w:val="22"/>
        </w:rPr>
        <w:t>Τα έσοδα του κρατικού προϋπολογισμού για το έτος 2020 παρουσιάζουν σημαντική μείωση σε σχέση με τον στόχο όπως αυτός αποτυπώνεται στην Εισηγητική Έκθεση Προϋπολογισμού 2020, γεγονός που οφείλεται αφενός στη μείωση της οικονομικής δραστηριότητας λόγω της υγειονομικής κρίσης, αφετέρου στην επίπτωση από τη λήψη συγκεκριμένων μέτρων ανακούφισης για τη στήριξη νοικοκ</w:t>
      </w:r>
      <w:r w:rsidRPr="008F5AFA">
        <w:rPr>
          <w:sz w:val="22"/>
          <w:szCs w:val="22"/>
        </w:rPr>
        <w:t>υ</w:t>
      </w:r>
      <w:r w:rsidRPr="008F5AFA">
        <w:rPr>
          <w:sz w:val="22"/>
          <w:szCs w:val="22"/>
        </w:rPr>
        <w:t>ριών και επιχειρήσεων που πλήττονται από την πανδημία.</w:t>
      </w:r>
    </w:p>
    <w:p w:rsidR="00E148AB" w:rsidRPr="008F5AFA" w:rsidRDefault="00E148AB" w:rsidP="00E148AB">
      <w:pPr>
        <w:ind w:right="-2"/>
        <w:contextualSpacing/>
        <w:jc w:val="both"/>
        <w:rPr>
          <w:sz w:val="22"/>
          <w:szCs w:val="22"/>
        </w:rPr>
      </w:pPr>
    </w:p>
    <w:p w:rsidR="00E148AB" w:rsidRPr="008F5AFA" w:rsidRDefault="00E148AB" w:rsidP="00E148AB">
      <w:pPr>
        <w:ind w:right="-2"/>
        <w:contextualSpacing/>
        <w:jc w:val="both"/>
        <w:rPr>
          <w:sz w:val="22"/>
          <w:szCs w:val="22"/>
        </w:rPr>
      </w:pPr>
      <w:r w:rsidRPr="008F5AFA">
        <w:rPr>
          <w:sz w:val="22"/>
          <w:szCs w:val="22"/>
        </w:rPr>
        <w:t>Τα καθαρά έσοδα του Κρατικού Προϋπολογισμού, σε δημοσιονομική βάση, μετά τη μείωση των επ</w:t>
      </w:r>
      <w:r w:rsidRPr="008F5AFA">
        <w:rPr>
          <w:sz w:val="22"/>
          <w:szCs w:val="22"/>
        </w:rPr>
        <w:t>ι</w:t>
      </w:r>
      <w:r w:rsidRPr="008F5AFA">
        <w:rPr>
          <w:sz w:val="22"/>
          <w:szCs w:val="22"/>
        </w:rPr>
        <w:t>στροφών φόρων, εκτιμάται ότι θα διαμορφωθούν στα 49.103 εκατ. ευρώ, παρουσιάζοντας μείωση κ</w:t>
      </w:r>
      <w:r w:rsidRPr="008F5AFA">
        <w:rPr>
          <w:sz w:val="22"/>
          <w:szCs w:val="22"/>
        </w:rPr>
        <w:t>α</w:t>
      </w:r>
      <w:r w:rsidRPr="008F5AFA">
        <w:rPr>
          <w:sz w:val="22"/>
          <w:szCs w:val="22"/>
        </w:rPr>
        <w:t>τά 5.607 εκατ. ευρώ ή 10,2%, έναντι του στόχου του Προϋπολογισμού 2020.</w:t>
      </w:r>
    </w:p>
    <w:p w:rsidR="009677D0" w:rsidRDefault="009677D0" w:rsidP="009677D0">
      <w:pPr>
        <w:jc w:val="both"/>
        <w:rPr>
          <w:sz w:val="22"/>
          <w:szCs w:val="22"/>
        </w:rPr>
      </w:pPr>
    </w:p>
    <w:p w:rsidR="008E7973" w:rsidRDefault="008E7973" w:rsidP="009677D0">
      <w:pPr>
        <w:jc w:val="both"/>
        <w:rPr>
          <w:sz w:val="22"/>
          <w:szCs w:val="22"/>
        </w:rPr>
      </w:pPr>
    </w:p>
    <w:p w:rsidR="009677D0" w:rsidRPr="002B63E6" w:rsidRDefault="009677D0" w:rsidP="009677D0">
      <w:pPr>
        <w:jc w:val="both"/>
        <w:rPr>
          <w:rFonts w:ascii="Arial Narrow" w:hAnsi="Arial Narrow"/>
          <w:b/>
          <w:color w:val="000080"/>
          <w:szCs w:val="22"/>
        </w:rPr>
      </w:pPr>
      <w:r>
        <w:rPr>
          <w:rFonts w:ascii="Arial Narrow" w:hAnsi="Arial Narrow"/>
          <w:b/>
          <w:color w:val="000080"/>
          <w:szCs w:val="22"/>
        </w:rPr>
        <w:t>Ανάλυση εσόδων κατά μείζονα κατηγορία (σε δημοσιονομική βάση)</w:t>
      </w:r>
    </w:p>
    <w:p w:rsidR="009677D0" w:rsidRDefault="009677D0" w:rsidP="009677D0">
      <w:pPr>
        <w:jc w:val="both"/>
        <w:rPr>
          <w:sz w:val="22"/>
          <w:szCs w:val="22"/>
        </w:rPr>
      </w:pPr>
    </w:p>
    <w:p w:rsidR="009677D0" w:rsidRPr="0090589B" w:rsidRDefault="009677D0" w:rsidP="009677D0">
      <w:pPr>
        <w:jc w:val="both"/>
        <w:rPr>
          <w:rFonts w:ascii="Arial Narrow" w:hAnsi="Arial Narrow"/>
          <w:b/>
          <w:sz w:val="22"/>
          <w:szCs w:val="22"/>
        </w:rPr>
      </w:pPr>
      <w:r w:rsidRPr="0090589B">
        <w:rPr>
          <w:rFonts w:ascii="Arial Narrow" w:hAnsi="Arial Narrow"/>
          <w:b/>
          <w:sz w:val="22"/>
          <w:szCs w:val="22"/>
        </w:rPr>
        <w:t>Έσοδα μη χρηματοοικονομικών συναλλαγών</w:t>
      </w:r>
    </w:p>
    <w:p w:rsidR="009677D0" w:rsidRDefault="009677D0" w:rsidP="009677D0">
      <w:pPr>
        <w:jc w:val="both"/>
        <w:rPr>
          <w:rFonts w:ascii="Arial Narrow" w:hAnsi="Arial Narrow"/>
          <w:b/>
          <w:i/>
          <w:sz w:val="22"/>
          <w:szCs w:val="22"/>
        </w:rPr>
      </w:pPr>
    </w:p>
    <w:p w:rsidR="009677D0" w:rsidRDefault="009677D0" w:rsidP="009677D0">
      <w:pPr>
        <w:jc w:val="both"/>
        <w:rPr>
          <w:sz w:val="22"/>
          <w:szCs w:val="22"/>
        </w:rPr>
      </w:pPr>
      <w:r w:rsidRPr="00C20BBA">
        <w:rPr>
          <w:rFonts w:ascii="Arial Narrow" w:hAnsi="Arial Narrow"/>
          <w:b/>
          <w:i/>
          <w:sz w:val="22"/>
          <w:szCs w:val="22"/>
        </w:rPr>
        <w:t>Φόροι</w:t>
      </w:r>
    </w:p>
    <w:p w:rsidR="009677D0" w:rsidRDefault="009677D0" w:rsidP="009677D0">
      <w:pPr>
        <w:jc w:val="both"/>
        <w:rPr>
          <w:rFonts w:ascii="Arial Narrow" w:hAnsi="Arial Narrow"/>
          <w:b/>
          <w:i/>
          <w:sz w:val="22"/>
          <w:szCs w:val="22"/>
        </w:rPr>
      </w:pPr>
    </w:p>
    <w:p w:rsidR="009677D0" w:rsidRPr="0092772E" w:rsidRDefault="009677D0" w:rsidP="009677D0">
      <w:pPr>
        <w:pStyle w:val="af2"/>
        <w:numPr>
          <w:ilvl w:val="0"/>
          <w:numId w:val="8"/>
        </w:numPr>
        <w:spacing w:after="0" w:line="240" w:lineRule="auto"/>
        <w:ind w:left="284" w:hanging="284"/>
        <w:contextualSpacing w:val="0"/>
        <w:jc w:val="both"/>
        <w:rPr>
          <w:rFonts w:ascii="Times New Roman" w:hAnsi="Times New Roman"/>
          <w:b/>
          <w:i/>
        </w:rPr>
      </w:pPr>
      <w:r w:rsidRPr="0092772E">
        <w:rPr>
          <w:rFonts w:ascii="Times New Roman" w:hAnsi="Times New Roman"/>
          <w:b/>
          <w:i/>
        </w:rPr>
        <w:t>Φόροι επί αγαθών και υπηρεσιών</w:t>
      </w:r>
    </w:p>
    <w:p w:rsidR="00526F3F" w:rsidRDefault="00526F3F" w:rsidP="00526F3F">
      <w:pPr>
        <w:jc w:val="both"/>
        <w:rPr>
          <w:rFonts w:ascii="Arial Narrow" w:hAnsi="Arial Narrow"/>
          <w:b/>
          <w:i/>
          <w:sz w:val="22"/>
          <w:szCs w:val="22"/>
        </w:rPr>
      </w:pPr>
    </w:p>
    <w:p w:rsidR="00526F3F" w:rsidRPr="008F5AFA" w:rsidRDefault="00526F3F" w:rsidP="00526F3F">
      <w:pPr>
        <w:ind w:right="-2"/>
        <w:contextualSpacing/>
        <w:jc w:val="both"/>
        <w:rPr>
          <w:sz w:val="22"/>
          <w:szCs w:val="22"/>
        </w:rPr>
      </w:pPr>
      <w:r w:rsidRPr="008F5AFA">
        <w:rPr>
          <w:sz w:val="22"/>
          <w:szCs w:val="22"/>
        </w:rPr>
        <w:t>Στην κατηγορία αυτή περιλαμβάνονται κυρίως ο ΦΠΑ, οι Ειδικοί Φόροι Κατανάλωσης (ΕΦΚ), οι φ</w:t>
      </w:r>
      <w:r w:rsidRPr="008F5AFA">
        <w:rPr>
          <w:sz w:val="22"/>
          <w:szCs w:val="22"/>
        </w:rPr>
        <w:t>ό</w:t>
      </w:r>
      <w:r w:rsidRPr="008F5AFA">
        <w:rPr>
          <w:sz w:val="22"/>
          <w:szCs w:val="22"/>
        </w:rPr>
        <w:t>ροι με μορφή χαρτοσήμου και οι φόροι επί χρηματοοικονομικών και κεφαλαιακών συναλλαγών. Από φόρους επί αγαθών και υπηρεσιών εκτιμάται ότι θα εισπραχθούν έσοδα ύψους 23.971 εκατ. ευρώ, μειωμένα κατά 4.586 εκατ. ευρώ ή 16,1% έναντι του στόχου. Ειδικότερα, η μείωση του ΦΠΑ αναμ</w:t>
      </w:r>
      <w:r w:rsidRPr="008F5AFA">
        <w:rPr>
          <w:sz w:val="22"/>
          <w:szCs w:val="22"/>
        </w:rPr>
        <w:t>έ</w:t>
      </w:r>
      <w:r w:rsidRPr="008F5AFA">
        <w:rPr>
          <w:sz w:val="22"/>
          <w:szCs w:val="22"/>
        </w:rPr>
        <w:t>νεται να ανέλθει στα 3.275 εκατ. ευρώ και των ΕΦΚ στα 752 εκατ. ευρώ.</w:t>
      </w:r>
    </w:p>
    <w:p w:rsidR="00526F3F" w:rsidRPr="008F5AFA" w:rsidRDefault="00526F3F" w:rsidP="00526F3F">
      <w:pPr>
        <w:ind w:right="-2"/>
        <w:contextualSpacing/>
        <w:jc w:val="both"/>
        <w:rPr>
          <w:sz w:val="22"/>
          <w:szCs w:val="22"/>
        </w:rPr>
      </w:pPr>
    </w:p>
    <w:p w:rsidR="00526F3F" w:rsidRPr="008F5AFA" w:rsidRDefault="00526F3F" w:rsidP="00526F3F">
      <w:pPr>
        <w:pStyle w:val="af2"/>
        <w:numPr>
          <w:ilvl w:val="0"/>
          <w:numId w:val="8"/>
        </w:numPr>
        <w:spacing w:after="0" w:line="240" w:lineRule="auto"/>
        <w:ind w:left="284" w:hanging="284"/>
        <w:contextualSpacing w:val="0"/>
        <w:jc w:val="both"/>
        <w:rPr>
          <w:rFonts w:ascii="Times New Roman" w:hAnsi="Times New Roman"/>
          <w:b/>
          <w:i/>
        </w:rPr>
      </w:pPr>
      <w:r w:rsidRPr="008F5AFA">
        <w:rPr>
          <w:rFonts w:ascii="Times New Roman" w:hAnsi="Times New Roman"/>
          <w:b/>
          <w:i/>
        </w:rPr>
        <w:t>Φόροι και δασμοί επί εισαγωγών</w:t>
      </w:r>
    </w:p>
    <w:p w:rsidR="00526F3F" w:rsidRPr="008F5AFA" w:rsidRDefault="00526F3F" w:rsidP="00526F3F">
      <w:pPr>
        <w:jc w:val="both"/>
        <w:rPr>
          <w:sz w:val="22"/>
          <w:szCs w:val="22"/>
        </w:rPr>
      </w:pPr>
    </w:p>
    <w:p w:rsidR="00526F3F" w:rsidRPr="008F5AFA" w:rsidRDefault="00526F3F" w:rsidP="00526F3F">
      <w:pPr>
        <w:jc w:val="both"/>
        <w:rPr>
          <w:sz w:val="22"/>
          <w:szCs w:val="22"/>
        </w:rPr>
      </w:pPr>
      <w:r w:rsidRPr="008F5AFA">
        <w:rPr>
          <w:sz w:val="22"/>
          <w:szCs w:val="22"/>
        </w:rPr>
        <w:t>Στην κατηγορία αυτή περιλαμβάνονται κυρίως οι δασμοί και τα λοιπά τέλη που επιβάλλονται στις ε</w:t>
      </w:r>
      <w:r w:rsidRPr="008F5AFA">
        <w:rPr>
          <w:sz w:val="22"/>
          <w:szCs w:val="22"/>
        </w:rPr>
        <w:t>ι</w:t>
      </w:r>
      <w:r w:rsidRPr="008F5AFA">
        <w:rPr>
          <w:sz w:val="22"/>
          <w:szCs w:val="22"/>
        </w:rPr>
        <w:t>σαγωγές από κράτη μη μέλη της ΕΕ</w:t>
      </w:r>
      <w:r w:rsidR="008E7973">
        <w:rPr>
          <w:sz w:val="22"/>
          <w:szCs w:val="22"/>
        </w:rPr>
        <w:t>,</w:t>
      </w:r>
      <w:r w:rsidRPr="008F5AFA">
        <w:rPr>
          <w:sz w:val="22"/>
          <w:szCs w:val="22"/>
        </w:rPr>
        <w:t xml:space="preserve"> με βάση το κοινό τελωνειακό δασμολόγιο. Εκτιμώνται έσοδα 240 εκατ. ευρώ, μειωμένα κατά 82 εκατ. ευρώ, έναντι του στόχου του προϋπολογισμού.</w:t>
      </w:r>
    </w:p>
    <w:p w:rsidR="00526F3F" w:rsidRPr="008F5AFA" w:rsidRDefault="00526F3F" w:rsidP="00526F3F">
      <w:pPr>
        <w:jc w:val="both"/>
        <w:rPr>
          <w:sz w:val="22"/>
          <w:szCs w:val="22"/>
        </w:rPr>
      </w:pPr>
    </w:p>
    <w:p w:rsidR="00526F3F" w:rsidRPr="008F5AFA" w:rsidRDefault="00526F3F" w:rsidP="00526F3F">
      <w:pPr>
        <w:pStyle w:val="af2"/>
        <w:numPr>
          <w:ilvl w:val="0"/>
          <w:numId w:val="8"/>
        </w:numPr>
        <w:spacing w:after="0" w:line="240" w:lineRule="auto"/>
        <w:ind w:left="284" w:hanging="284"/>
        <w:contextualSpacing w:val="0"/>
        <w:jc w:val="both"/>
        <w:rPr>
          <w:rFonts w:ascii="Times New Roman" w:hAnsi="Times New Roman"/>
          <w:b/>
          <w:i/>
        </w:rPr>
      </w:pPr>
      <w:r w:rsidRPr="008F5AFA">
        <w:rPr>
          <w:rFonts w:ascii="Times New Roman" w:hAnsi="Times New Roman"/>
          <w:b/>
          <w:i/>
        </w:rPr>
        <w:t>Τακτικοί φόροι ακίνητης περιουσίας</w:t>
      </w:r>
    </w:p>
    <w:p w:rsidR="00526F3F" w:rsidRPr="008F5AFA" w:rsidRDefault="00526F3F" w:rsidP="00526F3F">
      <w:pPr>
        <w:jc w:val="both"/>
        <w:rPr>
          <w:b/>
          <w:i/>
          <w:sz w:val="22"/>
          <w:szCs w:val="22"/>
        </w:rPr>
      </w:pPr>
    </w:p>
    <w:p w:rsidR="00526F3F" w:rsidRPr="008F5AFA" w:rsidRDefault="00526F3F" w:rsidP="00526F3F">
      <w:pPr>
        <w:jc w:val="both"/>
        <w:rPr>
          <w:sz w:val="22"/>
          <w:szCs w:val="22"/>
        </w:rPr>
      </w:pPr>
      <w:r w:rsidRPr="008F5AFA">
        <w:rPr>
          <w:sz w:val="22"/>
          <w:szCs w:val="22"/>
        </w:rPr>
        <w:t>Από τους τακτικούς φόρους ακίνητης περιουσίας, που περιλαμβάνουν κυρίως τον ΕΝΦΙΑ, αναμένεται να εισπραχθούν έσοδα ύψους 2.676 εκατ. ευρώ, μειωμένα κατά 152 εκατ. ευρώ, έναντι του στόχου του προϋπολογισμού.</w:t>
      </w:r>
    </w:p>
    <w:p w:rsidR="00526F3F" w:rsidRPr="008F5AFA" w:rsidRDefault="00526F3F" w:rsidP="00526F3F">
      <w:pPr>
        <w:jc w:val="both"/>
        <w:rPr>
          <w:bCs/>
          <w:sz w:val="22"/>
          <w:szCs w:val="22"/>
        </w:rPr>
      </w:pPr>
    </w:p>
    <w:p w:rsidR="00526F3F" w:rsidRPr="008F5AFA" w:rsidRDefault="00526F3F" w:rsidP="00526F3F">
      <w:pPr>
        <w:pStyle w:val="af2"/>
        <w:numPr>
          <w:ilvl w:val="0"/>
          <w:numId w:val="8"/>
        </w:numPr>
        <w:spacing w:after="0" w:line="240" w:lineRule="auto"/>
        <w:ind w:left="284" w:hanging="284"/>
        <w:contextualSpacing w:val="0"/>
        <w:jc w:val="both"/>
        <w:rPr>
          <w:rFonts w:ascii="Times New Roman" w:hAnsi="Times New Roman"/>
          <w:b/>
          <w:i/>
        </w:rPr>
      </w:pPr>
      <w:r w:rsidRPr="008F5AFA">
        <w:rPr>
          <w:rFonts w:ascii="Times New Roman" w:hAnsi="Times New Roman"/>
          <w:b/>
          <w:i/>
        </w:rPr>
        <w:t>Λοιποί φόροι επί παραγωγής</w:t>
      </w:r>
    </w:p>
    <w:p w:rsidR="00526F3F" w:rsidRPr="008F5AFA" w:rsidRDefault="00526F3F" w:rsidP="00526F3F">
      <w:pPr>
        <w:jc w:val="both"/>
        <w:rPr>
          <w:sz w:val="22"/>
          <w:szCs w:val="22"/>
        </w:rPr>
      </w:pPr>
    </w:p>
    <w:p w:rsidR="00526F3F" w:rsidRPr="008F5AFA" w:rsidRDefault="00526F3F" w:rsidP="00526F3F">
      <w:pPr>
        <w:jc w:val="both"/>
        <w:rPr>
          <w:sz w:val="22"/>
          <w:szCs w:val="22"/>
        </w:rPr>
      </w:pPr>
      <w:r w:rsidRPr="008F5AFA">
        <w:rPr>
          <w:sz w:val="22"/>
          <w:szCs w:val="22"/>
        </w:rPr>
        <w:t>Τα κύρια έσοδα της κατηγορίας αυτής προέρχονται από το τέλος επιτηδεύματος και τη συμμετοχή του Δημοσίου στα κέρδη της Τράπεζας της Ελλάδος. Από τους λοιπούς φόρους παραγωγής εκτιμάται ότι θα εισπραχθούν 1.168 εκατ. ευρώ, αυξημένα κατά 38 εκατ. ευρώ έναντι του στόχου. Η αύξηση αυτή οφείλεται στο αυξημένο κατά 100 εκατ. ευρώ, σε σχέση με τον αρχικό στόχο, ποσό που κατέβαλε η Τράπεζα της Ελλάδος στο Ελληνικό Δημόσιο.</w:t>
      </w:r>
    </w:p>
    <w:p w:rsidR="00FC28D5" w:rsidRPr="008F5AFA" w:rsidRDefault="00FC28D5" w:rsidP="00526F3F">
      <w:pPr>
        <w:jc w:val="both"/>
        <w:rPr>
          <w:sz w:val="22"/>
          <w:szCs w:val="22"/>
        </w:rPr>
      </w:pPr>
    </w:p>
    <w:p w:rsidR="00526F3F" w:rsidRPr="008F5AFA" w:rsidRDefault="00526F3F" w:rsidP="00526F3F">
      <w:pPr>
        <w:pStyle w:val="af2"/>
        <w:numPr>
          <w:ilvl w:val="0"/>
          <w:numId w:val="8"/>
        </w:numPr>
        <w:spacing w:after="0" w:line="240" w:lineRule="auto"/>
        <w:ind w:left="284" w:hanging="284"/>
        <w:contextualSpacing w:val="0"/>
        <w:jc w:val="both"/>
        <w:rPr>
          <w:rFonts w:ascii="Times New Roman" w:hAnsi="Times New Roman"/>
          <w:b/>
          <w:i/>
        </w:rPr>
      </w:pPr>
      <w:r w:rsidRPr="008F5AFA">
        <w:rPr>
          <w:rFonts w:ascii="Times New Roman" w:hAnsi="Times New Roman"/>
          <w:b/>
          <w:i/>
        </w:rPr>
        <w:t>Φόρος εισοδήματος</w:t>
      </w:r>
    </w:p>
    <w:p w:rsidR="00526F3F" w:rsidRPr="008F5AFA" w:rsidRDefault="00526F3F" w:rsidP="00526F3F">
      <w:pPr>
        <w:jc w:val="both"/>
        <w:rPr>
          <w:sz w:val="22"/>
          <w:szCs w:val="22"/>
        </w:rPr>
      </w:pPr>
    </w:p>
    <w:p w:rsidR="00526F3F" w:rsidRPr="008F5AFA" w:rsidRDefault="00526F3F" w:rsidP="00526F3F">
      <w:pPr>
        <w:jc w:val="both"/>
        <w:rPr>
          <w:sz w:val="22"/>
          <w:szCs w:val="22"/>
        </w:rPr>
      </w:pPr>
      <w:r w:rsidRPr="008F5AFA">
        <w:rPr>
          <w:sz w:val="22"/>
          <w:szCs w:val="22"/>
        </w:rPr>
        <w:t>Από τον φόρο εισοδήματος (φυσικών προσώπων, νομικών προσώπων και λοιπών κατηγοριών), αν</w:t>
      </w:r>
      <w:r w:rsidRPr="008F5AFA">
        <w:rPr>
          <w:sz w:val="22"/>
          <w:szCs w:val="22"/>
        </w:rPr>
        <w:t>α</w:t>
      </w:r>
      <w:r w:rsidRPr="008F5AFA">
        <w:rPr>
          <w:sz w:val="22"/>
          <w:szCs w:val="22"/>
        </w:rPr>
        <w:t>μένεται να εισπραχθούν έσοδα ύψους 13.676 εκατ. ευρώ, παρουσιάζοντας μείωση κατά 2.987 εκατ. ευρώ ή 17,9%, έναντι του στόχου του προϋπολογισμού. Η μείωση αυτή προέρχεται από τον φόρο ε</w:t>
      </w:r>
      <w:r w:rsidRPr="008F5AFA">
        <w:rPr>
          <w:sz w:val="22"/>
          <w:szCs w:val="22"/>
        </w:rPr>
        <w:t>ι</w:t>
      </w:r>
      <w:r w:rsidRPr="008F5AFA">
        <w:rPr>
          <w:sz w:val="22"/>
          <w:szCs w:val="22"/>
        </w:rPr>
        <w:t>σοδήματος φυσικών προσώπων κατά 1.385 εκατ. ευρώ (περιλαμβάνονται</w:t>
      </w:r>
      <w:r w:rsidR="00133371">
        <w:rPr>
          <w:sz w:val="22"/>
          <w:szCs w:val="22"/>
        </w:rPr>
        <w:t xml:space="preserve"> </w:t>
      </w:r>
      <w:r w:rsidRPr="008F5AFA">
        <w:rPr>
          <w:sz w:val="22"/>
          <w:szCs w:val="22"/>
        </w:rPr>
        <w:t>τα μειωμένα έσοδα από την παρακράτηση του φόρου εισοδήματος των μισθωτών του ιδιωτικού τομέα λόγω μείωσης της οικον</w:t>
      </w:r>
      <w:r w:rsidRPr="008F5AFA">
        <w:rPr>
          <w:sz w:val="22"/>
          <w:szCs w:val="22"/>
        </w:rPr>
        <w:t>ο</w:t>
      </w:r>
      <w:r w:rsidRPr="008F5AFA">
        <w:rPr>
          <w:sz w:val="22"/>
          <w:szCs w:val="22"/>
        </w:rPr>
        <w:t>μικής δραστηριότητας, από τη μείωση προκαταβολής φόρου των ελεύθερων επαγγελματιών και από τις αναστολές φορολογικών υποχρεώσεων που αφορούν παρελθόντα οικονομικά έτη), από τον φόρο εισοδήματος νομικών προσώπων κατά 1.431 εκατ. ευρώ λόγω της μείωσης της προκαταβολής φόρου των επιχειρήσεων και από τον φόρο εισοδήματος λοιπών κατηγοριών κατά 171 εκατ. ευρώ.</w:t>
      </w:r>
    </w:p>
    <w:p w:rsidR="00526F3F" w:rsidRPr="008F5AFA" w:rsidRDefault="00526F3F" w:rsidP="00526F3F">
      <w:pPr>
        <w:jc w:val="both"/>
        <w:rPr>
          <w:sz w:val="22"/>
          <w:szCs w:val="22"/>
        </w:rPr>
      </w:pPr>
    </w:p>
    <w:p w:rsidR="00526F3F" w:rsidRPr="008F5AFA" w:rsidRDefault="00526F3F" w:rsidP="00526F3F">
      <w:pPr>
        <w:pStyle w:val="af2"/>
        <w:numPr>
          <w:ilvl w:val="0"/>
          <w:numId w:val="8"/>
        </w:numPr>
        <w:spacing w:after="0" w:line="240" w:lineRule="auto"/>
        <w:ind w:left="284" w:hanging="284"/>
        <w:contextualSpacing w:val="0"/>
        <w:jc w:val="both"/>
        <w:rPr>
          <w:rFonts w:ascii="Times New Roman" w:hAnsi="Times New Roman"/>
          <w:b/>
          <w:i/>
        </w:rPr>
      </w:pPr>
      <w:r w:rsidRPr="008F5AFA">
        <w:rPr>
          <w:rFonts w:ascii="Times New Roman" w:hAnsi="Times New Roman"/>
          <w:b/>
          <w:i/>
        </w:rPr>
        <w:t>Φόροι κεφαλαίου</w:t>
      </w:r>
    </w:p>
    <w:p w:rsidR="00526F3F" w:rsidRPr="008F5AFA" w:rsidRDefault="00526F3F" w:rsidP="00526F3F">
      <w:pPr>
        <w:jc w:val="both"/>
        <w:rPr>
          <w:sz w:val="22"/>
          <w:szCs w:val="22"/>
        </w:rPr>
      </w:pPr>
    </w:p>
    <w:p w:rsidR="00526F3F" w:rsidRPr="008F5AFA" w:rsidRDefault="00526F3F" w:rsidP="00526F3F">
      <w:pPr>
        <w:jc w:val="both"/>
        <w:rPr>
          <w:sz w:val="22"/>
          <w:szCs w:val="22"/>
        </w:rPr>
      </w:pPr>
      <w:r w:rsidRPr="008F5AFA">
        <w:rPr>
          <w:sz w:val="22"/>
          <w:szCs w:val="22"/>
        </w:rPr>
        <w:t>Στην κατηγορία αυτή περιλαμβάνονται οι φόροι και τα τέλη κληρονομιών, δωρεών, γονικών και λο</w:t>
      </w:r>
      <w:r w:rsidRPr="008F5AFA">
        <w:rPr>
          <w:sz w:val="22"/>
          <w:szCs w:val="22"/>
        </w:rPr>
        <w:t>ι</w:t>
      </w:r>
      <w:r w:rsidRPr="008F5AFA">
        <w:rPr>
          <w:sz w:val="22"/>
          <w:szCs w:val="22"/>
        </w:rPr>
        <w:t>πών παροχών. Εκτιμώνται έσοδα 175 εκατ. ευρώ, μειωμένα κατά 98 εκατ. ευρώ, έναντι του στόχου.</w:t>
      </w:r>
    </w:p>
    <w:p w:rsidR="00191466" w:rsidRDefault="00191466" w:rsidP="00526F3F">
      <w:pPr>
        <w:jc w:val="both"/>
        <w:rPr>
          <w:sz w:val="22"/>
          <w:szCs w:val="22"/>
        </w:rPr>
      </w:pPr>
    </w:p>
    <w:p w:rsidR="009930A8" w:rsidRDefault="009930A8" w:rsidP="00526F3F">
      <w:pPr>
        <w:jc w:val="both"/>
        <w:rPr>
          <w:sz w:val="22"/>
          <w:szCs w:val="22"/>
        </w:rPr>
      </w:pPr>
    </w:p>
    <w:p w:rsidR="009930A8" w:rsidRDefault="009930A8" w:rsidP="00526F3F">
      <w:pPr>
        <w:jc w:val="both"/>
        <w:rPr>
          <w:sz w:val="22"/>
          <w:szCs w:val="22"/>
        </w:rPr>
      </w:pPr>
    </w:p>
    <w:p w:rsidR="009930A8" w:rsidRPr="008F5AFA" w:rsidRDefault="009930A8" w:rsidP="00526F3F">
      <w:pPr>
        <w:jc w:val="both"/>
        <w:rPr>
          <w:sz w:val="22"/>
          <w:szCs w:val="22"/>
        </w:rPr>
      </w:pPr>
    </w:p>
    <w:p w:rsidR="00526F3F" w:rsidRPr="008F5AFA" w:rsidRDefault="00526F3F" w:rsidP="00526F3F">
      <w:pPr>
        <w:pStyle w:val="af2"/>
        <w:numPr>
          <w:ilvl w:val="0"/>
          <w:numId w:val="8"/>
        </w:numPr>
        <w:spacing w:after="0" w:line="240" w:lineRule="auto"/>
        <w:ind w:left="284" w:hanging="284"/>
        <w:contextualSpacing w:val="0"/>
        <w:jc w:val="both"/>
        <w:rPr>
          <w:rFonts w:ascii="Times New Roman" w:hAnsi="Times New Roman"/>
          <w:b/>
          <w:i/>
        </w:rPr>
      </w:pPr>
      <w:r w:rsidRPr="008F5AFA">
        <w:rPr>
          <w:rFonts w:ascii="Times New Roman" w:hAnsi="Times New Roman"/>
          <w:b/>
          <w:i/>
        </w:rPr>
        <w:t>Λοιποί τρέχοντες φόροι</w:t>
      </w:r>
    </w:p>
    <w:p w:rsidR="00526F3F" w:rsidRPr="008F5AFA" w:rsidRDefault="00526F3F" w:rsidP="00526F3F">
      <w:pPr>
        <w:jc w:val="both"/>
        <w:rPr>
          <w:b/>
          <w:i/>
          <w:sz w:val="22"/>
          <w:szCs w:val="22"/>
        </w:rPr>
      </w:pPr>
    </w:p>
    <w:p w:rsidR="00526F3F" w:rsidRPr="008F5AFA" w:rsidRDefault="00526F3F" w:rsidP="00526F3F">
      <w:pPr>
        <w:jc w:val="both"/>
        <w:rPr>
          <w:sz w:val="22"/>
          <w:szCs w:val="22"/>
        </w:rPr>
      </w:pPr>
      <w:r w:rsidRPr="008F5AFA">
        <w:rPr>
          <w:sz w:val="22"/>
          <w:szCs w:val="22"/>
        </w:rPr>
        <w:t>Η κατηγορία αυτή περιλαμβάνει κυρίως τα τέλη κυκλοφορίας οχημάτων και τα διάφορα μη ταξινομ</w:t>
      </w:r>
      <w:r w:rsidRPr="008F5AFA">
        <w:rPr>
          <w:sz w:val="22"/>
          <w:szCs w:val="22"/>
        </w:rPr>
        <w:t>η</w:t>
      </w:r>
      <w:r w:rsidRPr="008F5AFA">
        <w:rPr>
          <w:sz w:val="22"/>
          <w:szCs w:val="22"/>
        </w:rPr>
        <w:t>μένα φορολογικά έσοδα. Τα έσοδα από τους λοιπούς τρέχοντες φόρους αναμένεται να ανέλθουν στο ποσό των 2.359 εκατ. ευρώ, μειωμένα κατά 33 εκατ. ευρώ, έναντι του στόχου.</w:t>
      </w:r>
    </w:p>
    <w:p w:rsidR="00526F3F" w:rsidRPr="009930A8" w:rsidRDefault="00526F3F" w:rsidP="00526F3F">
      <w:pPr>
        <w:jc w:val="both"/>
        <w:rPr>
          <w:rFonts w:ascii="Arial Narrow" w:hAnsi="Arial Narrow"/>
          <w:b/>
          <w:i/>
          <w:sz w:val="22"/>
        </w:rPr>
      </w:pPr>
    </w:p>
    <w:p w:rsidR="00526F3F" w:rsidRPr="001F70FF" w:rsidRDefault="00526F3F" w:rsidP="00526F3F">
      <w:pPr>
        <w:jc w:val="both"/>
        <w:rPr>
          <w:rFonts w:ascii="Arial Narrow" w:hAnsi="Arial Narrow"/>
          <w:b/>
          <w:i/>
          <w:sz w:val="22"/>
        </w:rPr>
      </w:pPr>
      <w:r w:rsidRPr="001F70FF">
        <w:rPr>
          <w:rFonts w:ascii="Arial Narrow" w:hAnsi="Arial Narrow"/>
          <w:b/>
          <w:i/>
          <w:sz w:val="22"/>
        </w:rPr>
        <w:t>Κοινωνικές εισφορές</w:t>
      </w:r>
    </w:p>
    <w:p w:rsidR="00526F3F" w:rsidRPr="008F5AFA" w:rsidRDefault="00526F3F" w:rsidP="00526F3F">
      <w:pPr>
        <w:jc w:val="both"/>
        <w:rPr>
          <w:sz w:val="22"/>
        </w:rPr>
      </w:pPr>
    </w:p>
    <w:p w:rsidR="00526F3F" w:rsidRPr="008F5AFA" w:rsidRDefault="00526F3F" w:rsidP="00526F3F">
      <w:pPr>
        <w:jc w:val="both"/>
        <w:rPr>
          <w:sz w:val="22"/>
        </w:rPr>
      </w:pPr>
      <w:r w:rsidRPr="008F5AFA">
        <w:rPr>
          <w:sz w:val="22"/>
        </w:rPr>
        <w:t>Η κατηγορία αυτή περιλαμβάνει κυρίως τις εισφορές των εργαζομένων για παροχές υγείας από το Δημόσιο. Εκτιμώνται έσοδα 54 εκατ. ευρώ, πολύ κοντά στον αρχικό στόχο.</w:t>
      </w:r>
    </w:p>
    <w:p w:rsidR="00526F3F" w:rsidRPr="008F5AFA" w:rsidRDefault="00526F3F" w:rsidP="00526F3F">
      <w:pPr>
        <w:jc w:val="both"/>
        <w:rPr>
          <w:rFonts w:ascii="Arial Narrow" w:hAnsi="Arial Narrow"/>
          <w:b/>
          <w:i/>
          <w:sz w:val="20"/>
        </w:rPr>
      </w:pPr>
    </w:p>
    <w:p w:rsidR="00526F3F" w:rsidRPr="001F70FF" w:rsidRDefault="00526F3F" w:rsidP="00526F3F">
      <w:pPr>
        <w:jc w:val="both"/>
        <w:rPr>
          <w:rFonts w:ascii="Arial Narrow" w:hAnsi="Arial Narrow"/>
          <w:b/>
          <w:i/>
          <w:sz w:val="22"/>
        </w:rPr>
      </w:pPr>
      <w:r w:rsidRPr="001F70FF">
        <w:rPr>
          <w:rFonts w:ascii="Arial Narrow" w:hAnsi="Arial Narrow"/>
          <w:b/>
          <w:i/>
          <w:sz w:val="22"/>
        </w:rPr>
        <w:t>Μεταβιβάσεις</w:t>
      </w:r>
    </w:p>
    <w:p w:rsidR="00526F3F" w:rsidRPr="008F5AFA" w:rsidRDefault="00526F3F" w:rsidP="00526F3F">
      <w:pPr>
        <w:jc w:val="both"/>
        <w:rPr>
          <w:sz w:val="22"/>
        </w:rPr>
      </w:pPr>
    </w:p>
    <w:p w:rsidR="00526F3F" w:rsidRPr="008F5AFA" w:rsidRDefault="00526F3F" w:rsidP="00526F3F">
      <w:pPr>
        <w:jc w:val="both"/>
        <w:rPr>
          <w:sz w:val="22"/>
        </w:rPr>
      </w:pPr>
      <w:r w:rsidRPr="008F5AFA">
        <w:rPr>
          <w:sz w:val="22"/>
        </w:rPr>
        <w:t>Σε αυτή την κατηγορία περιλαμβάνονται κυρίως τα έσοδα από:</w:t>
      </w:r>
    </w:p>
    <w:p w:rsidR="00526F3F" w:rsidRPr="008F5AFA" w:rsidRDefault="00526F3F" w:rsidP="00526F3F">
      <w:pPr>
        <w:jc w:val="both"/>
        <w:rPr>
          <w:sz w:val="22"/>
        </w:rPr>
      </w:pPr>
    </w:p>
    <w:p w:rsidR="00526F3F" w:rsidRPr="008F5AFA" w:rsidRDefault="00526F3F" w:rsidP="00526F3F">
      <w:pPr>
        <w:pStyle w:val="af2"/>
        <w:numPr>
          <w:ilvl w:val="0"/>
          <w:numId w:val="8"/>
        </w:numPr>
        <w:spacing w:after="0" w:line="240" w:lineRule="auto"/>
        <w:ind w:left="425" w:hanging="425"/>
        <w:contextualSpacing w:val="0"/>
        <w:jc w:val="both"/>
        <w:rPr>
          <w:rFonts w:ascii="Times New Roman" w:hAnsi="Times New Roman"/>
          <w:szCs w:val="24"/>
        </w:rPr>
      </w:pPr>
      <w:r w:rsidRPr="008F5AFA">
        <w:rPr>
          <w:rFonts w:ascii="Times New Roman" w:hAnsi="Times New Roman"/>
          <w:szCs w:val="24"/>
        </w:rPr>
        <w:t xml:space="preserve">το συγχρηματοδοτούμενο σκέλος του Προγράμματος Δημοσίων Επενδύσεων </w:t>
      </w:r>
      <w:r w:rsidR="00AE631F">
        <w:rPr>
          <w:rFonts w:ascii="Times New Roman" w:hAnsi="Times New Roman"/>
          <w:szCs w:val="24"/>
        </w:rPr>
        <w:t xml:space="preserve">(ΠΔΕ) </w:t>
      </w:r>
      <w:r w:rsidRPr="008F5AFA">
        <w:rPr>
          <w:rFonts w:ascii="Times New Roman" w:hAnsi="Times New Roman"/>
          <w:szCs w:val="24"/>
        </w:rPr>
        <w:t>που αναμ</w:t>
      </w:r>
      <w:r w:rsidRPr="008F5AFA">
        <w:rPr>
          <w:rFonts w:ascii="Times New Roman" w:hAnsi="Times New Roman"/>
          <w:szCs w:val="24"/>
        </w:rPr>
        <w:t>έ</w:t>
      </w:r>
      <w:r w:rsidRPr="008F5AFA">
        <w:rPr>
          <w:rFonts w:ascii="Times New Roman" w:hAnsi="Times New Roman"/>
          <w:szCs w:val="24"/>
        </w:rPr>
        <w:t>νεται να ανέλθει σε 5.580 εκατ. ευρώ, καθώς και</w:t>
      </w:r>
      <w:r w:rsidR="00AE631F">
        <w:rPr>
          <w:rFonts w:ascii="Times New Roman" w:hAnsi="Times New Roman"/>
          <w:szCs w:val="24"/>
        </w:rPr>
        <w:t xml:space="preserve"> μέρος του εθνικού σκέλους του </w:t>
      </w:r>
      <w:r w:rsidRPr="008F5AFA">
        <w:rPr>
          <w:rFonts w:ascii="Times New Roman" w:hAnsi="Times New Roman"/>
          <w:szCs w:val="24"/>
        </w:rPr>
        <w:t>ΠΔΕ, ύψους 30 εκατ. ευρώ,</w:t>
      </w:r>
    </w:p>
    <w:p w:rsidR="00526F3F" w:rsidRPr="008F5AFA" w:rsidRDefault="00526F3F" w:rsidP="00526F3F">
      <w:pPr>
        <w:pStyle w:val="af2"/>
        <w:spacing w:after="0" w:line="240" w:lineRule="auto"/>
        <w:ind w:left="425"/>
        <w:contextualSpacing w:val="0"/>
        <w:jc w:val="both"/>
        <w:rPr>
          <w:rFonts w:ascii="Times New Roman" w:hAnsi="Times New Roman"/>
          <w:szCs w:val="24"/>
        </w:rPr>
      </w:pPr>
    </w:p>
    <w:p w:rsidR="00526F3F" w:rsidRPr="008F5AFA" w:rsidRDefault="00526F3F" w:rsidP="00526F3F">
      <w:pPr>
        <w:pStyle w:val="af2"/>
        <w:numPr>
          <w:ilvl w:val="0"/>
          <w:numId w:val="8"/>
        </w:numPr>
        <w:spacing w:after="0" w:line="240" w:lineRule="auto"/>
        <w:ind w:left="425" w:hanging="425"/>
        <w:contextualSpacing w:val="0"/>
        <w:jc w:val="both"/>
        <w:rPr>
          <w:rFonts w:ascii="Times New Roman" w:hAnsi="Times New Roman"/>
          <w:szCs w:val="24"/>
        </w:rPr>
      </w:pPr>
      <w:r w:rsidRPr="008F5AFA">
        <w:rPr>
          <w:rFonts w:ascii="Times New Roman" w:hAnsi="Times New Roman"/>
          <w:szCs w:val="24"/>
        </w:rPr>
        <w:t>τη μεταφορά αποδόσεων λόγω της διακράτησης ομολόγων του Ελληνικού Δημοσίου στα χαρτ</w:t>
      </w:r>
      <w:r w:rsidRPr="008F5AFA">
        <w:rPr>
          <w:rFonts w:ascii="Times New Roman" w:hAnsi="Times New Roman"/>
          <w:szCs w:val="24"/>
        </w:rPr>
        <w:t>ο</w:t>
      </w:r>
      <w:r w:rsidRPr="008F5AFA">
        <w:rPr>
          <w:rFonts w:ascii="Times New Roman" w:hAnsi="Times New Roman"/>
          <w:szCs w:val="24"/>
        </w:rPr>
        <w:t>φυλάκια των Κεντρικών Τραπεζών του Ευρωσυστήματος (ANFAs) και από το Πρόγραμμα Αγ</w:t>
      </w:r>
      <w:r w:rsidRPr="008F5AFA">
        <w:rPr>
          <w:rFonts w:ascii="Times New Roman" w:hAnsi="Times New Roman"/>
          <w:szCs w:val="24"/>
        </w:rPr>
        <w:t>ο</w:t>
      </w:r>
      <w:r w:rsidRPr="008F5AFA">
        <w:rPr>
          <w:rFonts w:ascii="Times New Roman" w:hAnsi="Times New Roman"/>
          <w:szCs w:val="24"/>
        </w:rPr>
        <w:t>ράς Ομολόγων (SMPs) της Ευρωπαϊκής Κεντρικής Τράπεζας (ΕΚΤ), καθώς και επιστροφή τ</w:t>
      </w:r>
      <w:r w:rsidRPr="008F5AFA">
        <w:rPr>
          <w:rFonts w:ascii="Times New Roman" w:hAnsi="Times New Roman"/>
          <w:szCs w:val="24"/>
        </w:rPr>
        <w:t>ό</w:t>
      </w:r>
      <w:r w:rsidRPr="008F5AFA">
        <w:rPr>
          <w:rFonts w:ascii="Times New Roman" w:hAnsi="Times New Roman"/>
          <w:szCs w:val="24"/>
        </w:rPr>
        <w:t xml:space="preserve">κων </w:t>
      </w:r>
      <w:r w:rsidRPr="008F5AFA">
        <w:rPr>
          <w:rFonts w:ascii="Times New Roman" w:hAnsi="Times New Roman"/>
          <w:szCs w:val="24"/>
          <w:lang w:val="en-US"/>
        </w:rPr>
        <w:t>EFSF</w:t>
      </w:r>
      <w:r w:rsidRPr="008F5AFA">
        <w:rPr>
          <w:rFonts w:ascii="Times New Roman" w:hAnsi="Times New Roman"/>
          <w:szCs w:val="24"/>
        </w:rPr>
        <w:t xml:space="preserve"> συνολικού ύψους 999 εκατ. ευρώ. Σημειώνεται ότι τα έσοδα αυτά κατατίθενται απε</w:t>
      </w:r>
      <w:r w:rsidRPr="008F5AFA">
        <w:rPr>
          <w:rFonts w:ascii="Times New Roman" w:hAnsi="Times New Roman"/>
          <w:szCs w:val="24"/>
        </w:rPr>
        <w:t>υ</w:t>
      </w:r>
      <w:r w:rsidRPr="008F5AFA">
        <w:rPr>
          <w:rFonts w:ascii="Times New Roman" w:hAnsi="Times New Roman"/>
          <w:szCs w:val="24"/>
        </w:rPr>
        <w:t xml:space="preserve">θείας στον ειδικό λογαριασμό εξυπηρέτησης του δημόσιου χρέους (Segregated </w:t>
      </w:r>
      <w:r w:rsidRPr="008F5AFA">
        <w:rPr>
          <w:rFonts w:ascii="Times New Roman" w:hAnsi="Times New Roman"/>
          <w:szCs w:val="24"/>
          <w:lang w:val="en-US"/>
        </w:rPr>
        <w:t>A</w:t>
      </w:r>
      <w:r w:rsidRPr="008F5AFA">
        <w:rPr>
          <w:rFonts w:ascii="Times New Roman" w:hAnsi="Times New Roman"/>
          <w:szCs w:val="24"/>
        </w:rPr>
        <w:t xml:space="preserve">ccount) και δεν υπολογίζονται στο αποτέλεσμα της Γενικής Κυβέρνησης, σύμφωνα με τους όρους της </w:t>
      </w:r>
      <w:r w:rsidR="00197BE1">
        <w:rPr>
          <w:rFonts w:ascii="Times New Roman" w:hAnsi="Times New Roman"/>
          <w:szCs w:val="24"/>
        </w:rPr>
        <w:t>ε</w:t>
      </w:r>
      <w:r w:rsidRPr="008F5AFA">
        <w:rPr>
          <w:rFonts w:ascii="Times New Roman" w:hAnsi="Times New Roman"/>
          <w:szCs w:val="24"/>
        </w:rPr>
        <w:t>νισχυμ</w:t>
      </w:r>
      <w:r w:rsidRPr="008F5AFA">
        <w:rPr>
          <w:rFonts w:ascii="Times New Roman" w:hAnsi="Times New Roman"/>
          <w:szCs w:val="24"/>
        </w:rPr>
        <w:t>έ</w:t>
      </w:r>
      <w:r w:rsidRPr="008F5AFA">
        <w:rPr>
          <w:rFonts w:ascii="Times New Roman" w:hAnsi="Times New Roman"/>
          <w:szCs w:val="24"/>
        </w:rPr>
        <w:t xml:space="preserve">νης </w:t>
      </w:r>
      <w:r w:rsidR="00197BE1">
        <w:rPr>
          <w:rFonts w:ascii="Times New Roman" w:hAnsi="Times New Roman"/>
          <w:szCs w:val="24"/>
        </w:rPr>
        <w:t>ε</w:t>
      </w:r>
      <w:r w:rsidRPr="008F5AFA">
        <w:rPr>
          <w:rFonts w:ascii="Times New Roman" w:hAnsi="Times New Roman"/>
          <w:szCs w:val="24"/>
        </w:rPr>
        <w:t>ποπτείας.</w:t>
      </w:r>
    </w:p>
    <w:p w:rsidR="00526F3F" w:rsidRPr="008F5AFA" w:rsidRDefault="00526F3F" w:rsidP="00526F3F">
      <w:pPr>
        <w:pStyle w:val="af2"/>
        <w:spacing w:after="0" w:line="240" w:lineRule="auto"/>
        <w:ind w:left="425"/>
        <w:contextualSpacing w:val="0"/>
        <w:jc w:val="both"/>
        <w:rPr>
          <w:rFonts w:ascii="Times New Roman" w:hAnsi="Times New Roman"/>
          <w:szCs w:val="24"/>
        </w:rPr>
      </w:pPr>
    </w:p>
    <w:p w:rsidR="00526F3F" w:rsidRPr="008F5AFA" w:rsidRDefault="00526F3F" w:rsidP="00526F3F">
      <w:pPr>
        <w:jc w:val="both"/>
        <w:rPr>
          <w:sz w:val="22"/>
        </w:rPr>
      </w:pPr>
      <w:r w:rsidRPr="008F5AFA">
        <w:rPr>
          <w:sz w:val="22"/>
        </w:rPr>
        <w:t>Το σύνολο των εσόδων από μεταβιβάσεις αναμένεται να ανέλθει στα 6.832 εκατ. ευρώ, αυξημένα κ</w:t>
      </w:r>
      <w:r w:rsidRPr="008F5AFA">
        <w:rPr>
          <w:sz w:val="22"/>
        </w:rPr>
        <w:t>α</w:t>
      </w:r>
      <w:r w:rsidRPr="008F5AFA">
        <w:rPr>
          <w:sz w:val="22"/>
        </w:rPr>
        <w:t>τά 2.239 εκατ. ευρώ έναντι του στόχου, κυρίως λόγω των αυξημένων εσόδων του ΠΔΕ κατά 1.383 εκατ. ευρώ, καθώς και της είσπραξης εσόδων από ANFA</w:t>
      </w:r>
      <w:r w:rsidRPr="008F5AFA">
        <w:rPr>
          <w:sz w:val="22"/>
          <w:lang w:val="en-US"/>
        </w:rPr>
        <w:t>s</w:t>
      </w:r>
      <w:r w:rsidRPr="008F5AFA">
        <w:rPr>
          <w:sz w:val="22"/>
        </w:rPr>
        <w:t xml:space="preserve"> και </w:t>
      </w:r>
      <w:r w:rsidRPr="008F5AFA">
        <w:rPr>
          <w:sz w:val="22"/>
          <w:lang w:val="en-US"/>
        </w:rPr>
        <w:t>SMPs</w:t>
      </w:r>
      <w:r w:rsidRPr="008F5AFA">
        <w:rPr>
          <w:sz w:val="22"/>
        </w:rPr>
        <w:t xml:space="preserve"> και από επιστροφή τόκων </w:t>
      </w:r>
      <w:r w:rsidRPr="008F5AFA">
        <w:rPr>
          <w:sz w:val="22"/>
          <w:lang w:val="en-US"/>
        </w:rPr>
        <w:t>EFSF</w:t>
      </w:r>
      <w:r w:rsidRPr="008F5AFA">
        <w:rPr>
          <w:sz w:val="22"/>
        </w:rPr>
        <w:t xml:space="preserve"> ύψους 748 εκατ. ευρώ, τα οποία δεν είχαν προβλεφθεί στον αρχικό Προϋπολογισμό 2020.</w:t>
      </w:r>
    </w:p>
    <w:p w:rsidR="00526F3F" w:rsidRPr="008F5AFA" w:rsidRDefault="00526F3F" w:rsidP="00526F3F">
      <w:pPr>
        <w:jc w:val="both"/>
        <w:rPr>
          <w:rFonts w:ascii="Arial Narrow" w:hAnsi="Arial Narrow"/>
          <w:b/>
          <w:i/>
          <w:sz w:val="22"/>
        </w:rPr>
      </w:pPr>
    </w:p>
    <w:p w:rsidR="00526F3F" w:rsidRPr="001F70FF" w:rsidRDefault="00526F3F" w:rsidP="00526F3F">
      <w:pPr>
        <w:jc w:val="both"/>
        <w:rPr>
          <w:rFonts w:ascii="Arial Narrow" w:hAnsi="Arial Narrow"/>
          <w:b/>
          <w:i/>
          <w:sz w:val="22"/>
        </w:rPr>
      </w:pPr>
      <w:r w:rsidRPr="001F70FF">
        <w:rPr>
          <w:rFonts w:ascii="Arial Narrow" w:hAnsi="Arial Narrow"/>
          <w:b/>
          <w:i/>
          <w:sz w:val="22"/>
        </w:rPr>
        <w:t>Πωλήσεις αγαθών και υπηρεσιών</w:t>
      </w:r>
    </w:p>
    <w:p w:rsidR="00526F3F" w:rsidRPr="008F5AFA" w:rsidRDefault="00526F3F" w:rsidP="00526F3F">
      <w:pPr>
        <w:jc w:val="both"/>
        <w:rPr>
          <w:sz w:val="22"/>
        </w:rPr>
      </w:pPr>
    </w:p>
    <w:p w:rsidR="00526F3F" w:rsidRPr="008F5AFA" w:rsidRDefault="00526F3F" w:rsidP="00526F3F">
      <w:pPr>
        <w:jc w:val="both"/>
        <w:rPr>
          <w:sz w:val="22"/>
        </w:rPr>
      </w:pPr>
      <w:r w:rsidRPr="008F5AFA">
        <w:rPr>
          <w:sz w:val="22"/>
        </w:rPr>
        <w:t>Η κατηγορία αυτή περιλαμβάνει κυρίως τα έσοδα από παράβολα, μισθώματα κτιρίων και υποδομών, καθώς και από προμήθειες λόγω παροχής της εγγύησης του Ελληνικού Δημοσίου. Αναμένεται να ε</w:t>
      </w:r>
      <w:r w:rsidRPr="008F5AFA">
        <w:rPr>
          <w:sz w:val="22"/>
        </w:rPr>
        <w:t>ι</w:t>
      </w:r>
      <w:r w:rsidRPr="008F5AFA">
        <w:rPr>
          <w:sz w:val="22"/>
        </w:rPr>
        <w:t>σπραχθούν έσοδα ύψους 569 εκατ. ευρώ, μειωμένα κατά 117 εκατ. ευρώ</w:t>
      </w:r>
      <w:r w:rsidR="00FE24A8">
        <w:rPr>
          <w:sz w:val="22"/>
        </w:rPr>
        <w:t>,</w:t>
      </w:r>
      <w:r w:rsidRPr="008F5AFA">
        <w:rPr>
          <w:sz w:val="22"/>
        </w:rPr>
        <w:t xml:space="preserve"> έναντι του στόχου του Πρ</w:t>
      </w:r>
      <w:r w:rsidRPr="008F5AFA">
        <w:rPr>
          <w:sz w:val="22"/>
        </w:rPr>
        <w:t>ο</w:t>
      </w:r>
      <w:r w:rsidRPr="008F5AFA">
        <w:rPr>
          <w:sz w:val="22"/>
        </w:rPr>
        <w:t>ϋπολογισμού 2020.</w:t>
      </w:r>
    </w:p>
    <w:p w:rsidR="00526F3F" w:rsidRPr="008F5AFA" w:rsidRDefault="00526F3F" w:rsidP="00526F3F">
      <w:pPr>
        <w:jc w:val="both"/>
        <w:rPr>
          <w:rFonts w:ascii="Arial Narrow" w:hAnsi="Arial Narrow"/>
          <w:b/>
          <w:i/>
          <w:sz w:val="22"/>
        </w:rPr>
      </w:pPr>
    </w:p>
    <w:p w:rsidR="00526F3F" w:rsidRPr="001F70FF" w:rsidRDefault="00526F3F" w:rsidP="00526F3F">
      <w:pPr>
        <w:jc w:val="both"/>
        <w:rPr>
          <w:rFonts w:ascii="Arial Narrow" w:hAnsi="Arial Narrow"/>
          <w:b/>
          <w:i/>
          <w:sz w:val="22"/>
        </w:rPr>
      </w:pPr>
      <w:r w:rsidRPr="001F70FF">
        <w:rPr>
          <w:rFonts w:ascii="Arial Narrow" w:hAnsi="Arial Narrow"/>
          <w:b/>
          <w:i/>
          <w:sz w:val="22"/>
        </w:rPr>
        <w:t>Λοιπά τρέχοντα έσοδα</w:t>
      </w:r>
    </w:p>
    <w:p w:rsidR="00526F3F" w:rsidRPr="008F5AFA" w:rsidRDefault="00526F3F" w:rsidP="00526F3F">
      <w:pPr>
        <w:jc w:val="both"/>
        <w:rPr>
          <w:sz w:val="22"/>
        </w:rPr>
      </w:pPr>
    </w:p>
    <w:p w:rsidR="00526F3F" w:rsidRPr="008F5AFA" w:rsidRDefault="00526F3F" w:rsidP="00526F3F">
      <w:pPr>
        <w:jc w:val="both"/>
        <w:rPr>
          <w:sz w:val="22"/>
        </w:rPr>
      </w:pPr>
      <w:r w:rsidRPr="008F5AFA">
        <w:rPr>
          <w:sz w:val="22"/>
        </w:rPr>
        <w:t>Η κατηγορία αυτή περιλαμβάνει διάφορες κατηγορίες εσόδων, με κυριότερες τα μερίσματα από τη συμμετοχή του Δημοσίου στο μετοχικό κεφάλαιο διαφόρων εταιρειών, τους τόκους από ομόλογα που κατέχει το Ελληνικό Δημόσιο, τις διάφορες κατηγορίες προστίμων και προσαυξήσεων, το μεγαλύτερο μέρος του εθνικού σκέλους του ΠΔΕ, καθώς και τις επιστροφές ιδίων πόρων από την ΕΕ. Τα λοιπά τρέχοντα έσοδα αναμένεται να διαμορφωθούν στα 2.719 εκατ. ευρώ, αυξημένα κατά 913 εκατ. ευρώ</w:t>
      </w:r>
      <w:r w:rsidR="00FE24A8">
        <w:rPr>
          <w:sz w:val="22"/>
        </w:rPr>
        <w:t>,</w:t>
      </w:r>
      <w:r w:rsidRPr="008F5AFA">
        <w:rPr>
          <w:sz w:val="22"/>
        </w:rPr>
        <w:t xml:space="preserve"> έναντι του στόχου του Προϋπολογισμού. Η αύξηση αυτή οφείλεται κατά κύριο λόγο στα αυξημένα έσοδα:</w:t>
      </w:r>
    </w:p>
    <w:p w:rsidR="00526F3F" w:rsidRPr="008F5AFA" w:rsidRDefault="00526F3F" w:rsidP="00526F3F">
      <w:pPr>
        <w:jc w:val="both"/>
        <w:rPr>
          <w:sz w:val="22"/>
        </w:rPr>
      </w:pPr>
    </w:p>
    <w:p w:rsidR="00526F3F" w:rsidRPr="008F5AFA" w:rsidRDefault="00526F3F" w:rsidP="00526F3F">
      <w:pPr>
        <w:pStyle w:val="af2"/>
        <w:numPr>
          <w:ilvl w:val="0"/>
          <w:numId w:val="8"/>
        </w:numPr>
        <w:spacing w:after="0" w:line="240" w:lineRule="auto"/>
        <w:ind w:left="425" w:hanging="425"/>
        <w:contextualSpacing w:val="0"/>
        <w:jc w:val="both"/>
        <w:rPr>
          <w:rFonts w:ascii="Times New Roman" w:hAnsi="Times New Roman"/>
          <w:szCs w:val="24"/>
        </w:rPr>
      </w:pPr>
      <w:r w:rsidRPr="008F5AFA">
        <w:rPr>
          <w:rFonts w:ascii="Times New Roman" w:hAnsi="Times New Roman"/>
          <w:szCs w:val="24"/>
        </w:rPr>
        <w:t>από μερίσματα φορέων του Δημοσίου κατά 151 εκατ. ευρώ,</w:t>
      </w:r>
    </w:p>
    <w:p w:rsidR="00526F3F" w:rsidRPr="008F5AFA" w:rsidRDefault="00526F3F" w:rsidP="00526F3F">
      <w:pPr>
        <w:pStyle w:val="af2"/>
        <w:numPr>
          <w:ilvl w:val="0"/>
          <w:numId w:val="8"/>
        </w:numPr>
        <w:spacing w:after="0" w:line="240" w:lineRule="auto"/>
        <w:ind w:left="425" w:hanging="425"/>
        <w:contextualSpacing w:val="0"/>
        <w:jc w:val="both"/>
        <w:rPr>
          <w:rFonts w:ascii="Times New Roman" w:hAnsi="Times New Roman"/>
          <w:szCs w:val="24"/>
        </w:rPr>
      </w:pPr>
      <w:r w:rsidRPr="008F5AFA">
        <w:rPr>
          <w:rFonts w:ascii="Times New Roman" w:hAnsi="Times New Roman"/>
          <w:szCs w:val="24"/>
        </w:rPr>
        <w:t>από επιστροφές ιδίων πόρων από την ΕΕ κατά 41 εκατ. ευρώ και</w:t>
      </w:r>
    </w:p>
    <w:p w:rsidR="00526F3F" w:rsidRPr="008F5AFA" w:rsidRDefault="00526F3F" w:rsidP="00526F3F">
      <w:pPr>
        <w:pStyle w:val="af2"/>
        <w:numPr>
          <w:ilvl w:val="0"/>
          <w:numId w:val="8"/>
        </w:numPr>
        <w:spacing w:after="0" w:line="240" w:lineRule="auto"/>
        <w:ind w:left="425" w:hanging="425"/>
        <w:contextualSpacing w:val="0"/>
        <w:jc w:val="both"/>
        <w:rPr>
          <w:rFonts w:ascii="Times New Roman" w:hAnsi="Times New Roman"/>
          <w:szCs w:val="24"/>
        </w:rPr>
      </w:pPr>
      <w:r w:rsidRPr="008F5AFA">
        <w:rPr>
          <w:rFonts w:ascii="Times New Roman" w:hAnsi="Times New Roman"/>
          <w:szCs w:val="24"/>
        </w:rPr>
        <w:t>του εθνικού σκέλους του ΠΔΕ κατά 747 εκατ. ευρώ.</w:t>
      </w:r>
    </w:p>
    <w:p w:rsidR="00526F3F" w:rsidRPr="00FC1E1E" w:rsidRDefault="00526F3F" w:rsidP="00FC1E1E">
      <w:pPr>
        <w:jc w:val="both"/>
      </w:pPr>
    </w:p>
    <w:p w:rsidR="00112CDE" w:rsidRPr="008F5AFA" w:rsidRDefault="00112CDE" w:rsidP="00526F3F">
      <w:pPr>
        <w:pStyle w:val="af2"/>
        <w:spacing w:after="0" w:line="240" w:lineRule="auto"/>
        <w:ind w:left="425"/>
        <w:contextualSpacing w:val="0"/>
        <w:jc w:val="both"/>
        <w:rPr>
          <w:rFonts w:ascii="Times New Roman" w:hAnsi="Times New Roman"/>
          <w:szCs w:val="24"/>
        </w:rPr>
      </w:pPr>
    </w:p>
    <w:p w:rsidR="009930A8" w:rsidRDefault="009930A8" w:rsidP="00526F3F">
      <w:pPr>
        <w:jc w:val="both"/>
        <w:rPr>
          <w:rFonts w:ascii="Arial Narrow" w:hAnsi="Arial Narrow"/>
          <w:b/>
          <w:i/>
          <w:sz w:val="22"/>
        </w:rPr>
      </w:pPr>
    </w:p>
    <w:p w:rsidR="009930A8" w:rsidRDefault="009930A8" w:rsidP="00526F3F">
      <w:pPr>
        <w:jc w:val="both"/>
        <w:rPr>
          <w:rFonts w:ascii="Arial Narrow" w:hAnsi="Arial Narrow"/>
          <w:b/>
          <w:i/>
          <w:sz w:val="22"/>
        </w:rPr>
      </w:pPr>
    </w:p>
    <w:p w:rsidR="00526F3F" w:rsidRPr="001F70FF" w:rsidRDefault="00526F3F" w:rsidP="00526F3F">
      <w:pPr>
        <w:jc w:val="both"/>
        <w:rPr>
          <w:rFonts w:ascii="Arial Narrow" w:hAnsi="Arial Narrow"/>
          <w:b/>
          <w:i/>
          <w:sz w:val="22"/>
        </w:rPr>
      </w:pPr>
      <w:r w:rsidRPr="001F70FF">
        <w:rPr>
          <w:rFonts w:ascii="Arial Narrow" w:hAnsi="Arial Narrow"/>
          <w:b/>
          <w:i/>
          <w:sz w:val="22"/>
        </w:rPr>
        <w:t>Πωλήσεις παγίων περιουσιακών στοιχείων</w:t>
      </w:r>
    </w:p>
    <w:p w:rsidR="00526F3F" w:rsidRPr="008F5AFA" w:rsidRDefault="00526F3F" w:rsidP="00526F3F">
      <w:pPr>
        <w:jc w:val="both"/>
        <w:rPr>
          <w:sz w:val="22"/>
          <w:szCs w:val="22"/>
        </w:rPr>
      </w:pPr>
    </w:p>
    <w:p w:rsidR="00526F3F" w:rsidRPr="008F5AFA" w:rsidRDefault="00526F3F" w:rsidP="00526F3F">
      <w:pPr>
        <w:jc w:val="both"/>
        <w:rPr>
          <w:sz w:val="22"/>
          <w:szCs w:val="22"/>
        </w:rPr>
      </w:pPr>
      <w:r w:rsidRPr="008F5AFA">
        <w:rPr>
          <w:sz w:val="22"/>
          <w:szCs w:val="22"/>
        </w:rPr>
        <w:t>Η κατηγορία αυτή αφορά έσοδα από την αξιοποίηση της ακίνητης περιουσίας του Ελληνικού Δημ</w:t>
      </w:r>
      <w:r w:rsidRPr="008F5AFA">
        <w:rPr>
          <w:sz w:val="22"/>
          <w:szCs w:val="22"/>
        </w:rPr>
        <w:t>ο</w:t>
      </w:r>
      <w:r w:rsidRPr="008F5AFA">
        <w:rPr>
          <w:sz w:val="22"/>
          <w:szCs w:val="22"/>
        </w:rPr>
        <w:t>σίου, μέσω της διαδικασίας αποκρατικοποιήσεων από το ΤΑΙΠΕΔ. Εκτιμώνται έσοδα ύψους 25 εκατ. ευρώ, μειωμένα κατά 307 εκατ. ευρώ, έναντι του στόχου, λόγω της μη είσπραξης στο έτος 2020 του προβλεπόμενου αντιτίμου από την αξιοποίηση της έκτασης του πρώην Διεθνούς Αεροδρομίου του Ελληνικού και της μεταφοράς της στο επόμενο έτος.</w:t>
      </w:r>
    </w:p>
    <w:p w:rsidR="00526F3F" w:rsidRPr="008F5AFA" w:rsidRDefault="00526F3F" w:rsidP="00526F3F">
      <w:pPr>
        <w:jc w:val="both"/>
        <w:rPr>
          <w:sz w:val="22"/>
          <w:szCs w:val="22"/>
        </w:rPr>
      </w:pPr>
    </w:p>
    <w:p w:rsidR="00526F3F" w:rsidRPr="008F5AFA" w:rsidRDefault="00526F3F" w:rsidP="00526F3F">
      <w:pPr>
        <w:jc w:val="both"/>
        <w:rPr>
          <w:rFonts w:ascii="Arial Narrow" w:hAnsi="Arial Narrow"/>
          <w:b/>
          <w:i/>
          <w:sz w:val="22"/>
          <w:szCs w:val="22"/>
        </w:rPr>
      </w:pPr>
      <w:r w:rsidRPr="008F5AFA">
        <w:rPr>
          <w:rFonts w:ascii="Arial Narrow" w:hAnsi="Arial Narrow"/>
          <w:b/>
          <w:i/>
          <w:sz w:val="22"/>
          <w:szCs w:val="22"/>
        </w:rPr>
        <w:t xml:space="preserve">Επιστροφές </w:t>
      </w:r>
      <w:r w:rsidR="00FE24A8">
        <w:rPr>
          <w:rFonts w:ascii="Arial Narrow" w:hAnsi="Arial Narrow"/>
          <w:b/>
          <w:i/>
          <w:sz w:val="22"/>
          <w:szCs w:val="22"/>
        </w:rPr>
        <w:t>εσόδων</w:t>
      </w:r>
    </w:p>
    <w:p w:rsidR="00526F3F" w:rsidRPr="008F5AFA" w:rsidRDefault="00526F3F" w:rsidP="00526F3F">
      <w:pPr>
        <w:jc w:val="both"/>
        <w:rPr>
          <w:sz w:val="22"/>
          <w:szCs w:val="22"/>
        </w:rPr>
      </w:pPr>
    </w:p>
    <w:p w:rsidR="00526F3F" w:rsidRPr="008F5AFA" w:rsidRDefault="00526F3F" w:rsidP="00526F3F">
      <w:pPr>
        <w:jc w:val="both"/>
        <w:rPr>
          <w:sz w:val="22"/>
          <w:szCs w:val="22"/>
        </w:rPr>
      </w:pPr>
      <w:r w:rsidRPr="008F5AFA">
        <w:rPr>
          <w:sz w:val="22"/>
          <w:szCs w:val="22"/>
        </w:rPr>
        <w:t>Οι επιστροφές αχρεωστήτως εισπραχθέντων εσόδων αναμένεται να διαμορφωθούν στα 5.360 εκατ. ευρώ, αυξημένες κατά 434 εκατ. ευρώ ή 8,8%, έναντι του στόχου.</w:t>
      </w:r>
    </w:p>
    <w:p w:rsidR="00526F3F" w:rsidRPr="008F5AFA" w:rsidRDefault="00526F3F" w:rsidP="00526F3F">
      <w:pPr>
        <w:jc w:val="both"/>
        <w:rPr>
          <w:bCs/>
          <w:sz w:val="22"/>
          <w:szCs w:val="22"/>
        </w:rPr>
      </w:pPr>
    </w:p>
    <w:p w:rsidR="00526F3F" w:rsidRPr="008F5AFA" w:rsidRDefault="00526F3F" w:rsidP="00526F3F">
      <w:pPr>
        <w:jc w:val="both"/>
        <w:rPr>
          <w:rFonts w:ascii="Arial Narrow" w:hAnsi="Arial Narrow"/>
          <w:b/>
          <w:i/>
          <w:sz w:val="22"/>
          <w:szCs w:val="22"/>
        </w:rPr>
      </w:pPr>
      <w:r w:rsidRPr="008F5AFA">
        <w:rPr>
          <w:rFonts w:ascii="Arial Narrow" w:hAnsi="Arial Narrow"/>
          <w:b/>
          <w:i/>
          <w:sz w:val="22"/>
          <w:szCs w:val="22"/>
        </w:rPr>
        <w:t>Έσοδα Προγράμματος Δημοσίων Επενδύσεων</w:t>
      </w:r>
    </w:p>
    <w:p w:rsidR="00526F3F" w:rsidRPr="008F5AFA" w:rsidRDefault="00526F3F" w:rsidP="00526F3F">
      <w:pPr>
        <w:jc w:val="both"/>
        <w:rPr>
          <w:bCs/>
          <w:sz w:val="22"/>
          <w:szCs w:val="22"/>
        </w:rPr>
      </w:pPr>
    </w:p>
    <w:p w:rsidR="00526F3F" w:rsidRPr="008F5AFA" w:rsidRDefault="00526F3F" w:rsidP="00526F3F">
      <w:pPr>
        <w:jc w:val="both"/>
        <w:rPr>
          <w:sz w:val="22"/>
          <w:szCs w:val="22"/>
        </w:rPr>
      </w:pPr>
      <w:r w:rsidRPr="008F5AFA">
        <w:rPr>
          <w:sz w:val="22"/>
          <w:szCs w:val="22"/>
        </w:rPr>
        <w:t xml:space="preserve">Τα έσοδα του ΠΔΕ περιλαμβάνονται στις κατηγορίες «Μεταβιβάσεις» και «Λοιπά τρέχοντα έσοδα». Ειδικότερα, τα έσοδα ΠΔΕ αναμένεται να ανέλθουν στο ποσό των 6.230 εκατ. ευρώ, αυξημένα κατά 2.130 εκατ. ευρώ έναντι του στόχου. Στον πίνακα </w:t>
      </w:r>
      <w:r w:rsidR="001418C5">
        <w:rPr>
          <w:sz w:val="22"/>
          <w:szCs w:val="22"/>
        </w:rPr>
        <w:t xml:space="preserve">3.7 </w:t>
      </w:r>
      <w:r w:rsidRPr="008F5AFA">
        <w:rPr>
          <w:sz w:val="22"/>
          <w:szCs w:val="22"/>
        </w:rPr>
        <w:t>παρουσιάζονται οι πηγές χρηματοδότησης του ΠΔΕ.</w:t>
      </w:r>
    </w:p>
    <w:p w:rsidR="00526F3F" w:rsidRPr="008F5AFA" w:rsidRDefault="00526F3F" w:rsidP="00526F3F">
      <w:pPr>
        <w:rPr>
          <w:sz w:val="22"/>
          <w:szCs w:val="22"/>
        </w:rPr>
      </w:pPr>
    </w:p>
    <w:p w:rsidR="00526F3F" w:rsidRPr="008F5AFA" w:rsidRDefault="00526F3F" w:rsidP="00526F3F">
      <w:pPr>
        <w:jc w:val="both"/>
        <w:rPr>
          <w:rFonts w:ascii="Arial Narrow" w:hAnsi="Arial Narrow"/>
          <w:b/>
          <w:i/>
          <w:color w:val="000080"/>
          <w:sz w:val="22"/>
          <w:szCs w:val="22"/>
        </w:rPr>
      </w:pPr>
      <w:r w:rsidRPr="008F5AFA">
        <w:rPr>
          <w:rFonts w:ascii="Arial Narrow" w:hAnsi="Arial Narrow"/>
          <w:b/>
          <w:i/>
          <w:color w:val="000080"/>
          <w:sz w:val="22"/>
          <w:szCs w:val="22"/>
        </w:rPr>
        <w:t>Έσοδα</w:t>
      </w:r>
      <w:r w:rsidR="00133371">
        <w:rPr>
          <w:rFonts w:ascii="Arial Narrow" w:hAnsi="Arial Narrow"/>
          <w:b/>
          <w:i/>
          <w:color w:val="000080"/>
          <w:sz w:val="22"/>
          <w:szCs w:val="22"/>
        </w:rPr>
        <w:t xml:space="preserve"> </w:t>
      </w:r>
      <w:r w:rsidRPr="008F5AFA">
        <w:rPr>
          <w:rFonts w:ascii="Arial Narrow" w:hAnsi="Arial Narrow"/>
          <w:b/>
          <w:i/>
          <w:color w:val="000080"/>
          <w:sz w:val="22"/>
          <w:szCs w:val="22"/>
        </w:rPr>
        <w:t>χρηματοοικονομικών συναλλαγών</w:t>
      </w:r>
    </w:p>
    <w:p w:rsidR="00526F3F" w:rsidRPr="008F5AFA" w:rsidRDefault="00526F3F" w:rsidP="00526F3F">
      <w:pPr>
        <w:rPr>
          <w:sz w:val="22"/>
          <w:szCs w:val="22"/>
        </w:rPr>
      </w:pPr>
    </w:p>
    <w:p w:rsidR="00526F3F" w:rsidRPr="008F5AFA" w:rsidRDefault="00526F3F" w:rsidP="00526F3F">
      <w:pPr>
        <w:jc w:val="both"/>
        <w:rPr>
          <w:rFonts w:ascii="Arial Narrow" w:hAnsi="Arial Narrow"/>
          <w:b/>
          <w:i/>
          <w:sz w:val="22"/>
          <w:szCs w:val="22"/>
        </w:rPr>
      </w:pPr>
      <w:r w:rsidRPr="008F5AFA">
        <w:rPr>
          <w:rFonts w:ascii="Arial Narrow" w:hAnsi="Arial Narrow"/>
          <w:b/>
          <w:i/>
          <w:sz w:val="22"/>
          <w:szCs w:val="22"/>
        </w:rPr>
        <w:t>Χρεωστικοί τίτλοι</w:t>
      </w:r>
    </w:p>
    <w:p w:rsidR="00526F3F" w:rsidRPr="008F5AFA" w:rsidRDefault="00526F3F" w:rsidP="00526F3F">
      <w:pPr>
        <w:jc w:val="both"/>
        <w:rPr>
          <w:rFonts w:ascii="Arial Narrow" w:hAnsi="Arial Narrow"/>
          <w:b/>
          <w:i/>
          <w:sz w:val="22"/>
          <w:szCs w:val="22"/>
        </w:rPr>
      </w:pPr>
    </w:p>
    <w:p w:rsidR="00526F3F" w:rsidRPr="008F5AFA" w:rsidRDefault="00526F3F" w:rsidP="00526F3F">
      <w:pPr>
        <w:jc w:val="both"/>
        <w:rPr>
          <w:sz w:val="22"/>
          <w:szCs w:val="22"/>
        </w:rPr>
      </w:pPr>
      <w:r w:rsidRPr="008F5AFA">
        <w:rPr>
          <w:sz w:val="22"/>
          <w:szCs w:val="22"/>
        </w:rPr>
        <w:t>Η κατηγορία αυτή των χρηματοοικονομικών εσόδων περιλαμβάνει τα έσοδα του Ελληνικού Δημοσ</w:t>
      </w:r>
      <w:r w:rsidRPr="008F5AFA">
        <w:rPr>
          <w:sz w:val="22"/>
          <w:szCs w:val="22"/>
        </w:rPr>
        <w:t>ί</w:t>
      </w:r>
      <w:r w:rsidRPr="008F5AFA">
        <w:rPr>
          <w:sz w:val="22"/>
          <w:szCs w:val="22"/>
        </w:rPr>
        <w:t xml:space="preserve">ου από χρεολύσια επενδύσεων σε ομόλογα. Εκτιμώνται έσοδα 551 εκατ. ευρώ που προέρχονται από τα χρεολύσια ομολόγων ΟΣΕ και ΕΑΣ, τα οποία πέρασαν στην κατοχή του Δημοσίου μετά το PSI (πίνακας </w:t>
      </w:r>
      <w:r w:rsidRPr="009930A8">
        <w:rPr>
          <w:sz w:val="22"/>
          <w:szCs w:val="22"/>
        </w:rPr>
        <w:t>3.4).</w:t>
      </w:r>
    </w:p>
    <w:p w:rsidR="00526F3F" w:rsidRPr="008F5AFA" w:rsidRDefault="00526F3F" w:rsidP="00526F3F">
      <w:pPr>
        <w:jc w:val="both"/>
        <w:rPr>
          <w:sz w:val="22"/>
          <w:szCs w:val="22"/>
        </w:rPr>
      </w:pPr>
    </w:p>
    <w:p w:rsidR="00526F3F" w:rsidRPr="008F5AFA" w:rsidRDefault="00526F3F" w:rsidP="00526F3F">
      <w:pPr>
        <w:jc w:val="both"/>
        <w:rPr>
          <w:rFonts w:ascii="Arial Narrow" w:hAnsi="Arial Narrow"/>
          <w:b/>
          <w:i/>
          <w:sz w:val="22"/>
          <w:szCs w:val="22"/>
        </w:rPr>
      </w:pPr>
      <w:r w:rsidRPr="008F5AFA">
        <w:rPr>
          <w:rFonts w:ascii="Arial Narrow" w:hAnsi="Arial Narrow"/>
          <w:b/>
          <w:i/>
          <w:sz w:val="22"/>
          <w:szCs w:val="22"/>
        </w:rPr>
        <w:t>Συμμετοχικοί τίτλοι</w:t>
      </w:r>
    </w:p>
    <w:p w:rsidR="00526F3F" w:rsidRPr="008F5AFA" w:rsidRDefault="00526F3F" w:rsidP="00526F3F">
      <w:pPr>
        <w:jc w:val="both"/>
        <w:rPr>
          <w:rFonts w:ascii="Arial Narrow" w:hAnsi="Arial Narrow"/>
          <w:b/>
          <w:i/>
          <w:sz w:val="22"/>
          <w:szCs w:val="22"/>
        </w:rPr>
      </w:pPr>
    </w:p>
    <w:p w:rsidR="00526F3F" w:rsidRPr="008F5AFA" w:rsidRDefault="00526F3F" w:rsidP="00526F3F">
      <w:pPr>
        <w:jc w:val="both"/>
        <w:rPr>
          <w:sz w:val="22"/>
          <w:szCs w:val="22"/>
        </w:rPr>
      </w:pPr>
      <w:r w:rsidRPr="008F5AFA">
        <w:rPr>
          <w:sz w:val="22"/>
          <w:szCs w:val="22"/>
        </w:rPr>
        <w:t>Η κατηγορία αυτή των χρηματοοικονομικών εσόδων περιλαμβάνει έσοδα από πωλήσεις μετοχών δι</w:t>
      </w:r>
      <w:r w:rsidRPr="008F5AFA">
        <w:rPr>
          <w:sz w:val="22"/>
          <w:szCs w:val="22"/>
        </w:rPr>
        <w:t>α</w:t>
      </w:r>
      <w:r w:rsidRPr="008F5AFA">
        <w:rPr>
          <w:sz w:val="22"/>
          <w:szCs w:val="22"/>
        </w:rPr>
        <w:t>φόρων εισηγμένων και μη εισηγμένων στο ΧΑ εταιρειών, κυριότητας Ελληνικού Δημοσίου ή/και ΤΑΙΠΕΔ ΑΕ. Εκτιμώνται έσοδα ύψους 29 εκατ. ευρώ (</w:t>
      </w:r>
      <w:r w:rsidRPr="009930A8">
        <w:rPr>
          <w:sz w:val="22"/>
          <w:szCs w:val="22"/>
        </w:rPr>
        <w:t>πίνακας 3.4).</w:t>
      </w:r>
    </w:p>
    <w:p w:rsidR="001A0725" w:rsidRDefault="001A0725" w:rsidP="00526F3F">
      <w:pPr>
        <w:jc w:val="both"/>
        <w:rPr>
          <w:rFonts w:ascii="Arial Narrow" w:hAnsi="Arial Narrow"/>
          <w:b/>
          <w:i/>
          <w:sz w:val="22"/>
          <w:szCs w:val="22"/>
        </w:rPr>
      </w:pPr>
    </w:p>
    <w:p w:rsidR="009930A8" w:rsidRDefault="009930A8" w:rsidP="00526F3F">
      <w:pPr>
        <w:jc w:val="both"/>
        <w:rPr>
          <w:rFonts w:ascii="Arial Narrow" w:hAnsi="Arial Narrow"/>
          <w:b/>
          <w:i/>
          <w:sz w:val="22"/>
          <w:szCs w:val="22"/>
        </w:rPr>
      </w:pPr>
    </w:p>
    <w:p w:rsidR="009930A8" w:rsidRPr="008F5AFA" w:rsidRDefault="009930A8" w:rsidP="00526F3F">
      <w:pPr>
        <w:jc w:val="both"/>
        <w:rPr>
          <w:rFonts w:ascii="Arial Narrow" w:hAnsi="Arial Narrow"/>
          <w:b/>
          <w:i/>
          <w:sz w:val="22"/>
          <w:szCs w:val="22"/>
        </w:rPr>
      </w:pPr>
    </w:p>
    <w:p w:rsidR="00C4218F" w:rsidRPr="00C4218F" w:rsidRDefault="00C4218F" w:rsidP="00C4218F">
      <w:pPr>
        <w:shd w:val="clear" w:color="auto" w:fill="BFBFBF" w:themeFill="background1" w:themeFillShade="BF"/>
        <w:jc w:val="both"/>
        <w:rPr>
          <w:rFonts w:ascii="Arial Narrow" w:hAnsi="Arial Narrow"/>
          <w:b/>
          <w:szCs w:val="22"/>
        </w:rPr>
      </w:pPr>
      <w:r>
        <w:rPr>
          <w:rFonts w:ascii="Arial Narrow" w:hAnsi="Arial Narrow"/>
          <w:b/>
          <w:szCs w:val="22"/>
        </w:rPr>
        <w:t>2.</w:t>
      </w:r>
      <w:r w:rsidRPr="00C4218F">
        <w:rPr>
          <w:rFonts w:ascii="Arial Narrow" w:hAnsi="Arial Narrow"/>
          <w:b/>
          <w:szCs w:val="22"/>
        </w:rPr>
        <w:t>2</w:t>
      </w:r>
      <w:r w:rsidRPr="00E36FE7">
        <w:rPr>
          <w:rFonts w:ascii="Arial Narrow" w:hAnsi="Arial Narrow"/>
          <w:b/>
          <w:szCs w:val="22"/>
        </w:rPr>
        <w:tab/>
      </w:r>
      <w:r>
        <w:rPr>
          <w:rFonts w:ascii="Arial Narrow" w:hAnsi="Arial Narrow"/>
          <w:b/>
          <w:szCs w:val="22"/>
        </w:rPr>
        <w:t>Δαπάνες</w:t>
      </w:r>
    </w:p>
    <w:p w:rsidR="00C4218F" w:rsidRPr="00C4218F" w:rsidRDefault="00C4218F">
      <w:pPr>
        <w:rPr>
          <w:sz w:val="22"/>
        </w:rPr>
      </w:pPr>
    </w:p>
    <w:p w:rsidR="00F94EA2" w:rsidRPr="001018C6" w:rsidRDefault="00F94EA2" w:rsidP="00F94EA2">
      <w:pPr>
        <w:jc w:val="both"/>
        <w:rPr>
          <w:bCs/>
          <w:sz w:val="22"/>
        </w:rPr>
      </w:pPr>
      <w:r w:rsidRPr="001018C6">
        <w:rPr>
          <w:bCs/>
          <w:sz w:val="22"/>
        </w:rPr>
        <w:t>Οι συνολικές δαπάνες του Κρατικού Προϋπολογισμού για το έτος 2020 σε δημοσιονομική βάση εκτ</w:t>
      </w:r>
      <w:r w:rsidRPr="001018C6">
        <w:rPr>
          <w:bCs/>
          <w:sz w:val="22"/>
        </w:rPr>
        <w:t>ι</w:t>
      </w:r>
      <w:r w:rsidRPr="001018C6">
        <w:rPr>
          <w:bCs/>
          <w:sz w:val="22"/>
        </w:rPr>
        <w:t xml:space="preserve">μάται ότι θα διαμορφωθούν στα 69.332 εκατ. ευρώ, αυξημένες κατά 12.169 εκατ. ευρώ, σε σχέση με τον στόχο του ψηφισμένου Προϋπολογισμού 2020. Η μεγάλη αυτή αύξηση, όπως προκύπτει και από την ανάλυση των δαπανών κατά μείζονα κατηγορία, οφείλεται κατά κύριο λόγο στις υλοποιούμενες δράσεις για την αντιμετώπιση των επιπτώσεων της πανδημίας </w:t>
      </w:r>
      <w:r w:rsidRPr="001018C6">
        <w:rPr>
          <w:bCs/>
          <w:sz w:val="22"/>
          <w:lang w:val="en-US"/>
        </w:rPr>
        <w:t>Covid</w:t>
      </w:r>
      <w:r w:rsidRPr="001018C6">
        <w:rPr>
          <w:bCs/>
          <w:sz w:val="22"/>
        </w:rPr>
        <w:t>-19.</w:t>
      </w:r>
    </w:p>
    <w:p w:rsidR="00F94EA2" w:rsidRPr="001018C6" w:rsidRDefault="00F94EA2" w:rsidP="00F94EA2">
      <w:pPr>
        <w:jc w:val="both"/>
        <w:rPr>
          <w:sz w:val="20"/>
          <w:szCs w:val="22"/>
          <w:lang w:eastAsia="en-US"/>
        </w:rPr>
      </w:pPr>
    </w:p>
    <w:p w:rsidR="00F94EA2" w:rsidRPr="001018C6" w:rsidRDefault="00F94EA2" w:rsidP="00F94EA2">
      <w:pPr>
        <w:jc w:val="both"/>
        <w:rPr>
          <w:bCs/>
          <w:sz w:val="22"/>
        </w:rPr>
      </w:pPr>
      <w:r w:rsidRPr="001018C6">
        <w:rPr>
          <w:bCs/>
          <w:sz w:val="22"/>
        </w:rPr>
        <w:t>Οι πρωτογενείς δαπάνες του Κρατικού Προϋπολογισμού εκτιμάται ότι θα διαμορφωθούν σε δημοσι</w:t>
      </w:r>
      <w:r w:rsidRPr="001018C6">
        <w:rPr>
          <w:bCs/>
          <w:sz w:val="22"/>
        </w:rPr>
        <w:t>ο</w:t>
      </w:r>
      <w:r w:rsidRPr="001018C6">
        <w:rPr>
          <w:bCs/>
          <w:sz w:val="22"/>
        </w:rPr>
        <w:t>νομική βάση στα 63.482 εκατ. ευρώ, αυξημένες κατά 12.319 εκατ. ευρώ σε σχέση με τον στόχο του Προϋπολογισμού 2020.</w:t>
      </w:r>
    </w:p>
    <w:p w:rsidR="00112CDE" w:rsidRDefault="00112CDE">
      <w:pPr>
        <w:rPr>
          <w:sz w:val="22"/>
        </w:rPr>
      </w:pPr>
    </w:p>
    <w:p w:rsidR="009930A8" w:rsidRDefault="009930A8">
      <w:pPr>
        <w:rPr>
          <w:sz w:val="22"/>
        </w:rPr>
      </w:pPr>
    </w:p>
    <w:p w:rsidR="009930A8" w:rsidRDefault="009930A8">
      <w:pPr>
        <w:rPr>
          <w:sz w:val="22"/>
        </w:rPr>
      </w:pPr>
    </w:p>
    <w:p w:rsidR="009930A8" w:rsidRDefault="009930A8">
      <w:pPr>
        <w:rPr>
          <w:sz w:val="22"/>
        </w:rPr>
      </w:pPr>
    </w:p>
    <w:p w:rsidR="009930A8" w:rsidRDefault="009930A8">
      <w:pPr>
        <w:rPr>
          <w:sz w:val="22"/>
        </w:rPr>
      </w:pPr>
    </w:p>
    <w:p w:rsidR="009930A8" w:rsidRDefault="009930A8" w:rsidP="00411F68">
      <w:pPr>
        <w:jc w:val="both"/>
        <w:rPr>
          <w:rFonts w:ascii="Arial Narrow" w:hAnsi="Arial Narrow"/>
          <w:b/>
          <w:color w:val="000080"/>
          <w:szCs w:val="22"/>
        </w:rPr>
      </w:pPr>
    </w:p>
    <w:p w:rsidR="00411F68" w:rsidRPr="009835FE" w:rsidRDefault="00411F68" w:rsidP="00411F68">
      <w:pPr>
        <w:jc w:val="both"/>
        <w:rPr>
          <w:rFonts w:ascii="Arial Narrow" w:hAnsi="Arial Narrow"/>
          <w:b/>
          <w:color w:val="000080"/>
          <w:szCs w:val="22"/>
        </w:rPr>
      </w:pPr>
      <w:r w:rsidRPr="009835FE">
        <w:rPr>
          <w:rFonts w:ascii="Arial Narrow" w:hAnsi="Arial Narrow"/>
          <w:b/>
          <w:color w:val="000080"/>
          <w:szCs w:val="22"/>
        </w:rPr>
        <w:t>Ανάλυση δαπανών κατά μείζονα κατηγορία</w:t>
      </w:r>
      <w:r>
        <w:rPr>
          <w:rFonts w:ascii="Arial Narrow" w:hAnsi="Arial Narrow"/>
          <w:b/>
          <w:color w:val="000080"/>
          <w:szCs w:val="22"/>
        </w:rPr>
        <w:t xml:space="preserve"> (σε δημοσιονομική βάση)</w:t>
      </w:r>
    </w:p>
    <w:p w:rsidR="00411F68" w:rsidRDefault="00411F68" w:rsidP="00411F68">
      <w:pPr>
        <w:jc w:val="both"/>
        <w:rPr>
          <w:bCs/>
          <w:sz w:val="22"/>
          <w:szCs w:val="22"/>
        </w:rPr>
      </w:pPr>
    </w:p>
    <w:p w:rsidR="00411F68" w:rsidRPr="0090589B" w:rsidRDefault="00411F68" w:rsidP="00411F68">
      <w:pPr>
        <w:jc w:val="both"/>
        <w:rPr>
          <w:rFonts w:ascii="Arial Narrow" w:hAnsi="Arial Narrow"/>
          <w:b/>
          <w:sz w:val="22"/>
          <w:szCs w:val="22"/>
        </w:rPr>
      </w:pPr>
      <w:r>
        <w:rPr>
          <w:rFonts w:ascii="Arial Narrow" w:hAnsi="Arial Narrow"/>
          <w:b/>
          <w:sz w:val="22"/>
          <w:szCs w:val="22"/>
        </w:rPr>
        <w:t xml:space="preserve">Δαπάνες μη </w:t>
      </w:r>
      <w:r w:rsidRPr="0090589B">
        <w:rPr>
          <w:rFonts w:ascii="Arial Narrow" w:hAnsi="Arial Narrow"/>
          <w:b/>
          <w:sz w:val="22"/>
          <w:szCs w:val="22"/>
        </w:rPr>
        <w:t>χρηματοοικονομικών συναλλαγών</w:t>
      </w:r>
    </w:p>
    <w:p w:rsidR="00411F68" w:rsidRPr="00393103" w:rsidRDefault="00411F68" w:rsidP="00411F68">
      <w:pPr>
        <w:jc w:val="both"/>
        <w:rPr>
          <w:bCs/>
          <w:sz w:val="22"/>
          <w:szCs w:val="22"/>
        </w:rPr>
      </w:pPr>
    </w:p>
    <w:p w:rsidR="00411F68" w:rsidRPr="0064589E" w:rsidRDefault="00411F68" w:rsidP="00411F68">
      <w:pPr>
        <w:jc w:val="both"/>
        <w:rPr>
          <w:rFonts w:ascii="Arial Narrow" w:hAnsi="Arial Narrow"/>
          <w:b/>
          <w:bCs/>
          <w:i/>
          <w:iCs/>
          <w:sz w:val="22"/>
          <w:szCs w:val="22"/>
          <w:lang w:bidi="en-US"/>
        </w:rPr>
      </w:pPr>
      <w:r w:rsidRPr="0064589E">
        <w:rPr>
          <w:rFonts w:ascii="Arial Narrow" w:hAnsi="Arial Narrow"/>
          <w:b/>
          <w:bCs/>
          <w:i/>
          <w:iCs/>
          <w:sz w:val="22"/>
          <w:szCs w:val="22"/>
          <w:lang w:bidi="en-US"/>
        </w:rPr>
        <w:t xml:space="preserve">Παροχές σε εργαζομένους </w:t>
      </w:r>
    </w:p>
    <w:p w:rsidR="00D04A97" w:rsidRDefault="00D04A97" w:rsidP="00D04A97">
      <w:pPr>
        <w:jc w:val="both"/>
        <w:rPr>
          <w:sz w:val="22"/>
          <w:szCs w:val="22"/>
        </w:rPr>
      </w:pPr>
    </w:p>
    <w:p w:rsidR="00D04A97" w:rsidRDefault="00D04A97" w:rsidP="00D04A97">
      <w:pPr>
        <w:jc w:val="both"/>
        <w:rPr>
          <w:sz w:val="22"/>
          <w:szCs w:val="22"/>
        </w:rPr>
      </w:pPr>
      <w:r w:rsidRPr="009F4662">
        <w:rPr>
          <w:sz w:val="22"/>
          <w:szCs w:val="22"/>
        </w:rPr>
        <w:t>Στην κατηγορία αυτή περιλαμβάνονται οι τακτικές αποδοχές, οι πρόσθετες αποδοχές, οι παροχές σε είδος, οι παροχές κληρωτών και οι αντίστοιχες εργοδοτικές εισφορές αιρετών, οργάνων διοίκησης, τακτικών υπαλλήλων, υπαλλήλων αορίστου χρόνου και υπαλλήλων ορισμένου χρόνου.</w:t>
      </w:r>
    </w:p>
    <w:p w:rsidR="00D04A97" w:rsidRPr="009F4662" w:rsidRDefault="00D04A97" w:rsidP="00D04A97">
      <w:pPr>
        <w:jc w:val="both"/>
        <w:rPr>
          <w:sz w:val="22"/>
          <w:szCs w:val="22"/>
        </w:rPr>
      </w:pPr>
    </w:p>
    <w:p w:rsidR="00D04A97" w:rsidRDefault="00D04A97" w:rsidP="00D04A97">
      <w:pPr>
        <w:jc w:val="both"/>
        <w:rPr>
          <w:sz w:val="22"/>
          <w:szCs w:val="22"/>
        </w:rPr>
      </w:pPr>
      <w:r w:rsidRPr="009F4662">
        <w:rPr>
          <w:sz w:val="22"/>
          <w:szCs w:val="22"/>
        </w:rPr>
        <w:t>Το 2020 οι παροχές σε εργαζόμενους εκτιμάται ότι θα ανέλθουν στα 13.411 εκατ. ευρώ, αυξημένες κατά 21 εκατ. ευρώ σε σχέση με τον στόχο του Προϋπολογισμού 2020. Η μεταβολή αυτή οφείλεται κυρίως στους κάτωθι παράγοντες:</w:t>
      </w:r>
    </w:p>
    <w:p w:rsidR="00D04A97" w:rsidRPr="009F4662" w:rsidRDefault="00D04A97" w:rsidP="00D04A97">
      <w:pPr>
        <w:jc w:val="both"/>
        <w:rPr>
          <w:sz w:val="22"/>
          <w:szCs w:val="22"/>
        </w:rPr>
      </w:pP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στη μείωση των τακτικών αποδοχών και των εργοδοτικών εισφορών κατά 27 εκατ. ευρώ και 57 εκατ. ευρώ αντίστοιχα, σύμφωνα με την επανεκτίμηση των στοιχείων της μισθοδοσίας και</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στην αύξηση των πρόσθετων αποδοχών κατά 106 εκατ. ευρώ, κυρίως λόγω της καταβολής έκτ</w:t>
      </w:r>
      <w:r w:rsidRPr="009F4662">
        <w:rPr>
          <w:rFonts w:ascii="Times New Roman" w:hAnsi="Times New Roman"/>
        </w:rPr>
        <w:t>α</w:t>
      </w:r>
      <w:r w:rsidRPr="009F4662">
        <w:rPr>
          <w:rFonts w:ascii="Times New Roman" w:hAnsi="Times New Roman"/>
        </w:rPr>
        <w:t>κτης οικονομικής ενίσχυσης την περίοδο του Πάσχα στους εργαζ</w:t>
      </w:r>
      <w:r w:rsidR="005875E8">
        <w:rPr>
          <w:rFonts w:ascii="Times New Roman" w:hAnsi="Times New Roman"/>
        </w:rPr>
        <w:t>ό</w:t>
      </w:r>
      <w:r w:rsidRPr="009F4662">
        <w:rPr>
          <w:rFonts w:ascii="Times New Roman" w:hAnsi="Times New Roman"/>
        </w:rPr>
        <w:t>μ</w:t>
      </w:r>
      <w:r w:rsidR="005875E8">
        <w:rPr>
          <w:rFonts w:ascii="Times New Roman" w:hAnsi="Times New Roman"/>
        </w:rPr>
        <w:t>ε</w:t>
      </w:r>
      <w:r w:rsidRPr="009F4662">
        <w:rPr>
          <w:rFonts w:ascii="Times New Roman" w:hAnsi="Times New Roman"/>
        </w:rPr>
        <w:t>νους των νοσοκομείων, του ΕΚΑΒ και της Πολιτικής Προστασίας στο πλαίσιο των παρεμβάσεων που εφαρμόστηκαν για την αντιμετώπιση της πανδημίας Covid-19.</w:t>
      </w:r>
    </w:p>
    <w:p w:rsidR="00D04A97" w:rsidRDefault="00D04A97" w:rsidP="00D04A97">
      <w:pPr>
        <w:jc w:val="both"/>
        <w:rPr>
          <w:bCs/>
          <w:iCs/>
          <w:sz w:val="22"/>
          <w:szCs w:val="22"/>
        </w:rPr>
      </w:pPr>
    </w:p>
    <w:p w:rsidR="00D04A97" w:rsidRPr="00D04A97" w:rsidRDefault="00D04A97" w:rsidP="00D04A97">
      <w:pPr>
        <w:jc w:val="both"/>
        <w:rPr>
          <w:rFonts w:ascii="Arial Narrow" w:hAnsi="Arial Narrow"/>
          <w:b/>
          <w:bCs/>
          <w:i/>
          <w:iCs/>
          <w:sz w:val="22"/>
          <w:szCs w:val="22"/>
          <w:lang w:bidi="en-US"/>
        </w:rPr>
      </w:pPr>
      <w:r w:rsidRPr="00D04A97">
        <w:rPr>
          <w:rFonts w:ascii="Arial Narrow" w:hAnsi="Arial Narrow"/>
          <w:b/>
          <w:bCs/>
          <w:i/>
          <w:iCs/>
          <w:sz w:val="22"/>
          <w:szCs w:val="22"/>
          <w:lang w:bidi="en-US"/>
        </w:rPr>
        <w:t xml:space="preserve">Κοινωνικές Παροχές </w:t>
      </w:r>
    </w:p>
    <w:p w:rsidR="00D04A97" w:rsidRPr="009F4662" w:rsidRDefault="00D04A97" w:rsidP="00D04A97">
      <w:pPr>
        <w:jc w:val="both"/>
        <w:rPr>
          <w:bCs/>
          <w:iCs/>
          <w:sz w:val="22"/>
          <w:szCs w:val="22"/>
        </w:rPr>
      </w:pPr>
    </w:p>
    <w:p w:rsidR="00D04A97" w:rsidRPr="009F4662" w:rsidRDefault="00D04A97" w:rsidP="00D04A97">
      <w:pPr>
        <w:jc w:val="both"/>
        <w:rPr>
          <w:bCs/>
          <w:iCs/>
          <w:sz w:val="22"/>
          <w:szCs w:val="22"/>
        </w:rPr>
      </w:pPr>
      <w:r w:rsidRPr="009F4662">
        <w:rPr>
          <w:bCs/>
          <w:iCs/>
          <w:sz w:val="22"/>
          <w:szCs w:val="22"/>
        </w:rPr>
        <w:t>Οι δαπάνες της κατηγορίας αυτής περιλαμβάνουν, μεταξύ άλλων, το επίδομα θέρμανσης, τις συντ</w:t>
      </w:r>
      <w:r w:rsidRPr="009F4662">
        <w:rPr>
          <w:bCs/>
          <w:iCs/>
          <w:sz w:val="22"/>
          <w:szCs w:val="22"/>
        </w:rPr>
        <w:t>ά</w:t>
      </w:r>
      <w:r w:rsidRPr="009F4662">
        <w:rPr>
          <w:bCs/>
          <w:iCs/>
          <w:sz w:val="22"/>
          <w:szCs w:val="22"/>
        </w:rPr>
        <w:t>ξεις που πληρώνονται απευθείας από το κράτος, καθώς και τις λοιπές παροχές κοινωνικής πρόνοιας σε είδος και σε χρήμα και εκτιμάται ότι θα διαμορφωθούν στα 241 εκατ. ευρώ, αυξημένες κατά 107 εκατ. ευρώ έναντι του στόχου. Η αύξηση αυτή οφείλεται κυρίως στη σχεδιαζόμενη καταβολή του επ</w:t>
      </w:r>
      <w:r w:rsidRPr="009F4662">
        <w:rPr>
          <w:bCs/>
          <w:iCs/>
          <w:sz w:val="22"/>
          <w:szCs w:val="22"/>
        </w:rPr>
        <w:t>ι</w:t>
      </w:r>
      <w:r w:rsidRPr="009F4662">
        <w:rPr>
          <w:bCs/>
          <w:iCs/>
          <w:sz w:val="22"/>
          <w:szCs w:val="22"/>
        </w:rPr>
        <w:t xml:space="preserve">δόματος θέρμανσης της χειμερινής περιόδου 2020-2021, συνολικού ύψους </w:t>
      </w:r>
      <w:r w:rsidR="00915BA6">
        <w:rPr>
          <w:bCs/>
          <w:iCs/>
          <w:sz w:val="22"/>
          <w:szCs w:val="22"/>
        </w:rPr>
        <w:t xml:space="preserve">τουλάχιστον </w:t>
      </w:r>
      <w:r w:rsidRPr="009F4662">
        <w:rPr>
          <w:bCs/>
          <w:iCs/>
          <w:sz w:val="22"/>
          <w:szCs w:val="22"/>
        </w:rPr>
        <w:t>84 εκατ. ε</w:t>
      </w:r>
      <w:r w:rsidRPr="009F4662">
        <w:rPr>
          <w:bCs/>
          <w:iCs/>
          <w:sz w:val="22"/>
          <w:szCs w:val="22"/>
        </w:rPr>
        <w:t>υ</w:t>
      </w:r>
      <w:r w:rsidRPr="009F4662">
        <w:rPr>
          <w:bCs/>
          <w:iCs/>
          <w:sz w:val="22"/>
          <w:szCs w:val="22"/>
        </w:rPr>
        <w:t>ρώ.</w:t>
      </w:r>
    </w:p>
    <w:p w:rsidR="00D04A97" w:rsidRPr="009F4662" w:rsidRDefault="00D04A97" w:rsidP="00D04A97">
      <w:pPr>
        <w:jc w:val="both"/>
        <w:rPr>
          <w:bCs/>
          <w:iCs/>
          <w:sz w:val="22"/>
          <w:szCs w:val="22"/>
        </w:rPr>
      </w:pPr>
    </w:p>
    <w:p w:rsidR="00D04A97" w:rsidRPr="00D04A97" w:rsidRDefault="00D04A97" w:rsidP="00D04A97">
      <w:pPr>
        <w:jc w:val="both"/>
        <w:rPr>
          <w:rFonts w:ascii="Arial Narrow" w:hAnsi="Arial Narrow"/>
          <w:b/>
          <w:bCs/>
          <w:i/>
          <w:iCs/>
          <w:sz w:val="22"/>
          <w:szCs w:val="22"/>
          <w:lang w:bidi="en-US"/>
        </w:rPr>
      </w:pPr>
      <w:r w:rsidRPr="00D04A97">
        <w:rPr>
          <w:rFonts w:ascii="Arial Narrow" w:hAnsi="Arial Narrow"/>
          <w:b/>
          <w:bCs/>
          <w:i/>
          <w:iCs/>
          <w:sz w:val="22"/>
          <w:szCs w:val="22"/>
          <w:lang w:bidi="en-US"/>
        </w:rPr>
        <w:t xml:space="preserve">Μεταβιβάσεις </w:t>
      </w:r>
    </w:p>
    <w:p w:rsidR="00D04A97" w:rsidRPr="009F4662" w:rsidRDefault="00D04A97" w:rsidP="00D04A97">
      <w:pPr>
        <w:jc w:val="both"/>
        <w:rPr>
          <w:bCs/>
          <w:i/>
          <w:iCs/>
          <w:sz w:val="22"/>
          <w:szCs w:val="22"/>
        </w:rPr>
      </w:pPr>
    </w:p>
    <w:p w:rsidR="00D04A97" w:rsidRPr="009F4662" w:rsidRDefault="00D04A97" w:rsidP="00D04A97">
      <w:pPr>
        <w:jc w:val="both"/>
        <w:rPr>
          <w:bCs/>
          <w:iCs/>
          <w:sz w:val="22"/>
          <w:szCs w:val="22"/>
        </w:rPr>
      </w:pPr>
      <w:r w:rsidRPr="009F4662">
        <w:rPr>
          <w:bCs/>
          <w:iCs/>
          <w:sz w:val="22"/>
          <w:szCs w:val="22"/>
        </w:rPr>
        <w:t>Οι δαπάνες της κατηγορίας αυτής περιλαμβάνουν επιχορηγήσεις και αποδόσεις σε υποτομείς της Γ</w:t>
      </w:r>
      <w:r w:rsidRPr="009F4662">
        <w:rPr>
          <w:bCs/>
          <w:iCs/>
          <w:sz w:val="22"/>
          <w:szCs w:val="22"/>
        </w:rPr>
        <w:t>ε</w:t>
      </w:r>
      <w:r w:rsidRPr="009F4662">
        <w:rPr>
          <w:bCs/>
          <w:iCs/>
          <w:sz w:val="22"/>
          <w:szCs w:val="22"/>
        </w:rPr>
        <w:t>νικής Κυβέρνησης, όπως ΟΤΑ, ΟΚΑ, νοσοκομεία και ΠΦΥ, καθώς και σε φορείς εκτός Γενικής Κ</w:t>
      </w:r>
      <w:r w:rsidRPr="009F4662">
        <w:rPr>
          <w:bCs/>
          <w:iCs/>
          <w:sz w:val="22"/>
          <w:szCs w:val="22"/>
        </w:rPr>
        <w:t>υ</w:t>
      </w:r>
      <w:r w:rsidRPr="009F4662">
        <w:rPr>
          <w:bCs/>
          <w:iCs/>
          <w:sz w:val="22"/>
          <w:szCs w:val="22"/>
        </w:rPr>
        <w:t>βέρνησης, οργανισμούς του εξωτερικού και στην Ευρωπαϊκή Ένωση. Επίσης περιλαμβάνονται οι επ</w:t>
      </w:r>
      <w:r w:rsidRPr="009F4662">
        <w:rPr>
          <w:bCs/>
          <w:iCs/>
          <w:sz w:val="22"/>
          <w:szCs w:val="22"/>
        </w:rPr>
        <w:t>ι</w:t>
      </w:r>
      <w:r w:rsidRPr="009F4662">
        <w:rPr>
          <w:bCs/>
          <w:iCs/>
          <w:sz w:val="22"/>
          <w:szCs w:val="22"/>
        </w:rPr>
        <w:t>χορηγήσεις για επενδύσεις, οι καταπτώσεις εγγυήσεων, οι αναλήψεις χρεών φορέων Γενικής Κυβέ</w:t>
      </w:r>
      <w:r w:rsidRPr="009F4662">
        <w:rPr>
          <w:bCs/>
          <w:iCs/>
          <w:sz w:val="22"/>
          <w:szCs w:val="22"/>
        </w:rPr>
        <w:t>ρ</w:t>
      </w:r>
      <w:r w:rsidRPr="009F4662">
        <w:rPr>
          <w:bCs/>
          <w:iCs/>
          <w:sz w:val="22"/>
          <w:szCs w:val="22"/>
        </w:rPr>
        <w:t>νησης, καθώς και οι αποζημιώσεις λόγω δικαστικών αποφάσεων.</w:t>
      </w:r>
    </w:p>
    <w:p w:rsidR="00D04A97" w:rsidRPr="009F4662" w:rsidRDefault="00D04A97" w:rsidP="00D04A97">
      <w:pPr>
        <w:jc w:val="both"/>
        <w:rPr>
          <w:bCs/>
          <w:iCs/>
          <w:sz w:val="22"/>
          <w:szCs w:val="22"/>
        </w:rPr>
      </w:pPr>
      <w:r w:rsidRPr="009F4662">
        <w:rPr>
          <w:bCs/>
          <w:iCs/>
          <w:sz w:val="22"/>
          <w:szCs w:val="22"/>
        </w:rPr>
        <w:t xml:space="preserve"> </w:t>
      </w:r>
    </w:p>
    <w:p w:rsidR="00D04A97" w:rsidRDefault="00D04A97" w:rsidP="00D04A97">
      <w:pPr>
        <w:jc w:val="both"/>
        <w:rPr>
          <w:bCs/>
          <w:iCs/>
          <w:sz w:val="22"/>
          <w:szCs w:val="22"/>
        </w:rPr>
      </w:pPr>
      <w:r w:rsidRPr="009F4662">
        <w:rPr>
          <w:bCs/>
          <w:iCs/>
          <w:sz w:val="22"/>
          <w:szCs w:val="22"/>
        </w:rPr>
        <w:t>Οι συνολικές μεταβιβαστικές πληρωμές εκτιμάται ότι θα διαμορφωθούν στα 36.560 εκατ. ευρώ, α</w:t>
      </w:r>
      <w:r w:rsidRPr="009F4662">
        <w:rPr>
          <w:bCs/>
          <w:iCs/>
          <w:sz w:val="22"/>
          <w:szCs w:val="22"/>
        </w:rPr>
        <w:t>υ</w:t>
      </w:r>
      <w:r w:rsidRPr="009F4662">
        <w:rPr>
          <w:bCs/>
          <w:iCs/>
          <w:sz w:val="22"/>
          <w:szCs w:val="22"/>
        </w:rPr>
        <w:t>ξημένες κατά 8.715 εκατ. ευρώ, ως επί το πλείστον, λόγω της ανάγκης οικονομικής θωράκισης των πολιτών και των επιχειρήσεων απέναντι στην πανδημία.</w:t>
      </w:r>
    </w:p>
    <w:p w:rsidR="00337D63" w:rsidRDefault="00337D63" w:rsidP="00D04A97">
      <w:pPr>
        <w:jc w:val="both"/>
        <w:rPr>
          <w:bCs/>
          <w:iCs/>
          <w:sz w:val="22"/>
          <w:szCs w:val="22"/>
        </w:rPr>
      </w:pPr>
    </w:p>
    <w:p w:rsidR="00337D63" w:rsidRDefault="00337D63" w:rsidP="00D04A97">
      <w:pPr>
        <w:jc w:val="both"/>
        <w:rPr>
          <w:bCs/>
          <w:iCs/>
          <w:sz w:val="22"/>
          <w:szCs w:val="22"/>
        </w:rPr>
      </w:pPr>
      <w:r>
        <w:rPr>
          <w:bCs/>
          <w:iCs/>
          <w:sz w:val="22"/>
          <w:szCs w:val="22"/>
        </w:rPr>
        <w:t>Στον πίνακα 3.6 παρουσιάζονται οι μεταβιβάσεις του Τακτικού Προϋπολογισμού σε φορείς εντός και εκτός της Γενικής Κυβέρνησης σε ταμειακή βάση.</w:t>
      </w:r>
    </w:p>
    <w:p w:rsidR="00087C11" w:rsidRDefault="00087C11" w:rsidP="00D04A97">
      <w:pPr>
        <w:jc w:val="both"/>
        <w:rPr>
          <w:bCs/>
          <w:iCs/>
          <w:sz w:val="22"/>
          <w:szCs w:val="22"/>
        </w:rPr>
      </w:pPr>
    </w:p>
    <w:p w:rsidR="009930A8" w:rsidRDefault="009930A8" w:rsidP="00D04A97">
      <w:pPr>
        <w:jc w:val="both"/>
        <w:rPr>
          <w:bCs/>
          <w:iCs/>
          <w:sz w:val="22"/>
          <w:szCs w:val="22"/>
        </w:rPr>
      </w:pPr>
    </w:p>
    <w:p w:rsidR="009930A8" w:rsidRDefault="009930A8" w:rsidP="00D04A97">
      <w:pPr>
        <w:jc w:val="both"/>
        <w:rPr>
          <w:bCs/>
          <w:iCs/>
          <w:sz w:val="22"/>
          <w:szCs w:val="22"/>
        </w:rPr>
      </w:pPr>
    </w:p>
    <w:p w:rsidR="009930A8" w:rsidRDefault="009930A8" w:rsidP="00D04A97">
      <w:pPr>
        <w:jc w:val="both"/>
        <w:rPr>
          <w:bCs/>
          <w:iCs/>
          <w:sz w:val="22"/>
          <w:szCs w:val="22"/>
        </w:rPr>
      </w:pPr>
    </w:p>
    <w:p w:rsidR="009930A8" w:rsidRDefault="009930A8" w:rsidP="00D04A97">
      <w:pPr>
        <w:jc w:val="both"/>
        <w:rPr>
          <w:bCs/>
          <w:iCs/>
          <w:sz w:val="22"/>
          <w:szCs w:val="22"/>
        </w:rPr>
      </w:pPr>
    </w:p>
    <w:p w:rsidR="009930A8" w:rsidRDefault="009930A8" w:rsidP="00D04A97">
      <w:pPr>
        <w:jc w:val="both"/>
        <w:rPr>
          <w:bCs/>
          <w:iCs/>
          <w:sz w:val="22"/>
          <w:szCs w:val="22"/>
        </w:rPr>
      </w:pPr>
    </w:p>
    <w:p w:rsidR="009930A8" w:rsidRDefault="009930A8" w:rsidP="00D04A97">
      <w:pPr>
        <w:jc w:val="both"/>
        <w:rPr>
          <w:bCs/>
          <w:iCs/>
          <w:sz w:val="22"/>
          <w:szCs w:val="22"/>
        </w:rPr>
      </w:pPr>
    </w:p>
    <w:p w:rsidR="009930A8" w:rsidRDefault="009930A8" w:rsidP="00D04A97">
      <w:pPr>
        <w:jc w:val="both"/>
        <w:rPr>
          <w:bCs/>
          <w:iCs/>
          <w:sz w:val="22"/>
          <w:szCs w:val="22"/>
        </w:rPr>
      </w:pPr>
    </w:p>
    <w:p w:rsidR="009930A8" w:rsidRPr="009F4662" w:rsidRDefault="009930A8" w:rsidP="00D04A97">
      <w:pPr>
        <w:jc w:val="both"/>
        <w:rPr>
          <w:bCs/>
          <w:iCs/>
          <w:sz w:val="22"/>
          <w:szCs w:val="22"/>
        </w:rPr>
      </w:pPr>
    </w:p>
    <w:p w:rsidR="00D04A97" w:rsidRDefault="00D04A97" w:rsidP="00D04A97">
      <w:pPr>
        <w:jc w:val="both"/>
        <w:rPr>
          <w:bCs/>
          <w:iCs/>
          <w:sz w:val="22"/>
          <w:szCs w:val="22"/>
        </w:rPr>
      </w:pPr>
    </w:p>
    <w:tbl>
      <w:tblPr>
        <w:tblW w:w="10083" w:type="dxa"/>
        <w:jc w:val="center"/>
        <w:tblCellMar>
          <w:left w:w="28" w:type="dxa"/>
          <w:right w:w="28" w:type="dxa"/>
        </w:tblCellMar>
        <w:tblLook w:val="04A0"/>
      </w:tblPr>
      <w:tblGrid>
        <w:gridCol w:w="249"/>
        <w:gridCol w:w="656"/>
        <w:gridCol w:w="27"/>
        <w:gridCol w:w="2185"/>
        <w:gridCol w:w="566"/>
        <w:gridCol w:w="2763"/>
        <w:gridCol w:w="850"/>
        <w:gridCol w:w="729"/>
        <w:gridCol w:w="845"/>
        <w:gridCol w:w="664"/>
        <w:gridCol w:w="549"/>
      </w:tblGrid>
      <w:tr w:rsidR="00142521" w:rsidRPr="007253CD" w:rsidTr="009971C6">
        <w:trPr>
          <w:trHeight w:val="227"/>
          <w:jc w:val="center"/>
        </w:trPr>
        <w:tc>
          <w:tcPr>
            <w:tcW w:w="10083" w:type="dxa"/>
            <w:gridSpan w:val="11"/>
            <w:tcBorders>
              <w:top w:val="single" w:sz="4" w:space="0" w:color="auto"/>
              <w:left w:val="single" w:sz="4" w:space="0" w:color="auto"/>
              <w:bottom w:val="single" w:sz="4" w:space="0" w:color="auto"/>
              <w:right w:val="single" w:sz="4" w:space="0" w:color="000000"/>
            </w:tcBorders>
            <w:shd w:val="clear" w:color="000000" w:fill="000000"/>
            <w:vAlign w:val="bottom"/>
            <w:hideMark/>
          </w:tcPr>
          <w:p w:rsidR="00142521" w:rsidRDefault="00142521" w:rsidP="003C79F3">
            <w:pPr>
              <w:jc w:val="center"/>
              <w:rPr>
                <w:rFonts w:ascii="Arial Narrow" w:hAnsi="Arial Narrow"/>
                <w:b/>
                <w:bCs/>
                <w:color w:val="FFFFFF"/>
              </w:rPr>
            </w:pPr>
            <w:bookmarkStart w:id="2" w:name="RANGE!A1:J31"/>
            <w:r w:rsidRPr="007253CD">
              <w:rPr>
                <w:rFonts w:ascii="Arial Narrow" w:hAnsi="Arial Narrow"/>
                <w:b/>
                <w:bCs/>
                <w:color w:val="FFFFFF"/>
              </w:rPr>
              <w:t xml:space="preserve">Πίνακας </w:t>
            </w:r>
            <w:r>
              <w:rPr>
                <w:rFonts w:ascii="Arial Narrow" w:hAnsi="Arial Narrow"/>
                <w:b/>
                <w:bCs/>
                <w:color w:val="FFFFFF"/>
              </w:rPr>
              <w:t>3.6</w:t>
            </w:r>
            <w:r w:rsidRPr="007253CD">
              <w:rPr>
                <w:rFonts w:ascii="Arial Narrow" w:hAnsi="Arial Narrow"/>
                <w:b/>
                <w:bCs/>
                <w:color w:val="FFFFFF"/>
              </w:rPr>
              <w:t xml:space="preserve"> Μεταβιβάσεις Τακτικού Προϋπολογισμού σε φορείς</w:t>
            </w:r>
          </w:p>
          <w:p w:rsidR="00142521" w:rsidRPr="007253CD" w:rsidRDefault="00142521" w:rsidP="003C79F3">
            <w:pPr>
              <w:jc w:val="center"/>
              <w:rPr>
                <w:rFonts w:ascii="Arial Narrow" w:hAnsi="Arial Narrow"/>
                <w:color w:val="FFFFFF"/>
              </w:rPr>
            </w:pPr>
            <w:r w:rsidRPr="007253CD">
              <w:rPr>
                <w:rFonts w:ascii="Arial Narrow" w:hAnsi="Arial Narrow"/>
                <w:b/>
                <w:bCs/>
                <w:color w:val="FFFFFF"/>
              </w:rPr>
              <w:t xml:space="preserve">εντός και εκτός της Γενικής Κυβέρνησης </w:t>
            </w:r>
            <w:r>
              <w:rPr>
                <w:rFonts w:ascii="Arial Narrow" w:hAnsi="Arial Narrow"/>
                <w:b/>
                <w:bCs/>
                <w:color w:val="FFFFFF"/>
              </w:rPr>
              <w:t>σε ταμειακή βάση</w:t>
            </w:r>
            <w:r w:rsidRPr="007253CD">
              <w:rPr>
                <w:rFonts w:ascii="Arial Narrow" w:hAnsi="Arial Narrow"/>
                <w:color w:val="FFFFFF"/>
              </w:rPr>
              <w:br/>
            </w:r>
            <w:r w:rsidRPr="007253CD">
              <w:rPr>
                <w:rFonts w:ascii="Arial Narrow" w:hAnsi="Arial Narrow"/>
                <w:b/>
                <w:iCs/>
                <w:color w:val="FFFFFF"/>
              </w:rPr>
              <w:t>(σε εκατ. ευρώ)</w:t>
            </w:r>
            <w:bookmarkEnd w:id="2"/>
          </w:p>
        </w:tc>
      </w:tr>
      <w:tr w:rsidR="00142521" w:rsidRPr="007253CD" w:rsidTr="009971C6">
        <w:trPr>
          <w:trHeight w:val="227"/>
          <w:jc w:val="center"/>
        </w:trPr>
        <w:tc>
          <w:tcPr>
            <w:tcW w:w="10083"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2521" w:rsidRPr="007253CD" w:rsidRDefault="00142521" w:rsidP="003C79F3">
            <w:pPr>
              <w:jc w:val="center"/>
              <w:rPr>
                <w:rFonts w:ascii="Arial Narrow" w:hAnsi="Arial Narrow"/>
                <w:b/>
                <w:bCs/>
                <w:color w:val="000000"/>
                <w:sz w:val="16"/>
                <w:szCs w:val="16"/>
              </w:rPr>
            </w:pPr>
          </w:p>
        </w:tc>
      </w:tr>
      <w:tr w:rsidR="00142521" w:rsidRPr="007253CD" w:rsidTr="009971C6">
        <w:trPr>
          <w:trHeight w:val="227"/>
          <w:jc w:val="center"/>
        </w:trPr>
        <w:tc>
          <w:tcPr>
            <w:tcW w:w="6446" w:type="dxa"/>
            <w:gridSpan w:val="6"/>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142521" w:rsidRPr="007253CD" w:rsidRDefault="00142521" w:rsidP="003C79F3">
            <w:pPr>
              <w:jc w:val="center"/>
              <w:rPr>
                <w:rFonts w:ascii="Arial Narrow" w:hAnsi="Arial Narrow"/>
                <w:color w:val="000000"/>
                <w:sz w:val="16"/>
                <w:szCs w:val="16"/>
              </w:rPr>
            </w:pPr>
            <w:r w:rsidRPr="007253CD">
              <w:rPr>
                <w:rFonts w:ascii="Arial Narrow" w:hAnsi="Arial Narrow"/>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2521" w:rsidRPr="007253CD" w:rsidRDefault="00142521" w:rsidP="003C79F3">
            <w:pPr>
              <w:jc w:val="center"/>
              <w:rPr>
                <w:rFonts w:ascii="Arial Narrow" w:hAnsi="Arial Narrow"/>
                <w:b/>
                <w:bCs/>
                <w:sz w:val="16"/>
                <w:szCs w:val="16"/>
              </w:rPr>
            </w:pPr>
            <w:r w:rsidRPr="007253CD">
              <w:rPr>
                <w:rFonts w:ascii="Arial Narrow" w:hAnsi="Arial Narrow"/>
                <w:b/>
                <w:bCs/>
                <w:sz w:val="16"/>
                <w:szCs w:val="16"/>
              </w:rPr>
              <w:t>201</w:t>
            </w:r>
            <w:r>
              <w:rPr>
                <w:rFonts w:ascii="Arial Narrow" w:hAnsi="Arial Narrow"/>
                <w:b/>
                <w:bCs/>
                <w:sz w:val="16"/>
                <w:szCs w:val="16"/>
              </w:rPr>
              <w:t>9</w:t>
            </w:r>
          </w:p>
        </w:tc>
        <w:tc>
          <w:tcPr>
            <w:tcW w:w="729" w:type="dxa"/>
            <w:tcBorders>
              <w:top w:val="nil"/>
              <w:left w:val="nil"/>
              <w:bottom w:val="single" w:sz="4" w:space="0" w:color="auto"/>
              <w:right w:val="single" w:sz="4" w:space="0" w:color="auto"/>
            </w:tcBorders>
            <w:shd w:val="clear" w:color="000000" w:fill="FFFFFF"/>
            <w:noWrap/>
            <w:vAlign w:val="center"/>
            <w:hideMark/>
          </w:tcPr>
          <w:p w:rsidR="00142521" w:rsidRPr="007253CD" w:rsidRDefault="00142521" w:rsidP="003C79F3">
            <w:pPr>
              <w:jc w:val="center"/>
              <w:rPr>
                <w:rFonts w:ascii="Arial Narrow" w:hAnsi="Arial Narrow"/>
                <w:b/>
                <w:bCs/>
                <w:sz w:val="16"/>
                <w:szCs w:val="16"/>
              </w:rPr>
            </w:pPr>
            <w:r w:rsidRPr="007253CD">
              <w:rPr>
                <w:rFonts w:ascii="Arial Narrow" w:hAnsi="Arial Narrow"/>
                <w:b/>
                <w:bCs/>
                <w:sz w:val="16"/>
                <w:szCs w:val="16"/>
              </w:rPr>
              <w:t>20</w:t>
            </w:r>
            <w:r>
              <w:rPr>
                <w:rFonts w:ascii="Arial Narrow" w:hAnsi="Arial Narrow"/>
                <w:b/>
                <w:bCs/>
                <w:sz w:val="16"/>
                <w:szCs w:val="16"/>
              </w:rPr>
              <w:t>20</w:t>
            </w:r>
          </w:p>
        </w:tc>
        <w:tc>
          <w:tcPr>
            <w:tcW w:w="845" w:type="dxa"/>
            <w:tcBorders>
              <w:top w:val="nil"/>
              <w:left w:val="nil"/>
              <w:bottom w:val="single" w:sz="4" w:space="0" w:color="auto"/>
              <w:right w:val="single" w:sz="4" w:space="0" w:color="auto"/>
            </w:tcBorders>
            <w:shd w:val="clear" w:color="000000" w:fill="FFFFFF"/>
            <w:noWrap/>
            <w:vAlign w:val="center"/>
            <w:hideMark/>
          </w:tcPr>
          <w:p w:rsidR="00142521" w:rsidRPr="007253CD" w:rsidRDefault="00142521" w:rsidP="003C79F3">
            <w:pPr>
              <w:jc w:val="center"/>
              <w:rPr>
                <w:rFonts w:ascii="Arial Narrow" w:hAnsi="Arial Narrow"/>
                <w:b/>
                <w:bCs/>
                <w:sz w:val="16"/>
                <w:szCs w:val="16"/>
              </w:rPr>
            </w:pPr>
            <w:r w:rsidRPr="007253CD">
              <w:rPr>
                <w:rFonts w:ascii="Arial Narrow" w:hAnsi="Arial Narrow"/>
                <w:b/>
                <w:bCs/>
                <w:sz w:val="16"/>
                <w:szCs w:val="16"/>
              </w:rPr>
              <w:t>202</w:t>
            </w:r>
            <w:r>
              <w:rPr>
                <w:rFonts w:ascii="Arial Narrow" w:hAnsi="Arial Narrow"/>
                <w:b/>
                <w:bCs/>
                <w:sz w:val="16"/>
                <w:szCs w:val="16"/>
              </w:rPr>
              <w:t>1</w:t>
            </w:r>
          </w:p>
        </w:tc>
        <w:tc>
          <w:tcPr>
            <w:tcW w:w="121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2521" w:rsidRPr="007253CD" w:rsidRDefault="00142521" w:rsidP="003C79F3">
            <w:pPr>
              <w:jc w:val="center"/>
              <w:rPr>
                <w:rFonts w:ascii="Arial Narrow" w:hAnsi="Arial Narrow"/>
                <w:b/>
                <w:bCs/>
                <w:sz w:val="16"/>
                <w:szCs w:val="16"/>
              </w:rPr>
            </w:pPr>
            <w:r w:rsidRPr="007253CD">
              <w:rPr>
                <w:rFonts w:ascii="Arial Narrow" w:hAnsi="Arial Narrow"/>
                <w:b/>
                <w:bCs/>
                <w:sz w:val="16"/>
                <w:szCs w:val="16"/>
              </w:rPr>
              <w:t xml:space="preserve">Μεταβολή </w:t>
            </w:r>
            <w:r>
              <w:rPr>
                <w:rFonts w:ascii="Arial Narrow" w:hAnsi="Arial Narrow"/>
                <w:b/>
                <w:bCs/>
                <w:sz w:val="16"/>
                <w:szCs w:val="16"/>
              </w:rPr>
              <w:t>%</w:t>
            </w:r>
            <w:r w:rsidRPr="007253CD">
              <w:rPr>
                <w:rFonts w:ascii="Arial Narrow" w:hAnsi="Arial Narrow"/>
                <w:b/>
                <w:bCs/>
                <w:sz w:val="16"/>
                <w:szCs w:val="16"/>
              </w:rPr>
              <w:t xml:space="preserve"> </w:t>
            </w:r>
          </w:p>
        </w:tc>
      </w:tr>
      <w:tr w:rsidR="00142521" w:rsidRPr="007253CD" w:rsidTr="009971C6">
        <w:trPr>
          <w:trHeight w:val="227"/>
          <w:jc w:val="center"/>
        </w:trPr>
        <w:tc>
          <w:tcPr>
            <w:tcW w:w="6446" w:type="dxa"/>
            <w:gridSpan w:val="6"/>
            <w:vMerge/>
            <w:tcBorders>
              <w:top w:val="single" w:sz="4" w:space="0" w:color="auto"/>
              <w:left w:val="single" w:sz="4" w:space="0" w:color="auto"/>
              <w:bottom w:val="single" w:sz="4" w:space="0" w:color="auto"/>
              <w:right w:val="single" w:sz="4" w:space="0" w:color="auto"/>
            </w:tcBorders>
            <w:vAlign w:val="center"/>
            <w:hideMark/>
          </w:tcPr>
          <w:p w:rsidR="00142521" w:rsidRPr="007253CD" w:rsidRDefault="00142521" w:rsidP="003C79F3">
            <w:pPr>
              <w:rPr>
                <w:rFonts w:ascii="Arial Narrow" w:hAnsi="Arial Narrow"/>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2521" w:rsidRPr="007253CD" w:rsidRDefault="00142521" w:rsidP="003C79F3">
            <w:pPr>
              <w:jc w:val="center"/>
              <w:rPr>
                <w:rFonts w:ascii="Arial Narrow" w:hAnsi="Arial Narrow"/>
                <w:b/>
                <w:bCs/>
                <w:sz w:val="16"/>
                <w:szCs w:val="16"/>
              </w:rPr>
            </w:pPr>
            <w:r w:rsidRPr="007253CD">
              <w:rPr>
                <w:rFonts w:ascii="Arial Narrow" w:hAnsi="Arial Narrow"/>
                <w:b/>
                <w:bCs/>
                <w:sz w:val="16"/>
                <w:szCs w:val="16"/>
              </w:rPr>
              <w:t>Πραγματο-</w:t>
            </w:r>
            <w:r w:rsidRPr="007253CD">
              <w:rPr>
                <w:rFonts w:ascii="Arial Narrow" w:hAnsi="Arial Narrow"/>
                <w:b/>
                <w:bCs/>
                <w:sz w:val="16"/>
                <w:szCs w:val="16"/>
              </w:rPr>
              <w:br/>
              <w:t>ποιήσεις</w:t>
            </w:r>
          </w:p>
        </w:tc>
        <w:tc>
          <w:tcPr>
            <w:tcW w:w="729" w:type="dxa"/>
            <w:tcBorders>
              <w:top w:val="nil"/>
              <w:left w:val="nil"/>
              <w:bottom w:val="single" w:sz="4" w:space="0" w:color="auto"/>
              <w:right w:val="single" w:sz="4" w:space="0" w:color="auto"/>
            </w:tcBorders>
            <w:shd w:val="clear" w:color="000000" w:fill="FFFFFF"/>
            <w:noWrap/>
            <w:vAlign w:val="center"/>
            <w:hideMark/>
          </w:tcPr>
          <w:p w:rsidR="00142521" w:rsidRPr="007253CD" w:rsidRDefault="00142521" w:rsidP="003C79F3">
            <w:pPr>
              <w:jc w:val="center"/>
              <w:rPr>
                <w:rFonts w:ascii="Arial Narrow" w:hAnsi="Arial Narrow"/>
                <w:b/>
                <w:bCs/>
                <w:sz w:val="16"/>
                <w:szCs w:val="16"/>
              </w:rPr>
            </w:pPr>
            <w:r w:rsidRPr="007253CD">
              <w:rPr>
                <w:rFonts w:ascii="Arial Narrow" w:hAnsi="Arial Narrow"/>
                <w:b/>
                <w:bCs/>
                <w:sz w:val="16"/>
                <w:szCs w:val="16"/>
              </w:rPr>
              <w:t>Εκτιμήσεις</w:t>
            </w:r>
          </w:p>
        </w:tc>
        <w:tc>
          <w:tcPr>
            <w:tcW w:w="845" w:type="dxa"/>
            <w:tcBorders>
              <w:top w:val="nil"/>
              <w:left w:val="nil"/>
              <w:bottom w:val="single" w:sz="4" w:space="0" w:color="auto"/>
              <w:right w:val="single" w:sz="4" w:space="0" w:color="auto"/>
            </w:tcBorders>
            <w:shd w:val="clear" w:color="000000" w:fill="FFFFFF"/>
            <w:noWrap/>
            <w:vAlign w:val="center"/>
            <w:hideMark/>
          </w:tcPr>
          <w:p w:rsidR="00142521" w:rsidRPr="007253CD" w:rsidRDefault="00142521" w:rsidP="003C79F3">
            <w:pPr>
              <w:jc w:val="center"/>
              <w:rPr>
                <w:rFonts w:ascii="Arial Narrow" w:hAnsi="Arial Narrow"/>
                <w:b/>
                <w:bCs/>
                <w:sz w:val="16"/>
                <w:szCs w:val="16"/>
              </w:rPr>
            </w:pPr>
            <w:r w:rsidRPr="007253CD">
              <w:rPr>
                <w:rFonts w:ascii="Arial Narrow" w:hAnsi="Arial Narrow"/>
                <w:b/>
                <w:bCs/>
                <w:sz w:val="16"/>
                <w:szCs w:val="16"/>
              </w:rPr>
              <w:t>Προβλέψεις</w:t>
            </w:r>
          </w:p>
        </w:tc>
        <w:tc>
          <w:tcPr>
            <w:tcW w:w="664" w:type="dxa"/>
            <w:tcBorders>
              <w:top w:val="nil"/>
              <w:left w:val="nil"/>
              <w:bottom w:val="single" w:sz="4" w:space="0" w:color="auto"/>
              <w:right w:val="single" w:sz="4" w:space="0" w:color="auto"/>
            </w:tcBorders>
            <w:shd w:val="clear" w:color="000000" w:fill="FFFFFF"/>
            <w:noWrap/>
            <w:vAlign w:val="center"/>
            <w:hideMark/>
          </w:tcPr>
          <w:p w:rsidR="00142521" w:rsidRPr="007253CD" w:rsidRDefault="00142521" w:rsidP="003C79F3">
            <w:pPr>
              <w:jc w:val="center"/>
              <w:rPr>
                <w:rFonts w:ascii="Arial Narrow" w:hAnsi="Arial Narrow"/>
                <w:b/>
                <w:bCs/>
                <w:sz w:val="16"/>
                <w:szCs w:val="16"/>
              </w:rPr>
            </w:pPr>
            <w:r>
              <w:rPr>
                <w:rFonts w:ascii="Arial Narrow" w:hAnsi="Arial Narrow"/>
                <w:b/>
                <w:bCs/>
                <w:sz w:val="16"/>
                <w:szCs w:val="16"/>
              </w:rPr>
              <w:t>2020/19</w:t>
            </w:r>
          </w:p>
        </w:tc>
        <w:tc>
          <w:tcPr>
            <w:tcW w:w="549" w:type="dxa"/>
            <w:tcBorders>
              <w:top w:val="nil"/>
              <w:left w:val="nil"/>
              <w:bottom w:val="single" w:sz="4" w:space="0" w:color="auto"/>
              <w:right w:val="single" w:sz="4" w:space="0" w:color="auto"/>
            </w:tcBorders>
            <w:shd w:val="clear" w:color="000000" w:fill="FFFFFF"/>
            <w:noWrap/>
            <w:vAlign w:val="center"/>
            <w:hideMark/>
          </w:tcPr>
          <w:p w:rsidR="00142521" w:rsidRPr="007253CD" w:rsidRDefault="00142521" w:rsidP="003C79F3">
            <w:pPr>
              <w:jc w:val="center"/>
              <w:rPr>
                <w:rFonts w:ascii="Arial Narrow" w:hAnsi="Arial Narrow"/>
                <w:b/>
                <w:bCs/>
                <w:sz w:val="16"/>
                <w:szCs w:val="16"/>
              </w:rPr>
            </w:pPr>
            <w:r>
              <w:rPr>
                <w:rFonts w:ascii="Arial Narrow" w:hAnsi="Arial Narrow"/>
                <w:b/>
                <w:bCs/>
                <w:sz w:val="16"/>
                <w:szCs w:val="16"/>
              </w:rPr>
              <w:t>2021/20</w:t>
            </w:r>
          </w:p>
        </w:tc>
      </w:tr>
      <w:tr w:rsidR="00142521" w:rsidRPr="007253CD" w:rsidTr="009971C6">
        <w:trPr>
          <w:trHeight w:val="227"/>
          <w:jc w:val="center"/>
        </w:trPr>
        <w:tc>
          <w:tcPr>
            <w:tcW w:w="10083" w:type="dxa"/>
            <w:gridSpan w:val="11"/>
            <w:tcBorders>
              <w:top w:val="single" w:sz="4" w:space="0" w:color="auto"/>
              <w:left w:val="single" w:sz="4" w:space="0" w:color="auto"/>
              <w:right w:val="single" w:sz="4" w:space="0" w:color="auto"/>
            </w:tcBorders>
            <w:shd w:val="clear" w:color="000000" w:fill="BFBFBF"/>
            <w:noWrap/>
            <w:vAlign w:val="center"/>
            <w:hideMark/>
          </w:tcPr>
          <w:p w:rsidR="00142521" w:rsidRPr="007253CD" w:rsidRDefault="00142521" w:rsidP="003C79F3">
            <w:pPr>
              <w:jc w:val="center"/>
              <w:rPr>
                <w:rFonts w:ascii="Arial Narrow" w:hAnsi="Arial Narrow"/>
                <w:b/>
                <w:bCs/>
                <w:color w:val="000000"/>
                <w:sz w:val="16"/>
                <w:szCs w:val="16"/>
              </w:rPr>
            </w:pPr>
            <w:r w:rsidRPr="007253CD">
              <w:rPr>
                <w:rFonts w:ascii="Arial Narrow" w:hAnsi="Arial Narrow"/>
                <w:b/>
                <w:bCs/>
                <w:color w:val="000000"/>
                <w:sz w:val="16"/>
                <w:szCs w:val="16"/>
              </w:rPr>
              <w:t>Μεταβιβάσεις από τον Τακτικό Προϋπολογισμό σε φορείς εντός Γενικής Κυβέρνησης</w:t>
            </w:r>
          </w:p>
        </w:tc>
      </w:tr>
      <w:tr w:rsidR="00142521" w:rsidRPr="007253CD" w:rsidTr="009971C6">
        <w:trPr>
          <w:trHeight w:val="227"/>
          <w:jc w:val="center"/>
        </w:trPr>
        <w:tc>
          <w:tcPr>
            <w:tcW w:w="249" w:type="dxa"/>
            <w:tcBorders>
              <w:top w:val="nil"/>
              <w:left w:val="single" w:sz="4" w:space="0" w:color="auto"/>
            </w:tcBorders>
            <w:shd w:val="clear" w:color="000000" w:fill="FFFFFF"/>
            <w:noWrap/>
            <w:vAlign w:val="center"/>
            <w:hideMark/>
          </w:tcPr>
          <w:p w:rsidR="00142521" w:rsidRPr="007253CD" w:rsidRDefault="00142521" w:rsidP="003C79F3">
            <w:pPr>
              <w:jc w:val="center"/>
              <w:rPr>
                <w:rFonts w:ascii="Arial Narrow" w:hAnsi="Arial Narrow"/>
                <w:b/>
                <w:bCs/>
                <w:color w:val="000000"/>
                <w:sz w:val="16"/>
                <w:szCs w:val="16"/>
              </w:rPr>
            </w:pPr>
            <w:r w:rsidRPr="007253CD">
              <w:rPr>
                <w:rFonts w:ascii="Arial Narrow" w:hAnsi="Arial Narrow"/>
                <w:b/>
                <w:bCs/>
                <w:color w:val="000000"/>
                <w:sz w:val="16"/>
                <w:szCs w:val="16"/>
              </w:rPr>
              <w:t>1</w:t>
            </w:r>
          </w:p>
        </w:tc>
        <w:tc>
          <w:tcPr>
            <w:tcW w:w="6197" w:type="dxa"/>
            <w:gridSpan w:val="5"/>
            <w:tcBorders>
              <w:top w:val="nil"/>
            </w:tcBorders>
            <w:shd w:val="clear" w:color="000000" w:fill="FFFFFF"/>
            <w:vAlign w:val="center"/>
            <w:hideMark/>
          </w:tcPr>
          <w:p w:rsidR="00142521" w:rsidRPr="007253CD" w:rsidRDefault="00142521" w:rsidP="003C79F3">
            <w:pPr>
              <w:rPr>
                <w:rFonts w:ascii="Arial Narrow" w:hAnsi="Arial Narrow"/>
                <w:b/>
                <w:bCs/>
                <w:color w:val="000000"/>
                <w:sz w:val="16"/>
                <w:szCs w:val="16"/>
              </w:rPr>
            </w:pPr>
            <w:r w:rsidRPr="007253CD">
              <w:rPr>
                <w:rFonts w:ascii="Arial Narrow" w:hAnsi="Arial Narrow"/>
                <w:b/>
                <w:bCs/>
                <w:color w:val="000000"/>
                <w:sz w:val="16"/>
                <w:szCs w:val="16"/>
              </w:rPr>
              <w:t>Τρέχουσες εγχώριες μεταβιβάσεις (1α+1β+1γ+1δ)</w:t>
            </w:r>
          </w:p>
        </w:tc>
        <w:tc>
          <w:tcPr>
            <w:tcW w:w="850" w:type="dxa"/>
            <w:tcBorders>
              <w:top w:val="nil"/>
              <w:left w:val="nil"/>
              <w:right w:val="nil"/>
            </w:tcBorders>
            <w:shd w:val="clear" w:color="000000" w:fill="FFFFFF"/>
            <w:noWrap/>
            <w:vAlign w:val="center"/>
            <w:hideMark/>
          </w:tcPr>
          <w:p w:rsidR="00142521" w:rsidRPr="007253CD" w:rsidRDefault="00853E08" w:rsidP="003C79F3">
            <w:pPr>
              <w:ind w:right="170"/>
              <w:jc w:val="right"/>
              <w:rPr>
                <w:rFonts w:ascii="Arial Narrow" w:hAnsi="Arial Narrow"/>
                <w:b/>
                <w:bCs/>
                <w:color w:val="000000"/>
                <w:sz w:val="16"/>
                <w:szCs w:val="16"/>
              </w:rPr>
            </w:pPr>
            <w:r>
              <w:rPr>
                <w:rFonts w:ascii="Arial Narrow" w:hAnsi="Arial Narrow"/>
                <w:b/>
                <w:bCs/>
                <w:color w:val="000000"/>
                <w:sz w:val="16"/>
                <w:szCs w:val="16"/>
              </w:rPr>
              <w:t>22.946</w:t>
            </w:r>
          </w:p>
        </w:tc>
        <w:tc>
          <w:tcPr>
            <w:tcW w:w="729" w:type="dxa"/>
            <w:tcBorders>
              <w:top w:val="nil"/>
              <w:left w:val="nil"/>
              <w:right w:val="nil"/>
            </w:tcBorders>
            <w:shd w:val="clear" w:color="000000" w:fill="FFFFFF"/>
            <w:noWrap/>
            <w:vAlign w:val="center"/>
            <w:hideMark/>
          </w:tcPr>
          <w:p w:rsidR="00142521" w:rsidRPr="007253CD" w:rsidRDefault="00853E08" w:rsidP="003C79F3">
            <w:pPr>
              <w:ind w:right="170"/>
              <w:jc w:val="right"/>
              <w:rPr>
                <w:rFonts w:ascii="Arial Narrow" w:hAnsi="Arial Narrow"/>
                <w:b/>
                <w:bCs/>
                <w:color w:val="000000"/>
                <w:sz w:val="16"/>
                <w:szCs w:val="16"/>
              </w:rPr>
            </w:pPr>
            <w:r>
              <w:rPr>
                <w:rFonts w:ascii="Arial Narrow" w:hAnsi="Arial Narrow"/>
                <w:b/>
                <w:bCs/>
                <w:color w:val="000000"/>
                <w:sz w:val="16"/>
                <w:szCs w:val="16"/>
              </w:rPr>
              <w:t>26.120</w:t>
            </w:r>
          </w:p>
        </w:tc>
        <w:tc>
          <w:tcPr>
            <w:tcW w:w="845" w:type="dxa"/>
            <w:tcBorders>
              <w:top w:val="nil"/>
              <w:left w:val="nil"/>
              <w:right w:val="nil"/>
            </w:tcBorders>
            <w:shd w:val="clear" w:color="000000" w:fill="FFFFFF"/>
            <w:noWrap/>
            <w:vAlign w:val="center"/>
            <w:hideMark/>
          </w:tcPr>
          <w:p w:rsidR="00142521" w:rsidRPr="007253CD" w:rsidRDefault="00853E08" w:rsidP="003C79F3">
            <w:pPr>
              <w:ind w:right="170"/>
              <w:jc w:val="right"/>
              <w:rPr>
                <w:rFonts w:ascii="Arial Narrow" w:hAnsi="Arial Narrow"/>
                <w:b/>
                <w:bCs/>
                <w:color w:val="000000"/>
                <w:sz w:val="16"/>
                <w:szCs w:val="16"/>
              </w:rPr>
            </w:pPr>
            <w:r>
              <w:rPr>
                <w:rFonts w:ascii="Arial Narrow" w:hAnsi="Arial Narrow"/>
                <w:b/>
                <w:bCs/>
                <w:color w:val="000000"/>
                <w:sz w:val="16"/>
                <w:szCs w:val="16"/>
              </w:rPr>
              <w:t>24.623</w:t>
            </w:r>
          </w:p>
        </w:tc>
        <w:tc>
          <w:tcPr>
            <w:tcW w:w="664" w:type="dxa"/>
            <w:tcBorders>
              <w:top w:val="nil"/>
              <w:left w:val="nil"/>
              <w:right w:val="nil"/>
            </w:tcBorders>
            <w:shd w:val="clear" w:color="000000" w:fill="FFFFFF"/>
            <w:noWrap/>
            <w:vAlign w:val="center"/>
            <w:hideMark/>
          </w:tcPr>
          <w:p w:rsidR="00142521" w:rsidRPr="007253CD" w:rsidRDefault="00853E08" w:rsidP="00853E08">
            <w:pPr>
              <w:ind w:right="113"/>
              <w:jc w:val="right"/>
              <w:rPr>
                <w:rFonts w:ascii="Arial Narrow" w:hAnsi="Arial Narrow"/>
                <w:b/>
                <w:bCs/>
                <w:color w:val="000000"/>
                <w:sz w:val="16"/>
                <w:szCs w:val="16"/>
              </w:rPr>
            </w:pPr>
            <w:r>
              <w:rPr>
                <w:rFonts w:ascii="Arial Narrow" w:hAnsi="Arial Narrow"/>
                <w:b/>
                <w:bCs/>
                <w:color w:val="000000"/>
                <w:sz w:val="16"/>
                <w:szCs w:val="16"/>
              </w:rPr>
              <w:t>13,8</w:t>
            </w:r>
          </w:p>
        </w:tc>
        <w:tc>
          <w:tcPr>
            <w:tcW w:w="549" w:type="dxa"/>
            <w:tcBorders>
              <w:top w:val="nil"/>
              <w:left w:val="nil"/>
              <w:right w:val="single" w:sz="4" w:space="0" w:color="auto"/>
            </w:tcBorders>
            <w:shd w:val="clear" w:color="000000" w:fill="FFFFFF"/>
            <w:noWrap/>
            <w:vAlign w:val="center"/>
            <w:hideMark/>
          </w:tcPr>
          <w:p w:rsidR="00142521" w:rsidRPr="007253CD" w:rsidRDefault="00142521" w:rsidP="00853E08">
            <w:pPr>
              <w:ind w:right="113"/>
              <w:jc w:val="right"/>
              <w:rPr>
                <w:rFonts w:ascii="Arial Narrow" w:hAnsi="Arial Narrow"/>
                <w:b/>
                <w:bCs/>
                <w:color w:val="000000"/>
                <w:sz w:val="16"/>
                <w:szCs w:val="16"/>
              </w:rPr>
            </w:pPr>
            <w:r w:rsidRPr="007253CD">
              <w:rPr>
                <w:rFonts w:ascii="Arial Narrow" w:hAnsi="Arial Narrow"/>
                <w:b/>
                <w:bCs/>
                <w:color w:val="000000"/>
                <w:sz w:val="16"/>
                <w:szCs w:val="16"/>
              </w:rPr>
              <w:t>-5</w:t>
            </w:r>
            <w:r w:rsidR="00853E08">
              <w:rPr>
                <w:rFonts w:ascii="Arial Narrow" w:hAnsi="Arial Narrow"/>
                <w:b/>
                <w:bCs/>
                <w:color w:val="000000"/>
                <w:sz w:val="16"/>
                <w:szCs w:val="16"/>
              </w:rPr>
              <w:t>,7</w:t>
            </w:r>
          </w:p>
        </w:tc>
      </w:tr>
      <w:tr w:rsidR="00853E08" w:rsidRPr="007253CD" w:rsidTr="009971C6">
        <w:trPr>
          <w:trHeight w:val="227"/>
          <w:jc w:val="center"/>
        </w:trPr>
        <w:tc>
          <w:tcPr>
            <w:tcW w:w="249" w:type="dxa"/>
            <w:tcBorders>
              <w:left w:val="single" w:sz="4" w:space="0" w:color="auto"/>
            </w:tcBorders>
            <w:shd w:val="clear" w:color="000000" w:fill="FFFFFF"/>
            <w:noWrap/>
            <w:vAlign w:val="center"/>
            <w:hideMark/>
          </w:tcPr>
          <w:p w:rsidR="00853E08" w:rsidRPr="007253CD" w:rsidRDefault="00853E08" w:rsidP="003C79F3">
            <w:pPr>
              <w:jc w:val="center"/>
              <w:rPr>
                <w:rFonts w:ascii="Arial Narrow" w:hAnsi="Arial Narrow"/>
                <w:color w:val="000000"/>
                <w:sz w:val="16"/>
                <w:szCs w:val="16"/>
              </w:rPr>
            </w:pPr>
            <w:r w:rsidRPr="007253CD">
              <w:rPr>
                <w:rFonts w:ascii="Arial Narrow" w:hAnsi="Arial Narrow"/>
                <w:color w:val="000000"/>
                <w:sz w:val="16"/>
                <w:szCs w:val="16"/>
              </w:rPr>
              <w:t> </w:t>
            </w:r>
          </w:p>
        </w:tc>
        <w:tc>
          <w:tcPr>
            <w:tcW w:w="656" w:type="dxa"/>
            <w:shd w:val="clear" w:color="000000" w:fill="FFFFFF"/>
            <w:noWrap/>
            <w:vAlign w:val="center"/>
            <w:hideMark/>
          </w:tcPr>
          <w:p w:rsidR="00853E08" w:rsidRPr="007253CD" w:rsidRDefault="00853E08" w:rsidP="003C79F3">
            <w:pPr>
              <w:jc w:val="center"/>
              <w:rPr>
                <w:rFonts w:ascii="Arial Narrow" w:hAnsi="Arial Narrow"/>
                <w:color w:val="000000"/>
                <w:sz w:val="16"/>
                <w:szCs w:val="16"/>
              </w:rPr>
            </w:pPr>
            <w:r w:rsidRPr="007253CD">
              <w:rPr>
                <w:rFonts w:ascii="Arial Narrow" w:hAnsi="Arial Narrow"/>
                <w:color w:val="000000"/>
                <w:sz w:val="16"/>
                <w:szCs w:val="16"/>
              </w:rPr>
              <w:t>1α)</w:t>
            </w:r>
          </w:p>
        </w:tc>
        <w:tc>
          <w:tcPr>
            <w:tcW w:w="5541" w:type="dxa"/>
            <w:gridSpan w:val="4"/>
            <w:shd w:val="clear" w:color="000000" w:fill="FFFFFF"/>
            <w:vAlign w:val="center"/>
            <w:hideMark/>
          </w:tcPr>
          <w:p w:rsidR="00853E08" w:rsidRPr="007253CD" w:rsidRDefault="00853E08" w:rsidP="003C79F3">
            <w:pPr>
              <w:rPr>
                <w:rFonts w:ascii="Arial Narrow" w:hAnsi="Arial Narrow"/>
                <w:color w:val="000000"/>
                <w:sz w:val="16"/>
                <w:szCs w:val="16"/>
              </w:rPr>
            </w:pPr>
            <w:r w:rsidRPr="007253CD">
              <w:rPr>
                <w:rFonts w:ascii="Arial Narrow" w:hAnsi="Arial Narrow"/>
                <w:color w:val="000000"/>
                <w:sz w:val="16"/>
                <w:szCs w:val="16"/>
              </w:rPr>
              <w:t xml:space="preserve">Μεταβιβάσεις στην Κεντρική Διοίκηση </w:t>
            </w:r>
          </w:p>
        </w:tc>
        <w:tc>
          <w:tcPr>
            <w:tcW w:w="850" w:type="dxa"/>
            <w:tcBorders>
              <w:left w:val="nil"/>
              <w:right w:val="nil"/>
            </w:tcBorders>
            <w:shd w:val="clear" w:color="000000" w:fill="FFFFFF"/>
            <w:noWrap/>
            <w:vAlign w:val="bottom"/>
            <w:hideMark/>
          </w:tcPr>
          <w:p w:rsidR="00853E08" w:rsidRPr="00853E08" w:rsidRDefault="00853E08" w:rsidP="00853E08">
            <w:pPr>
              <w:ind w:right="170"/>
              <w:jc w:val="right"/>
              <w:rPr>
                <w:rFonts w:ascii="Arial Narrow" w:hAnsi="Arial Narrow"/>
                <w:color w:val="000000"/>
                <w:sz w:val="16"/>
                <w:szCs w:val="16"/>
              </w:rPr>
            </w:pPr>
            <w:r w:rsidRPr="00853E08">
              <w:rPr>
                <w:rFonts w:ascii="Arial Narrow" w:hAnsi="Arial Narrow"/>
                <w:color w:val="000000"/>
                <w:sz w:val="16"/>
                <w:szCs w:val="16"/>
              </w:rPr>
              <w:t>0</w:t>
            </w:r>
          </w:p>
        </w:tc>
        <w:tc>
          <w:tcPr>
            <w:tcW w:w="729" w:type="dxa"/>
            <w:tcBorders>
              <w:left w:val="nil"/>
              <w:right w:val="nil"/>
            </w:tcBorders>
            <w:shd w:val="clear" w:color="000000" w:fill="FFFFFF"/>
            <w:noWrap/>
            <w:vAlign w:val="bottom"/>
            <w:hideMark/>
          </w:tcPr>
          <w:p w:rsidR="00853E08" w:rsidRPr="00853E08" w:rsidRDefault="00853E08" w:rsidP="00853E08">
            <w:pPr>
              <w:ind w:right="170"/>
              <w:jc w:val="right"/>
              <w:rPr>
                <w:rFonts w:ascii="Arial Narrow" w:hAnsi="Arial Narrow"/>
                <w:color w:val="000000"/>
                <w:sz w:val="16"/>
                <w:szCs w:val="16"/>
              </w:rPr>
            </w:pPr>
            <w:r w:rsidRPr="00853E08">
              <w:rPr>
                <w:rFonts w:ascii="Arial Narrow" w:hAnsi="Arial Narrow"/>
                <w:color w:val="000000"/>
                <w:sz w:val="16"/>
                <w:szCs w:val="16"/>
              </w:rPr>
              <w:t>0</w:t>
            </w:r>
          </w:p>
        </w:tc>
        <w:tc>
          <w:tcPr>
            <w:tcW w:w="845" w:type="dxa"/>
            <w:tcBorders>
              <w:left w:val="nil"/>
              <w:right w:val="nil"/>
            </w:tcBorders>
            <w:shd w:val="clear" w:color="000000" w:fill="FFFFFF"/>
            <w:noWrap/>
            <w:vAlign w:val="bottom"/>
            <w:hideMark/>
          </w:tcPr>
          <w:p w:rsidR="00853E08" w:rsidRPr="00853E08" w:rsidRDefault="00853E08" w:rsidP="00853E08">
            <w:pPr>
              <w:ind w:right="170"/>
              <w:jc w:val="right"/>
              <w:rPr>
                <w:rFonts w:ascii="Arial Narrow" w:hAnsi="Arial Narrow"/>
                <w:color w:val="000000"/>
                <w:sz w:val="16"/>
                <w:szCs w:val="16"/>
              </w:rPr>
            </w:pPr>
            <w:r w:rsidRPr="00853E08">
              <w:rPr>
                <w:rFonts w:ascii="Arial Narrow" w:hAnsi="Arial Narrow"/>
                <w:color w:val="000000"/>
                <w:sz w:val="16"/>
                <w:szCs w:val="16"/>
              </w:rPr>
              <w:t>2</w:t>
            </w:r>
          </w:p>
        </w:tc>
        <w:tc>
          <w:tcPr>
            <w:tcW w:w="664" w:type="dxa"/>
            <w:tcBorders>
              <w:left w:val="nil"/>
              <w:right w:val="nil"/>
            </w:tcBorders>
            <w:shd w:val="clear" w:color="000000" w:fill="FFFFFF"/>
            <w:noWrap/>
            <w:vAlign w:val="bottom"/>
            <w:hideMark/>
          </w:tcPr>
          <w:p w:rsidR="00853E08" w:rsidRPr="00853E08" w:rsidRDefault="00853E08" w:rsidP="00853E08">
            <w:pPr>
              <w:ind w:right="113"/>
              <w:jc w:val="right"/>
              <w:rPr>
                <w:rFonts w:ascii="Arial Narrow" w:hAnsi="Arial Narrow"/>
                <w:color w:val="000000"/>
                <w:sz w:val="16"/>
                <w:szCs w:val="16"/>
              </w:rPr>
            </w:pPr>
            <w:r w:rsidRPr="00853E08">
              <w:rPr>
                <w:rFonts w:ascii="Arial Narrow" w:hAnsi="Arial Narrow"/>
                <w:color w:val="000000"/>
                <w:sz w:val="16"/>
                <w:szCs w:val="16"/>
              </w:rPr>
              <w:t> </w:t>
            </w:r>
          </w:p>
        </w:tc>
        <w:tc>
          <w:tcPr>
            <w:tcW w:w="549" w:type="dxa"/>
            <w:tcBorders>
              <w:left w:val="nil"/>
              <w:right w:val="single" w:sz="4" w:space="0" w:color="auto"/>
            </w:tcBorders>
            <w:shd w:val="clear" w:color="000000" w:fill="FFFFFF"/>
            <w:noWrap/>
            <w:vAlign w:val="bottom"/>
            <w:hideMark/>
          </w:tcPr>
          <w:p w:rsidR="00853E08" w:rsidRPr="00853E08" w:rsidRDefault="00853E08" w:rsidP="00853E08">
            <w:pPr>
              <w:ind w:right="113"/>
              <w:jc w:val="right"/>
              <w:rPr>
                <w:rFonts w:ascii="Arial Narrow" w:hAnsi="Arial Narrow"/>
                <w:color w:val="000000"/>
                <w:sz w:val="16"/>
                <w:szCs w:val="16"/>
              </w:rPr>
            </w:pPr>
            <w:r w:rsidRPr="00853E08">
              <w:rPr>
                <w:rFonts w:ascii="Arial Narrow" w:hAnsi="Arial Narrow"/>
                <w:color w:val="000000"/>
                <w:sz w:val="16"/>
                <w:szCs w:val="16"/>
              </w:rPr>
              <w:t> </w:t>
            </w:r>
          </w:p>
        </w:tc>
      </w:tr>
      <w:tr w:rsidR="00853E08" w:rsidRPr="007253CD" w:rsidTr="009971C6">
        <w:trPr>
          <w:trHeight w:val="227"/>
          <w:jc w:val="center"/>
        </w:trPr>
        <w:tc>
          <w:tcPr>
            <w:tcW w:w="249" w:type="dxa"/>
            <w:tcBorders>
              <w:left w:val="single" w:sz="4" w:space="0" w:color="auto"/>
            </w:tcBorders>
            <w:shd w:val="clear" w:color="000000" w:fill="FFFFFF"/>
            <w:noWrap/>
            <w:vAlign w:val="center"/>
            <w:hideMark/>
          </w:tcPr>
          <w:p w:rsidR="00853E08" w:rsidRPr="007253CD" w:rsidRDefault="00853E08" w:rsidP="003C79F3">
            <w:pPr>
              <w:jc w:val="center"/>
              <w:rPr>
                <w:rFonts w:ascii="Arial Narrow" w:hAnsi="Arial Narrow"/>
                <w:color w:val="000000"/>
                <w:sz w:val="16"/>
                <w:szCs w:val="16"/>
              </w:rPr>
            </w:pPr>
            <w:r w:rsidRPr="007253CD">
              <w:rPr>
                <w:rFonts w:ascii="Arial Narrow" w:hAnsi="Arial Narrow"/>
                <w:color w:val="000000"/>
                <w:sz w:val="16"/>
                <w:szCs w:val="16"/>
              </w:rPr>
              <w:t> </w:t>
            </w:r>
          </w:p>
        </w:tc>
        <w:tc>
          <w:tcPr>
            <w:tcW w:w="656" w:type="dxa"/>
            <w:shd w:val="clear" w:color="000000" w:fill="FFFFFF"/>
            <w:noWrap/>
            <w:vAlign w:val="center"/>
            <w:hideMark/>
          </w:tcPr>
          <w:p w:rsidR="00853E08" w:rsidRPr="007253CD" w:rsidRDefault="00853E08" w:rsidP="003C79F3">
            <w:pPr>
              <w:jc w:val="center"/>
              <w:rPr>
                <w:rFonts w:ascii="Arial Narrow" w:hAnsi="Arial Narrow"/>
                <w:color w:val="000000"/>
                <w:sz w:val="16"/>
                <w:szCs w:val="16"/>
              </w:rPr>
            </w:pPr>
            <w:r w:rsidRPr="007253CD">
              <w:rPr>
                <w:rFonts w:ascii="Arial Narrow" w:hAnsi="Arial Narrow"/>
                <w:color w:val="000000"/>
                <w:sz w:val="16"/>
                <w:szCs w:val="16"/>
              </w:rPr>
              <w:t>1β)</w:t>
            </w:r>
          </w:p>
        </w:tc>
        <w:tc>
          <w:tcPr>
            <w:tcW w:w="5541" w:type="dxa"/>
            <w:gridSpan w:val="4"/>
            <w:shd w:val="clear" w:color="000000" w:fill="FFFFFF"/>
            <w:vAlign w:val="center"/>
            <w:hideMark/>
          </w:tcPr>
          <w:p w:rsidR="00853E08" w:rsidRPr="007253CD" w:rsidRDefault="00853E08" w:rsidP="003C79F3">
            <w:pPr>
              <w:rPr>
                <w:rFonts w:ascii="Arial Narrow" w:hAnsi="Arial Narrow"/>
                <w:color w:val="000000"/>
                <w:sz w:val="16"/>
                <w:szCs w:val="16"/>
              </w:rPr>
            </w:pPr>
            <w:r>
              <w:rPr>
                <w:rFonts w:ascii="Arial Narrow" w:hAnsi="Arial Narrow"/>
                <w:color w:val="000000"/>
                <w:sz w:val="16"/>
                <w:szCs w:val="16"/>
              </w:rPr>
              <w:t>Μεταβιβάσεις σε νοσοκομεία και</w:t>
            </w:r>
            <w:r w:rsidRPr="007253CD">
              <w:rPr>
                <w:rFonts w:ascii="Arial Narrow" w:hAnsi="Arial Narrow"/>
                <w:color w:val="000000"/>
                <w:sz w:val="16"/>
                <w:szCs w:val="16"/>
              </w:rPr>
              <w:t xml:space="preserve"> ΥΠΕ-ΠΕΔΥ</w:t>
            </w:r>
          </w:p>
        </w:tc>
        <w:tc>
          <w:tcPr>
            <w:tcW w:w="850" w:type="dxa"/>
            <w:tcBorders>
              <w:left w:val="nil"/>
              <w:right w:val="nil"/>
            </w:tcBorders>
            <w:shd w:val="clear" w:color="000000" w:fill="FFFFFF"/>
            <w:noWrap/>
            <w:vAlign w:val="bottom"/>
            <w:hideMark/>
          </w:tcPr>
          <w:p w:rsidR="00853E08" w:rsidRPr="00853E08" w:rsidRDefault="00853E08" w:rsidP="00853E08">
            <w:pPr>
              <w:ind w:right="170"/>
              <w:jc w:val="right"/>
              <w:rPr>
                <w:rFonts w:ascii="Arial Narrow" w:hAnsi="Arial Narrow"/>
                <w:color w:val="000000"/>
                <w:sz w:val="16"/>
                <w:szCs w:val="16"/>
              </w:rPr>
            </w:pPr>
            <w:r w:rsidRPr="00853E08">
              <w:rPr>
                <w:rFonts w:ascii="Arial Narrow" w:hAnsi="Arial Narrow"/>
                <w:color w:val="000000"/>
                <w:sz w:val="16"/>
                <w:szCs w:val="16"/>
              </w:rPr>
              <w:t>1.379</w:t>
            </w:r>
          </w:p>
        </w:tc>
        <w:tc>
          <w:tcPr>
            <w:tcW w:w="729" w:type="dxa"/>
            <w:tcBorders>
              <w:left w:val="nil"/>
              <w:right w:val="nil"/>
            </w:tcBorders>
            <w:shd w:val="clear" w:color="000000" w:fill="FFFFFF"/>
            <w:noWrap/>
            <w:vAlign w:val="bottom"/>
            <w:hideMark/>
          </w:tcPr>
          <w:p w:rsidR="00853E08" w:rsidRPr="00853E08" w:rsidRDefault="00853E08" w:rsidP="00853E08">
            <w:pPr>
              <w:ind w:right="170"/>
              <w:jc w:val="right"/>
              <w:rPr>
                <w:rFonts w:ascii="Arial Narrow" w:hAnsi="Arial Narrow"/>
                <w:color w:val="000000"/>
                <w:sz w:val="16"/>
                <w:szCs w:val="16"/>
              </w:rPr>
            </w:pPr>
            <w:r w:rsidRPr="00853E08">
              <w:rPr>
                <w:rFonts w:ascii="Arial Narrow" w:hAnsi="Arial Narrow"/>
                <w:color w:val="000000"/>
                <w:sz w:val="16"/>
                <w:szCs w:val="16"/>
              </w:rPr>
              <w:t>1.484</w:t>
            </w:r>
          </w:p>
        </w:tc>
        <w:tc>
          <w:tcPr>
            <w:tcW w:w="845" w:type="dxa"/>
            <w:tcBorders>
              <w:left w:val="nil"/>
              <w:right w:val="nil"/>
            </w:tcBorders>
            <w:shd w:val="clear" w:color="000000" w:fill="FFFFFF"/>
            <w:noWrap/>
            <w:vAlign w:val="bottom"/>
            <w:hideMark/>
          </w:tcPr>
          <w:p w:rsidR="00853E08" w:rsidRPr="00853E08" w:rsidRDefault="00853E08" w:rsidP="00853E08">
            <w:pPr>
              <w:ind w:right="170"/>
              <w:jc w:val="right"/>
              <w:rPr>
                <w:rFonts w:ascii="Arial Narrow" w:hAnsi="Arial Narrow"/>
                <w:color w:val="000000"/>
                <w:sz w:val="16"/>
                <w:szCs w:val="16"/>
              </w:rPr>
            </w:pPr>
            <w:r w:rsidRPr="00853E08">
              <w:rPr>
                <w:rFonts w:ascii="Arial Narrow" w:hAnsi="Arial Narrow"/>
                <w:color w:val="000000"/>
                <w:sz w:val="16"/>
                <w:szCs w:val="16"/>
              </w:rPr>
              <w:t>1.462</w:t>
            </w:r>
          </w:p>
        </w:tc>
        <w:tc>
          <w:tcPr>
            <w:tcW w:w="664" w:type="dxa"/>
            <w:tcBorders>
              <w:left w:val="nil"/>
              <w:right w:val="nil"/>
            </w:tcBorders>
            <w:shd w:val="clear" w:color="000000" w:fill="FFFFFF"/>
            <w:noWrap/>
            <w:vAlign w:val="bottom"/>
            <w:hideMark/>
          </w:tcPr>
          <w:p w:rsidR="00853E08" w:rsidRPr="00853E08" w:rsidRDefault="00853E08" w:rsidP="00853E08">
            <w:pPr>
              <w:ind w:right="113"/>
              <w:jc w:val="right"/>
              <w:rPr>
                <w:rFonts w:ascii="Arial Narrow" w:hAnsi="Arial Narrow"/>
                <w:color w:val="000000"/>
                <w:sz w:val="16"/>
                <w:szCs w:val="16"/>
              </w:rPr>
            </w:pPr>
            <w:r w:rsidRPr="00853E08">
              <w:rPr>
                <w:rFonts w:ascii="Arial Narrow" w:hAnsi="Arial Narrow"/>
                <w:color w:val="000000"/>
                <w:sz w:val="16"/>
                <w:szCs w:val="16"/>
              </w:rPr>
              <w:t>7,7</w:t>
            </w:r>
          </w:p>
        </w:tc>
        <w:tc>
          <w:tcPr>
            <w:tcW w:w="549" w:type="dxa"/>
            <w:tcBorders>
              <w:left w:val="nil"/>
              <w:right w:val="single" w:sz="4" w:space="0" w:color="auto"/>
            </w:tcBorders>
            <w:shd w:val="clear" w:color="000000" w:fill="FFFFFF"/>
            <w:noWrap/>
            <w:vAlign w:val="bottom"/>
            <w:hideMark/>
          </w:tcPr>
          <w:p w:rsidR="00853E08" w:rsidRPr="00853E08" w:rsidRDefault="00853E08" w:rsidP="00853E08">
            <w:pPr>
              <w:ind w:right="113"/>
              <w:jc w:val="right"/>
              <w:rPr>
                <w:rFonts w:ascii="Arial Narrow" w:hAnsi="Arial Narrow"/>
                <w:color w:val="000000"/>
                <w:sz w:val="16"/>
                <w:szCs w:val="16"/>
              </w:rPr>
            </w:pPr>
            <w:r w:rsidRPr="00853E08">
              <w:rPr>
                <w:rFonts w:ascii="Arial Narrow" w:hAnsi="Arial Narrow"/>
                <w:color w:val="000000"/>
                <w:sz w:val="16"/>
                <w:szCs w:val="16"/>
              </w:rPr>
              <w:t>-1,5</w:t>
            </w:r>
          </w:p>
        </w:tc>
      </w:tr>
      <w:tr w:rsidR="00853E08" w:rsidRPr="007253CD" w:rsidTr="009971C6">
        <w:trPr>
          <w:trHeight w:val="227"/>
          <w:jc w:val="center"/>
        </w:trPr>
        <w:tc>
          <w:tcPr>
            <w:tcW w:w="249" w:type="dxa"/>
            <w:tcBorders>
              <w:left w:val="single" w:sz="4" w:space="0" w:color="auto"/>
            </w:tcBorders>
            <w:shd w:val="clear" w:color="000000" w:fill="FFFFFF"/>
            <w:noWrap/>
            <w:vAlign w:val="center"/>
            <w:hideMark/>
          </w:tcPr>
          <w:p w:rsidR="00853E08" w:rsidRPr="007253CD" w:rsidRDefault="00853E08" w:rsidP="003C79F3">
            <w:pPr>
              <w:jc w:val="center"/>
              <w:rPr>
                <w:rFonts w:ascii="Arial Narrow" w:hAnsi="Arial Narrow"/>
                <w:color w:val="000000"/>
                <w:sz w:val="16"/>
                <w:szCs w:val="16"/>
              </w:rPr>
            </w:pPr>
            <w:r w:rsidRPr="007253CD">
              <w:rPr>
                <w:rFonts w:ascii="Arial Narrow" w:hAnsi="Arial Narrow"/>
                <w:color w:val="000000"/>
                <w:sz w:val="16"/>
                <w:szCs w:val="16"/>
              </w:rPr>
              <w:t> </w:t>
            </w:r>
          </w:p>
        </w:tc>
        <w:tc>
          <w:tcPr>
            <w:tcW w:w="656" w:type="dxa"/>
            <w:shd w:val="clear" w:color="000000" w:fill="FFFFFF"/>
            <w:noWrap/>
            <w:vAlign w:val="center"/>
            <w:hideMark/>
          </w:tcPr>
          <w:p w:rsidR="00853E08" w:rsidRPr="007253CD" w:rsidRDefault="00853E08" w:rsidP="003C79F3">
            <w:pPr>
              <w:jc w:val="center"/>
              <w:rPr>
                <w:rFonts w:ascii="Arial Narrow" w:hAnsi="Arial Narrow"/>
                <w:color w:val="000000"/>
                <w:sz w:val="16"/>
                <w:szCs w:val="16"/>
              </w:rPr>
            </w:pPr>
            <w:r w:rsidRPr="007253CD">
              <w:rPr>
                <w:rFonts w:ascii="Arial Narrow" w:hAnsi="Arial Narrow"/>
                <w:color w:val="000000"/>
                <w:sz w:val="16"/>
                <w:szCs w:val="16"/>
              </w:rPr>
              <w:t>1γ)</w:t>
            </w:r>
          </w:p>
        </w:tc>
        <w:tc>
          <w:tcPr>
            <w:tcW w:w="5541" w:type="dxa"/>
            <w:gridSpan w:val="4"/>
            <w:shd w:val="clear" w:color="000000" w:fill="FFFFFF"/>
            <w:vAlign w:val="center"/>
            <w:hideMark/>
          </w:tcPr>
          <w:p w:rsidR="00853E08" w:rsidRPr="007253CD" w:rsidRDefault="00853E08" w:rsidP="003C79F3">
            <w:pPr>
              <w:rPr>
                <w:rFonts w:ascii="Arial Narrow" w:hAnsi="Arial Narrow"/>
                <w:color w:val="000000"/>
                <w:sz w:val="16"/>
                <w:szCs w:val="16"/>
              </w:rPr>
            </w:pPr>
            <w:r w:rsidRPr="007253CD">
              <w:rPr>
                <w:rFonts w:ascii="Arial Narrow" w:hAnsi="Arial Narrow"/>
                <w:color w:val="000000"/>
                <w:sz w:val="16"/>
                <w:szCs w:val="16"/>
              </w:rPr>
              <w:t>Μεταβιβάσεις σε ΟΤΑ</w:t>
            </w:r>
          </w:p>
        </w:tc>
        <w:tc>
          <w:tcPr>
            <w:tcW w:w="850" w:type="dxa"/>
            <w:tcBorders>
              <w:left w:val="nil"/>
              <w:right w:val="nil"/>
            </w:tcBorders>
            <w:shd w:val="clear" w:color="000000" w:fill="FFFFFF"/>
            <w:noWrap/>
            <w:vAlign w:val="bottom"/>
            <w:hideMark/>
          </w:tcPr>
          <w:p w:rsidR="00853E08" w:rsidRPr="00853E08" w:rsidRDefault="00853E08" w:rsidP="00853E08">
            <w:pPr>
              <w:ind w:right="170"/>
              <w:jc w:val="right"/>
              <w:rPr>
                <w:rFonts w:ascii="Arial Narrow" w:hAnsi="Arial Narrow"/>
                <w:color w:val="000000"/>
                <w:sz w:val="16"/>
                <w:szCs w:val="16"/>
              </w:rPr>
            </w:pPr>
            <w:r w:rsidRPr="00853E08">
              <w:rPr>
                <w:rFonts w:ascii="Arial Narrow" w:hAnsi="Arial Narrow"/>
                <w:color w:val="000000"/>
                <w:sz w:val="16"/>
                <w:szCs w:val="16"/>
              </w:rPr>
              <w:t>2.324</w:t>
            </w:r>
          </w:p>
        </w:tc>
        <w:tc>
          <w:tcPr>
            <w:tcW w:w="729" w:type="dxa"/>
            <w:tcBorders>
              <w:left w:val="nil"/>
              <w:right w:val="nil"/>
            </w:tcBorders>
            <w:shd w:val="clear" w:color="000000" w:fill="FFFFFF"/>
            <w:noWrap/>
            <w:vAlign w:val="bottom"/>
            <w:hideMark/>
          </w:tcPr>
          <w:p w:rsidR="00853E08" w:rsidRPr="00853E08" w:rsidRDefault="00853E08" w:rsidP="00853E08">
            <w:pPr>
              <w:ind w:right="170"/>
              <w:jc w:val="right"/>
              <w:rPr>
                <w:rFonts w:ascii="Arial Narrow" w:hAnsi="Arial Narrow"/>
                <w:color w:val="000000"/>
                <w:sz w:val="16"/>
                <w:szCs w:val="16"/>
              </w:rPr>
            </w:pPr>
            <w:r w:rsidRPr="00853E08">
              <w:rPr>
                <w:rFonts w:ascii="Arial Narrow" w:hAnsi="Arial Narrow"/>
                <w:color w:val="000000"/>
                <w:sz w:val="16"/>
                <w:szCs w:val="16"/>
              </w:rPr>
              <w:t>2.769</w:t>
            </w:r>
          </w:p>
        </w:tc>
        <w:tc>
          <w:tcPr>
            <w:tcW w:w="845" w:type="dxa"/>
            <w:tcBorders>
              <w:left w:val="nil"/>
              <w:right w:val="nil"/>
            </w:tcBorders>
            <w:shd w:val="clear" w:color="000000" w:fill="FFFFFF"/>
            <w:noWrap/>
            <w:vAlign w:val="bottom"/>
            <w:hideMark/>
          </w:tcPr>
          <w:p w:rsidR="00853E08" w:rsidRPr="00853E08" w:rsidRDefault="00853E08" w:rsidP="00853E08">
            <w:pPr>
              <w:ind w:right="170"/>
              <w:jc w:val="right"/>
              <w:rPr>
                <w:rFonts w:ascii="Arial Narrow" w:hAnsi="Arial Narrow"/>
                <w:color w:val="000000"/>
                <w:sz w:val="16"/>
                <w:szCs w:val="16"/>
              </w:rPr>
            </w:pPr>
            <w:r w:rsidRPr="00853E08">
              <w:rPr>
                <w:rFonts w:ascii="Arial Narrow" w:hAnsi="Arial Narrow"/>
                <w:color w:val="000000"/>
                <w:sz w:val="16"/>
                <w:szCs w:val="16"/>
              </w:rPr>
              <w:t>2.549</w:t>
            </w:r>
          </w:p>
        </w:tc>
        <w:tc>
          <w:tcPr>
            <w:tcW w:w="664" w:type="dxa"/>
            <w:tcBorders>
              <w:left w:val="nil"/>
              <w:right w:val="nil"/>
            </w:tcBorders>
            <w:shd w:val="clear" w:color="000000" w:fill="FFFFFF"/>
            <w:noWrap/>
            <w:vAlign w:val="bottom"/>
            <w:hideMark/>
          </w:tcPr>
          <w:p w:rsidR="00853E08" w:rsidRPr="00853E08" w:rsidRDefault="00853E08" w:rsidP="00853E08">
            <w:pPr>
              <w:ind w:right="113"/>
              <w:jc w:val="right"/>
              <w:rPr>
                <w:rFonts w:ascii="Arial Narrow" w:hAnsi="Arial Narrow"/>
                <w:color w:val="000000"/>
                <w:sz w:val="16"/>
                <w:szCs w:val="16"/>
              </w:rPr>
            </w:pPr>
            <w:r w:rsidRPr="00853E08">
              <w:rPr>
                <w:rFonts w:ascii="Arial Narrow" w:hAnsi="Arial Narrow"/>
                <w:color w:val="000000"/>
                <w:sz w:val="16"/>
                <w:szCs w:val="16"/>
              </w:rPr>
              <w:t>19,1</w:t>
            </w:r>
          </w:p>
        </w:tc>
        <w:tc>
          <w:tcPr>
            <w:tcW w:w="549" w:type="dxa"/>
            <w:tcBorders>
              <w:left w:val="nil"/>
              <w:right w:val="single" w:sz="4" w:space="0" w:color="auto"/>
            </w:tcBorders>
            <w:shd w:val="clear" w:color="000000" w:fill="FFFFFF"/>
            <w:noWrap/>
            <w:vAlign w:val="bottom"/>
            <w:hideMark/>
          </w:tcPr>
          <w:p w:rsidR="00853E08" w:rsidRPr="00853E08" w:rsidRDefault="00853E08" w:rsidP="00853E08">
            <w:pPr>
              <w:ind w:right="113"/>
              <w:jc w:val="right"/>
              <w:rPr>
                <w:rFonts w:ascii="Arial Narrow" w:hAnsi="Arial Narrow"/>
                <w:color w:val="000000"/>
                <w:sz w:val="16"/>
                <w:szCs w:val="16"/>
              </w:rPr>
            </w:pPr>
            <w:r w:rsidRPr="00853E08">
              <w:rPr>
                <w:rFonts w:ascii="Arial Narrow" w:hAnsi="Arial Narrow"/>
                <w:color w:val="000000"/>
                <w:sz w:val="16"/>
                <w:szCs w:val="16"/>
              </w:rPr>
              <w:t>-7,9</w:t>
            </w:r>
          </w:p>
        </w:tc>
      </w:tr>
      <w:tr w:rsidR="00853E08" w:rsidRPr="007253CD" w:rsidTr="009971C6">
        <w:trPr>
          <w:trHeight w:val="227"/>
          <w:jc w:val="center"/>
        </w:trPr>
        <w:tc>
          <w:tcPr>
            <w:tcW w:w="249" w:type="dxa"/>
            <w:tcBorders>
              <w:left w:val="single" w:sz="4" w:space="0" w:color="auto"/>
            </w:tcBorders>
            <w:shd w:val="clear" w:color="000000" w:fill="FFFFFF"/>
            <w:noWrap/>
            <w:vAlign w:val="center"/>
            <w:hideMark/>
          </w:tcPr>
          <w:p w:rsidR="00853E08" w:rsidRPr="007253CD" w:rsidRDefault="00853E08" w:rsidP="003C79F3">
            <w:pPr>
              <w:jc w:val="center"/>
              <w:rPr>
                <w:rFonts w:ascii="Arial Narrow" w:hAnsi="Arial Narrow"/>
                <w:color w:val="000000"/>
                <w:sz w:val="16"/>
                <w:szCs w:val="16"/>
              </w:rPr>
            </w:pPr>
            <w:r w:rsidRPr="007253CD">
              <w:rPr>
                <w:rFonts w:ascii="Arial Narrow" w:hAnsi="Arial Narrow"/>
                <w:color w:val="000000"/>
                <w:sz w:val="16"/>
                <w:szCs w:val="16"/>
              </w:rPr>
              <w:t> </w:t>
            </w:r>
          </w:p>
        </w:tc>
        <w:tc>
          <w:tcPr>
            <w:tcW w:w="656" w:type="dxa"/>
            <w:shd w:val="clear" w:color="000000" w:fill="FFFFFF"/>
            <w:noWrap/>
            <w:vAlign w:val="center"/>
            <w:hideMark/>
          </w:tcPr>
          <w:p w:rsidR="00853E08" w:rsidRPr="007253CD" w:rsidRDefault="00853E08" w:rsidP="003C79F3">
            <w:pPr>
              <w:jc w:val="center"/>
              <w:rPr>
                <w:rFonts w:ascii="Arial Narrow" w:hAnsi="Arial Narrow"/>
                <w:color w:val="000000"/>
                <w:sz w:val="16"/>
                <w:szCs w:val="16"/>
              </w:rPr>
            </w:pPr>
            <w:r w:rsidRPr="007253CD">
              <w:rPr>
                <w:rFonts w:ascii="Arial Narrow" w:hAnsi="Arial Narrow"/>
                <w:color w:val="000000"/>
                <w:sz w:val="16"/>
                <w:szCs w:val="16"/>
              </w:rPr>
              <w:t>1δ)</w:t>
            </w:r>
          </w:p>
        </w:tc>
        <w:tc>
          <w:tcPr>
            <w:tcW w:w="5541" w:type="dxa"/>
            <w:gridSpan w:val="4"/>
            <w:shd w:val="clear" w:color="000000" w:fill="FFFFFF"/>
            <w:vAlign w:val="center"/>
            <w:hideMark/>
          </w:tcPr>
          <w:p w:rsidR="00853E08" w:rsidRPr="007253CD" w:rsidRDefault="00853E08" w:rsidP="003C79F3">
            <w:pPr>
              <w:rPr>
                <w:rFonts w:ascii="Arial Narrow" w:hAnsi="Arial Narrow"/>
                <w:color w:val="000000"/>
                <w:sz w:val="16"/>
                <w:szCs w:val="16"/>
              </w:rPr>
            </w:pPr>
            <w:r w:rsidRPr="007253CD">
              <w:rPr>
                <w:rFonts w:ascii="Arial Narrow" w:hAnsi="Arial Narrow"/>
                <w:color w:val="000000"/>
                <w:sz w:val="16"/>
                <w:szCs w:val="16"/>
              </w:rPr>
              <w:t>Μεταβιβάσεις σε ΟΚΑ</w:t>
            </w:r>
          </w:p>
        </w:tc>
        <w:tc>
          <w:tcPr>
            <w:tcW w:w="850" w:type="dxa"/>
            <w:tcBorders>
              <w:left w:val="nil"/>
              <w:right w:val="nil"/>
            </w:tcBorders>
            <w:shd w:val="clear" w:color="000000" w:fill="FFFFFF"/>
            <w:noWrap/>
            <w:vAlign w:val="bottom"/>
            <w:hideMark/>
          </w:tcPr>
          <w:p w:rsidR="00853E08" w:rsidRPr="00853E08" w:rsidRDefault="00853E08" w:rsidP="00853E08">
            <w:pPr>
              <w:ind w:right="170"/>
              <w:jc w:val="right"/>
              <w:rPr>
                <w:rFonts w:ascii="Arial Narrow" w:hAnsi="Arial Narrow"/>
                <w:color w:val="000000"/>
                <w:sz w:val="16"/>
                <w:szCs w:val="16"/>
              </w:rPr>
            </w:pPr>
            <w:r w:rsidRPr="00853E08">
              <w:rPr>
                <w:rFonts w:ascii="Arial Narrow" w:hAnsi="Arial Narrow"/>
                <w:color w:val="000000"/>
                <w:sz w:val="16"/>
                <w:szCs w:val="16"/>
              </w:rPr>
              <w:t>19.243</w:t>
            </w:r>
          </w:p>
        </w:tc>
        <w:tc>
          <w:tcPr>
            <w:tcW w:w="729" w:type="dxa"/>
            <w:tcBorders>
              <w:left w:val="nil"/>
              <w:right w:val="nil"/>
            </w:tcBorders>
            <w:shd w:val="clear" w:color="000000" w:fill="FFFFFF"/>
            <w:noWrap/>
            <w:vAlign w:val="bottom"/>
            <w:hideMark/>
          </w:tcPr>
          <w:p w:rsidR="00853E08" w:rsidRPr="00853E08" w:rsidRDefault="00853E08" w:rsidP="00853E08">
            <w:pPr>
              <w:ind w:right="170"/>
              <w:jc w:val="right"/>
              <w:rPr>
                <w:rFonts w:ascii="Arial Narrow" w:hAnsi="Arial Narrow"/>
                <w:color w:val="000000"/>
                <w:sz w:val="16"/>
                <w:szCs w:val="16"/>
              </w:rPr>
            </w:pPr>
            <w:r w:rsidRPr="00853E08">
              <w:rPr>
                <w:rFonts w:ascii="Arial Narrow" w:hAnsi="Arial Narrow"/>
                <w:color w:val="000000"/>
                <w:sz w:val="16"/>
                <w:szCs w:val="16"/>
              </w:rPr>
              <w:t>21.867</w:t>
            </w:r>
          </w:p>
        </w:tc>
        <w:tc>
          <w:tcPr>
            <w:tcW w:w="845" w:type="dxa"/>
            <w:tcBorders>
              <w:left w:val="nil"/>
              <w:right w:val="nil"/>
            </w:tcBorders>
            <w:shd w:val="clear" w:color="000000" w:fill="FFFFFF"/>
            <w:noWrap/>
            <w:vAlign w:val="bottom"/>
            <w:hideMark/>
          </w:tcPr>
          <w:p w:rsidR="00853E08" w:rsidRPr="00853E08" w:rsidRDefault="00853E08" w:rsidP="00853E08">
            <w:pPr>
              <w:ind w:right="170"/>
              <w:jc w:val="right"/>
              <w:rPr>
                <w:rFonts w:ascii="Arial Narrow" w:hAnsi="Arial Narrow"/>
                <w:color w:val="000000"/>
                <w:sz w:val="16"/>
                <w:szCs w:val="16"/>
              </w:rPr>
            </w:pPr>
            <w:r w:rsidRPr="00853E08">
              <w:rPr>
                <w:rFonts w:ascii="Arial Narrow" w:hAnsi="Arial Narrow"/>
                <w:color w:val="000000"/>
                <w:sz w:val="16"/>
                <w:szCs w:val="16"/>
              </w:rPr>
              <w:t>20.610</w:t>
            </w:r>
          </w:p>
        </w:tc>
        <w:tc>
          <w:tcPr>
            <w:tcW w:w="664" w:type="dxa"/>
            <w:tcBorders>
              <w:left w:val="nil"/>
              <w:right w:val="nil"/>
            </w:tcBorders>
            <w:shd w:val="clear" w:color="000000" w:fill="FFFFFF"/>
            <w:noWrap/>
            <w:vAlign w:val="bottom"/>
            <w:hideMark/>
          </w:tcPr>
          <w:p w:rsidR="00853E08" w:rsidRPr="00853E08" w:rsidRDefault="00853E08" w:rsidP="00853E08">
            <w:pPr>
              <w:ind w:right="113"/>
              <w:jc w:val="right"/>
              <w:rPr>
                <w:rFonts w:ascii="Arial Narrow" w:hAnsi="Arial Narrow"/>
                <w:color w:val="000000"/>
                <w:sz w:val="16"/>
                <w:szCs w:val="16"/>
              </w:rPr>
            </w:pPr>
            <w:r w:rsidRPr="00853E08">
              <w:rPr>
                <w:rFonts w:ascii="Arial Narrow" w:hAnsi="Arial Narrow"/>
                <w:color w:val="000000"/>
                <w:sz w:val="16"/>
                <w:szCs w:val="16"/>
              </w:rPr>
              <w:t>13,6</w:t>
            </w:r>
          </w:p>
        </w:tc>
        <w:tc>
          <w:tcPr>
            <w:tcW w:w="549" w:type="dxa"/>
            <w:tcBorders>
              <w:left w:val="nil"/>
              <w:right w:val="single" w:sz="4" w:space="0" w:color="auto"/>
            </w:tcBorders>
            <w:shd w:val="clear" w:color="000000" w:fill="FFFFFF"/>
            <w:noWrap/>
            <w:vAlign w:val="bottom"/>
            <w:hideMark/>
          </w:tcPr>
          <w:p w:rsidR="00853E08" w:rsidRPr="00853E08" w:rsidRDefault="00853E08" w:rsidP="00853E08">
            <w:pPr>
              <w:ind w:right="113"/>
              <w:jc w:val="right"/>
              <w:rPr>
                <w:rFonts w:ascii="Arial Narrow" w:hAnsi="Arial Narrow"/>
                <w:color w:val="000000"/>
                <w:sz w:val="16"/>
                <w:szCs w:val="16"/>
              </w:rPr>
            </w:pPr>
            <w:r w:rsidRPr="00853E08">
              <w:rPr>
                <w:rFonts w:ascii="Arial Narrow" w:hAnsi="Arial Narrow"/>
                <w:color w:val="000000"/>
                <w:sz w:val="16"/>
                <w:szCs w:val="16"/>
              </w:rPr>
              <w:t>-5,8</w:t>
            </w:r>
          </w:p>
        </w:tc>
      </w:tr>
      <w:tr w:rsidR="009971C6" w:rsidRPr="007253CD" w:rsidTr="0069738C">
        <w:trPr>
          <w:trHeight w:val="227"/>
          <w:jc w:val="center"/>
        </w:trPr>
        <w:tc>
          <w:tcPr>
            <w:tcW w:w="249" w:type="dxa"/>
            <w:tcBorders>
              <w:left w:val="single" w:sz="4" w:space="0" w:color="auto"/>
            </w:tcBorders>
            <w:shd w:val="clear" w:color="000000" w:fill="FFFFFF"/>
            <w:vAlign w:val="center"/>
            <w:hideMark/>
          </w:tcPr>
          <w:p w:rsidR="009971C6" w:rsidRPr="007253CD" w:rsidRDefault="009971C6" w:rsidP="003C79F3">
            <w:pPr>
              <w:jc w:val="center"/>
              <w:rPr>
                <w:rFonts w:ascii="Arial Narrow" w:hAnsi="Arial Narrow"/>
                <w:i/>
                <w:iCs/>
                <w:color w:val="272727"/>
                <w:sz w:val="16"/>
                <w:szCs w:val="16"/>
              </w:rPr>
            </w:pPr>
            <w:r w:rsidRPr="007253CD">
              <w:rPr>
                <w:rFonts w:ascii="Arial Narrow" w:hAnsi="Arial Narrow"/>
                <w:i/>
                <w:iCs/>
                <w:color w:val="272727"/>
                <w:sz w:val="16"/>
                <w:szCs w:val="16"/>
              </w:rPr>
              <w:t> </w:t>
            </w:r>
          </w:p>
        </w:tc>
        <w:tc>
          <w:tcPr>
            <w:tcW w:w="683" w:type="dxa"/>
            <w:gridSpan w:val="2"/>
            <w:shd w:val="clear" w:color="000000" w:fill="FFFFFF"/>
            <w:vAlign w:val="center"/>
            <w:hideMark/>
          </w:tcPr>
          <w:p w:rsidR="009971C6" w:rsidRPr="007253CD" w:rsidRDefault="009971C6" w:rsidP="003C79F3">
            <w:pPr>
              <w:rPr>
                <w:rFonts w:ascii="Calibri" w:hAnsi="Calibri"/>
                <w:color w:val="000000"/>
                <w:sz w:val="22"/>
                <w:szCs w:val="22"/>
              </w:rPr>
            </w:pPr>
          </w:p>
        </w:tc>
        <w:tc>
          <w:tcPr>
            <w:tcW w:w="5514" w:type="dxa"/>
            <w:gridSpan w:val="3"/>
            <w:shd w:val="clear" w:color="000000" w:fill="FFFFFF"/>
            <w:vAlign w:val="center"/>
          </w:tcPr>
          <w:p w:rsidR="009971C6" w:rsidRPr="007253CD" w:rsidRDefault="009971C6" w:rsidP="009971C6">
            <w:pPr>
              <w:rPr>
                <w:rFonts w:ascii="Arial Narrow" w:hAnsi="Arial Narrow"/>
                <w:i/>
                <w:iCs/>
                <w:color w:val="272727"/>
                <w:sz w:val="16"/>
                <w:szCs w:val="16"/>
              </w:rPr>
            </w:pPr>
            <w:r w:rsidRPr="007253CD">
              <w:rPr>
                <w:rFonts w:ascii="Arial Narrow" w:hAnsi="Arial Narrow"/>
                <w:i/>
                <w:iCs/>
                <w:color w:val="272727"/>
                <w:sz w:val="16"/>
                <w:szCs w:val="16"/>
              </w:rPr>
              <w:t>1δ1</w:t>
            </w:r>
            <w:r>
              <w:rPr>
                <w:rFonts w:ascii="Arial Narrow" w:hAnsi="Arial Narrow"/>
                <w:i/>
                <w:iCs/>
                <w:color w:val="272727"/>
                <w:sz w:val="16"/>
                <w:szCs w:val="16"/>
              </w:rPr>
              <w:t xml:space="preserve">.  </w:t>
            </w:r>
            <w:r w:rsidRPr="007253CD">
              <w:rPr>
                <w:rFonts w:ascii="Arial Narrow" w:hAnsi="Arial Narrow"/>
                <w:i/>
                <w:iCs/>
                <w:color w:val="272727"/>
                <w:sz w:val="16"/>
                <w:szCs w:val="16"/>
              </w:rPr>
              <w:t>.</w:t>
            </w:r>
            <w:r>
              <w:rPr>
                <w:rFonts w:ascii="Arial Narrow" w:hAnsi="Arial Narrow"/>
                <w:i/>
                <w:iCs/>
                <w:color w:val="272727"/>
                <w:sz w:val="16"/>
                <w:szCs w:val="16"/>
              </w:rPr>
              <w:t>Παροχές κύριας</w:t>
            </w:r>
            <w:r w:rsidRPr="007253CD">
              <w:rPr>
                <w:rFonts w:ascii="Arial Narrow" w:hAnsi="Arial Narrow"/>
                <w:i/>
                <w:iCs/>
                <w:color w:val="272727"/>
                <w:sz w:val="16"/>
                <w:szCs w:val="16"/>
              </w:rPr>
              <w:t xml:space="preserve"> σύνταξης</w:t>
            </w:r>
          </w:p>
        </w:tc>
        <w:tc>
          <w:tcPr>
            <w:tcW w:w="850" w:type="dxa"/>
            <w:tcBorders>
              <w:left w:val="nil"/>
              <w:right w:val="nil"/>
            </w:tcBorders>
            <w:shd w:val="clear" w:color="000000" w:fill="FFFFFF"/>
            <w:noWrap/>
            <w:vAlign w:val="center"/>
            <w:hideMark/>
          </w:tcPr>
          <w:p w:rsidR="009971C6" w:rsidRPr="007253CD" w:rsidRDefault="009971C6" w:rsidP="00704A0C">
            <w:pPr>
              <w:ind w:right="170"/>
              <w:jc w:val="right"/>
              <w:rPr>
                <w:rFonts w:ascii="Arial Narrow" w:hAnsi="Arial Narrow"/>
                <w:i/>
                <w:iCs/>
                <w:color w:val="272727"/>
                <w:sz w:val="16"/>
                <w:szCs w:val="16"/>
              </w:rPr>
            </w:pPr>
            <w:r w:rsidRPr="007253CD">
              <w:rPr>
                <w:rFonts w:ascii="Arial Narrow" w:hAnsi="Arial Narrow"/>
                <w:i/>
                <w:iCs/>
                <w:color w:val="272727"/>
                <w:sz w:val="16"/>
                <w:szCs w:val="16"/>
              </w:rPr>
              <w:t>14.</w:t>
            </w:r>
            <w:r>
              <w:rPr>
                <w:rFonts w:ascii="Arial Narrow" w:hAnsi="Arial Narrow"/>
                <w:i/>
                <w:iCs/>
                <w:color w:val="272727"/>
                <w:sz w:val="16"/>
                <w:szCs w:val="16"/>
              </w:rPr>
              <w:t>840</w:t>
            </w:r>
          </w:p>
        </w:tc>
        <w:tc>
          <w:tcPr>
            <w:tcW w:w="729" w:type="dxa"/>
            <w:tcBorders>
              <w:left w:val="nil"/>
              <w:right w:val="nil"/>
            </w:tcBorders>
            <w:shd w:val="clear" w:color="000000" w:fill="FFFFFF"/>
            <w:noWrap/>
            <w:vAlign w:val="center"/>
            <w:hideMark/>
          </w:tcPr>
          <w:p w:rsidR="009971C6" w:rsidRPr="007253CD" w:rsidRDefault="009971C6" w:rsidP="003C79F3">
            <w:pPr>
              <w:ind w:right="170"/>
              <w:jc w:val="right"/>
              <w:rPr>
                <w:rFonts w:ascii="Arial Narrow" w:hAnsi="Arial Narrow"/>
                <w:i/>
                <w:iCs/>
                <w:color w:val="272727"/>
                <w:sz w:val="16"/>
                <w:szCs w:val="16"/>
              </w:rPr>
            </w:pPr>
            <w:r>
              <w:rPr>
                <w:rFonts w:ascii="Arial Narrow" w:hAnsi="Arial Narrow"/>
                <w:i/>
                <w:iCs/>
                <w:color w:val="272727"/>
                <w:sz w:val="16"/>
                <w:szCs w:val="16"/>
              </w:rPr>
              <w:t>16.703</w:t>
            </w:r>
          </w:p>
        </w:tc>
        <w:tc>
          <w:tcPr>
            <w:tcW w:w="845" w:type="dxa"/>
            <w:tcBorders>
              <w:left w:val="nil"/>
              <w:right w:val="nil"/>
            </w:tcBorders>
            <w:shd w:val="clear" w:color="000000" w:fill="FFFFFF"/>
            <w:noWrap/>
            <w:vAlign w:val="center"/>
            <w:hideMark/>
          </w:tcPr>
          <w:p w:rsidR="009971C6" w:rsidRPr="007253CD" w:rsidRDefault="009971C6" w:rsidP="003C79F3">
            <w:pPr>
              <w:ind w:right="170"/>
              <w:jc w:val="right"/>
              <w:rPr>
                <w:rFonts w:ascii="Arial Narrow" w:hAnsi="Arial Narrow"/>
                <w:i/>
                <w:iCs/>
                <w:color w:val="272727"/>
                <w:sz w:val="16"/>
                <w:szCs w:val="16"/>
              </w:rPr>
            </w:pPr>
            <w:r>
              <w:rPr>
                <w:rFonts w:ascii="Arial Narrow" w:hAnsi="Arial Narrow"/>
                <w:i/>
                <w:iCs/>
                <w:color w:val="272727"/>
                <w:sz w:val="16"/>
                <w:szCs w:val="16"/>
              </w:rPr>
              <w:t>14.636</w:t>
            </w:r>
          </w:p>
        </w:tc>
        <w:tc>
          <w:tcPr>
            <w:tcW w:w="664" w:type="dxa"/>
            <w:tcBorders>
              <w:left w:val="nil"/>
              <w:right w:val="nil"/>
            </w:tcBorders>
            <w:shd w:val="clear" w:color="000000" w:fill="FFFFFF"/>
            <w:noWrap/>
            <w:vAlign w:val="center"/>
            <w:hideMark/>
          </w:tcPr>
          <w:p w:rsidR="009971C6" w:rsidRPr="007253CD" w:rsidRDefault="009971C6" w:rsidP="00853E08">
            <w:pPr>
              <w:ind w:right="113"/>
              <w:jc w:val="right"/>
              <w:rPr>
                <w:rFonts w:ascii="Arial Narrow" w:hAnsi="Arial Narrow"/>
                <w:i/>
                <w:iCs/>
                <w:color w:val="272727"/>
                <w:sz w:val="16"/>
                <w:szCs w:val="16"/>
              </w:rPr>
            </w:pPr>
            <w:r>
              <w:rPr>
                <w:rFonts w:ascii="Arial Narrow" w:hAnsi="Arial Narrow"/>
                <w:i/>
                <w:iCs/>
                <w:color w:val="272727"/>
                <w:sz w:val="16"/>
                <w:szCs w:val="16"/>
              </w:rPr>
              <w:t>12,6</w:t>
            </w:r>
          </w:p>
        </w:tc>
        <w:tc>
          <w:tcPr>
            <w:tcW w:w="549" w:type="dxa"/>
            <w:tcBorders>
              <w:left w:val="nil"/>
              <w:right w:val="single" w:sz="4" w:space="0" w:color="auto"/>
            </w:tcBorders>
            <w:shd w:val="clear" w:color="000000" w:fill="FFFFFF"/>
            <w:noWrap/>
            <w:vAlign w:val="center"/>
            <w:hideMark/>
          </w:tcPr>
          <w:p w:rsidR="009971C6" w:rsidRPr="007253CD" w:rsidRDefault="009971C6" w:rsidP="00853E08">
            <w:pPr>
              <w:ind w:right="113"/>
              <w:jc w:val="right"/>
              <w:rPr>
                <w:rFonts w:ascii="Arial Narrow" w:hAnsi="Arial Narrow"/>
                <w:i/>
                <w:iCs/>
                <w:color w:val="272727"/>
                <w:sz w:val="16"/>
                <w:szCs w:val="16"/>
              </w:rPr>
            </w:pPr>
            <w:r>
              <w:rPr>
                <w:rFonts w:ascii="Arial Narrow" w:hAnsi="Arial Narrow"/>
                <w:i/>
                <w:iCs/>
                <w:color w:val="272727"/>
                <w:sz w:val="16"/>
                <w:szCs w:val="16"/>
              </w:rPr>
              <w:t>-12,4</w:t>
            </w:r>
          </w:p>
        </w:tc>
      </w:tr>
      <w:tr w:rsidR="009971C6" w:rsidRPr="007253CD" w:rsidTr="0069738C">
        <w:trPr>
          <w:trHeight w:val="227"/>
          <w:jc w:val="center"/>
        </w:trPr>
        <w:tc>
          <w:tcPr>
            <w:tcW w:w="249" w:type="dxa"/>
            <w:tcBorders>
              <w:left w:val="single" w:sz="4" w:space="0" w:color="auto"/>
            </w:tcBorders>
            <w:shd w:val="clear" w:color="000000" w:fill="FFFFFF"/>
            <w:vAlign w:val="center"/>
            <w:hideMark/>
          </w:tcPr>
          <w:p w:rsidR="009971C6" w:rsidRPr="007253CD" w:rsidRDefault="009971C6" w:rsidP="003C79F3">
            <w:pPr>
              <w:jc w:val="center"/>
              <w:rPr>
                <w:rFonts w:ascii="Arial Narrow" w:hAnsi="Arial Narrow"/>
                <w:i/>
                <w:iCs/>
                <w:color w:val="272727"/>
                <w:sz w:val="16"/>
                <w:szCs w:val="16"/>
              </w:rPr>
            </w:pPr>
            <w:r w:rsidRPr="007253CD">
              <w:rPr>
                <w:rFonts w:ascii="Arial Narrow" w:hAnsi="Arial Narrow"/>
                <w:i/>
                <w:iCs/>
                <w:color w:val="272727"/>
                <w:sz w:val="16"/>
                <w:szCs w:val="16"/>
              </w:rPr>
              <w:t> </w:t>
            </w:r>
          </w:p>
        </w:tc>
        <w:tc>
          <w:tcPr>
            <w:tcW w:w="683" w:type="dxa"/>
            <w:gridSpan w:val="2"/>
            <w:shd w:val="clear" w:color="000000" w:fill="FFFFFF"/>
            <w:vAlign w:val="center"/>
            <w:hideMark/>
          </w:tcPr>
          <w:p w:rsidR="009971C6" w:rsidRPr="007253CD" w:rsidRDefault="009971C6" w:rsidP="003C79F3">
            <w:pPr>
              <w:rPr>
                <w:rFonts w:ascii="Calibri" w:hAnsi="Calibri"/>
                <w:color w:val="000000"/>
                <w:sz w:val="22"/>
                <w:szCs w:val="22"/>
              </w:rPr>
            </w:pPr>
          </w:p>
        </w:tc>
        <w:tc>
          <w:tcPr>
            <w:tcW w:w="5514" w:type="dxa"/>
            <w:gridSpan w:val="3"/>
            <w:shd w:val="clear" w:color="000000" w:fill="FFFFFF"/>
            <w:vAlign w:val="center"/>
          </w:tcPr>
          <w:p w:rsidR="009971C6" w:rsidRPr="007253CD" w:rsidRDefault="009971C6" w:rsidP="009971C6">
            <w:pPr>
              <w:rPr>
                <w:rFonts w:ascii="Arial Narrow" w:hAnsi="Arial Narrow"/>
                <w:i/>
                <w:iCs/>
                <w:color w:val="272727"/>
                <w:sz w:val="16"/>
                <w:szCs w:val="16"/>
              </w:rPr>
            </w:pPr>
            <w:r w:rsidRPr="007253CD">
              <w:rPr>
                <w:rFonts w:ascii="Arial Narrow" w:hAnsi="Arial Narrow"/>
                <w:i/>
                <w:iCs/>
                <w:color w:val="272727"/>
                <w:sz w:val="16"/>
                <w:szCs w:val="16"/>
              </w:rPr>
              <w:t>1δ2.</w:t>
            </w:r>
            <w:r>
              <w:rPr>
                <w:rFonts w:ascii="Arial Narrow" w:hAnsi="Arial Narrow"/>
                <w:i/>
                <w:iCs/>
                <w:color w:val="272727"/>
                <w:sz w:val="16"/>
                <w:szCs w:val="16"/>
              </w:rPr>
              <w:t xml:space="preserve">  Παροχές</w:t>
            </w:r>
            <w:r w:rsidRPr="007253CD">
              <w:rPr>
                <w:rFonts w:ascii="Arial Narrow" w:hAnsi="Arial Narrow"/>
                <w:i/>
                <w:iCs/>
                <w:color w:val="272727"/>
                <w:sz w:val="16"/>
                <w:szCs w:val="16"/>
              </w:rPr>
              <w:t xml:space="preserve"> σε ανέργους (ΟΑΕΔ)</w:t>
            </w:r>
          </w:p>
        </w:tc>
        <w:tc>
          <w:tcPr>
            <w:tcW w:w="850" w:type="dxa"/>
            <w:tcBorders>
              <w:left w:val="nil"/>
              <w:right w:val="nil"/>
            </w:tcBorders>
            <w:shd w:val="clear" w:color="000000" w:fill="FFFFFF"/>
            <w:noWrap/>
            <w:vAlign w:val="center"/>
            <w:hideMark/>
          </w:tcPr>
          <w:p w:rsidR="009971C6" w:rsidRPr="007253CD" w:rsidRDefault="009971C6" w:rsidP="003C79F3">
            <w:pPr>
              <w:ind w:right="170"/>
              <w:jc w:val="right"/>
              <w:rPr>
                <w:rFonts w:ascii="Arial Narrow" w:hAnsi="Arial Narrow"/>
                <w:i/>
                <w:iCs/>
                <w:color w:val="272727"/>
                <w:sz w:val="16"/>
                <w:szCs w:val="16"/>
              </w:rPr>
            </w:pPr>
            <w:r>
              <w:rPr>
                <w:rFonts w:ascii="Arial Narrow" w:hAnsi="Arial Narrow"/>
                <w:i/>
                <w:iCs/>
                <w:color w:val="272727"/>
                <w:sz w:val="16"/>
                <w:szCs w:val="16"/>
              </w:rPr>
              <w:t>480</w:t>
            </w:r>
          </w:p>
        </w:tc>
        <w:tc>
          <w:tcPr>
            <w:tcW w:w="729" w:type="dxa"/>
            <w:tcBorders>
              <w:left w:val="nil"/>
              <w:right w:val="nil"/>
            </w:tcBorders>
            <w:shd w:val="clear" w:color="000000" w:fill="FFFFFF"/>
            <w:noWrap/>
            <w:vAlign w:val="center"/>
            <w:hideMark/>
          </w:tcPr>
          <w:p w:rsidR="009971C6" w:rsidRPr="007253CD" w:rsidRDefault="009971C6" w:rsidP="003C79F3">
            <w:pPr>
              <w:ind w:right="170"/>
              <w:jc w:val="right"/>
              <w:rPr>
                <w:rFonts w:ascii="Arial Narrow" w:hAnsi="Arial Narrow"/>
                <w:i/>
                <w:iCs/>
                <w:color w:val="272727"/>
                <w:sz w:val="16"/>
                <w:szCs w:val="16"/>
              </w:rPr>
            </w:pPr>
            <w:r>
              <w:rPr>
                <w:rFonts w:ascii="Arial Narrow" w:hAnsi="Arial Narrow"/>
                <w:i/>
                <w:iCs/>
                <w:color w:val="272727"/>
                <w:sz w:val="16"/>
                <w:szCs w:val="16"/>
              </w:rPr>
              <w:t>585</w:t>
            </w:r>
          </w:p>
        </w:tc>
        <w:tc>
          <w:tcPr>
            <w:tcW w:w="845" w:type="dxa"/>
            <w:tcBorders>
              <w:left w:val="nil"/>
              <w:right w:val="nil"/>
            </w:tcBorders>
            <w:shd w:val="clear" w:color="000000" w:fill="FFFFFF"/>
            <w:noWrap/>
            <w:vAlign w:val="center"/>
            <w:hideMark/>
          </w:tcPr>
          <w:p w:rsidR="009971C6" w:rsidRPr="007253CD" w:rsidRDefault="009971C6" w:rsidP="003C79F3">
            <w:pPr>
              <w:ind w:right="170"/>
              <w:jc w:val="right"/>
              <w:rPr>
                <w:rFonts w:ascii="Arial Narrow" w:hAnsi="Arial Narrow"/>
                <w:i/>
                <w:iCs/>
                <w:color w:val="272727"/>
                <w:sz w:val="16"/>
                <w:szCs w:val="16"/>
              </w:rPr>
            </w:pPr>
            <w:r>
              <w:rPr>
                <w:rFonts w:ascii="Arial Narrow" w:hAnsi="Arial Narrow"/>
                <w:i/>
                <w:iCs/>
                <w:color w:val="272727"/>
                <w:sz w:val="16"/>
                <w:szCs w:val="16"/>
              </w:rPr>
              <w:t>1.076</w:t>
            </w:r>
          </w:p>
        </w:tc>
        <w:tc>
          <w:tcPr>
            <w:tcW w:w="664" w:type="dxa"/>
            <w:tcBorders>
              <w:left w:val="nil"/>
              <w:right w:val="nil"/>
            </w:tcBorders>
            <w:shd w:val="clear" w:color="000000" w:fill="FFFFFF"/>
            <w:noWrap/>
            <w:vAlign w:val="center"/>
            <w:hideMark/>
          </w:tcPr>
          <w:p w:rsidR="009971C6" w:rsidRPr="007253CD" w:rsidRDefault="009971C6" w:rsidP="00853E08">
            <w:pPr>
              <w:ind w:right="113"/>
              <w:jc w:val="right"/>
              <w:rPr>
                <w:rFonts w:ascii="Arial Narrow" w:hAnsi="Arial Narrow"/>
                <w:i/>
                <w:iCs/>
                <w:color w:val="272727"/>
                <w:sz w:val="16"/>
                <w:szCs w:val="16"/>
              </w:rPr>
            </w:pPr>
            <w:r>
              <w:rPr>
                <w:rFonts w:ascii="Arial Narrow" w:hAnsi="Arial Narrow"/>
                <w:i/>
                <w:iCs/>
                <w:color w:val="272727"/>
                <w:sz w:val="16"/>
                <w:szCs w:val="16"/>
              </w:rPr>
              <w:t>21,8</w:t>
            </w:r>
          </w:p>
        </w:tc>
        <w:tc>
          <w:tcPr>
            <w:tcW w:w="549" w:type="dxa"/>
            <w:tcBorders>
              <w:left w:val="nil"/>
              <w:right w:val="single" w:sz="4" w:space="0" w:color="auto"/>
            </w:tcBorders>
            <w:shd w:val="clear" w:color="000000" w:fill="FFFFFF"/>
            <w:noWrap/>
            <w:vAlign w:val="center"/>
            <w:hideMark/>
          </w:tcPr>
          <w:p w:rsidR="009971C6" w:rsidRPr="007253CD" w:rsidRDefault="009971C6" w:rsidP="00853E08">
            <w:pPr>
              <w:ind w:right="113"/>
              <w:jc w:val="right"/>
              <w:rPr>
                <w:rFonts w:ascii="Arial Narrow" w:hAnsi="Arial Narrow"/>
                <w:i/>
                <w:iCs/>
                <w:color w:val="272727"/>
                <w:sz w:val="16"/>
                <w:szCs w:val="16"/>
              </w:rPr>
            </w:pPr>
            <w:r>
              <w:rPr>
                <w:rFonts w:ascii="Arial Narrow" w:hAnsi="Arial Narrow"/>
                <w:i/>
                <w:iCs/>
                <w:color w:val="272727"/>
                <w:sz w:val="16"/>
                <w:szCs w:val="16"/>
              </w:rPr>
              <w:t>84,0</w:t>
            </w:r>
          </w:p>
        </w:tc>
      </w:tr>
      <w:tr w:rsidR="009971C6" w:rsidRPr="007253CD" w:rsidTr="0069738C">
        <w:trPr>
          <w:trHeight w:val="227"/>
          <w:jc w:val="center"/>
        </w:trPr>
        <w:tc>
          <w:tcPr>
            <w:tcW w:w="249" w:type="dxa"/>
            <w:tcBorders>
              <w:left w:val="single" w:sz="4" w:space="0" w:color="auto"/>
            </w:tcBorders>
            <w:shd w:val="clear" w:color="000000" w:fill="FFFFFF"/>
            <w:vAlign w:val="center"/>
            <w:hideMark/>
          </w:tcPr>
          <w:p w:rsidR="009971C6" w:rsidRPr="007253CD" w:rsidRDefault="009971C6" w:rsidP="003C79F3">
            <w:pPr>
              <w:jc w:val="center"/>
              <w:rPr>
                <w:rFonts w:ascii="Arial Narrow" w:hAnsi="Arial Narrow"/>
                <w:i/>
                <w:iCs/>
                <w:color w:val="272727"/>
                <w:sz w:val="16"/>
                <w:szCs w:val="16"/>
              </w:rPr>
            </w:pPr>
            <w:r w:rsidRPr="007253CD">
              <w:rPr>
                <w:rFonts w:ascii="Arial Narrow" w:hAnsi="Arial Narrow"/>
                <w:i/>
                <w:iCs/>
                <w:color w:val="272727"/>
                <w:sz w:val="16"/>
                <w:szCs w:val="16"/>
              </w:rPr>
              <w:t> </w:t>
            </w:r>
          </w:p>
        </w:tc>
        <w:tc>
          <w:tcPr>
            <w:tcW w:w="683" w:type="dxa"/>
            <w:gridSpan w:val="2"/>
            <w:shd w:val="clear" w:color="000000" w:fill="FFFFFF"/>
            <w:vAlign w:val="center"/>
            <w:hideMark/>
          </w:tcPr>
          <w:p w:rsidR="009971C6" w:rsidRPr="007253CD" w:rsidRDefault="009971C6" w:rsidP="003C79F3">
            <w:pPr>
              <w:rPr>
                <w:rFonts w:ascii="Calibri" w:hAnsi="Calibri"/>
                <w:color w:val="000000"/>
                <w:sz w:val="22"/>
                <w:szCs w:val="22"/>
              </w:rPr>
            </w:pPr>
          </w:p>
        </w:tc>
        <w:tc>
          <w:tcPr>
            <w:tcW w:w="5514" w:type="dxa"/>
            <w:gridSpan w:val="3"/>
            <w:shd w:val="clear" w:color="000000" w:fill="FFFFFF"/>
            <w:vAlign w:val="center"/>
          </w:tcPr>
          <w:p w:rsidR="009971C6" w:rsidRPr="007253CD" w:rsidRDefault="009971C6" w:rsidP="009971C6">
            <w:pPr>
              <w:rPr>
                <w:rFonts w:ascii="Arial Narrow" w:hAnsi="Arial Narrow"/>
                <w:i/>
                <w:iCs/>
                <w:color w:val="272727"/>
                <w:sz w:val="16"/>
                <w:szCs w:val="16"/>
              </w:rPr>
            </w:pPr>
            <w:r w:rsidRPr="007253CD">
              <w:rPr>
                <w:rFonts w:ascii="Arial Narrow" w:hAnsi="Arial Narrow"/>
                <w:i/>
                <w:iCs/>
                <w:color w:val="272727"/>
                <w:sz w:val="16"/>
                <w:szCs w:val="16"/>
              </w:rPr>
              <w:t>1δ3.</w:t>
            </w:r>
            <w:r>
              <w:rPr>
                <w:rFonts w:ascii="Arial Narrow" w:hAnsi="Arial Narrow"/>
                <w:i/>
                <w:iCs/>
                <w:color w:val="272727"/>
                <w:sz w:val="16"/>
                <w:szCs w:val="16"/>
              </w:rPr>
              <w:t xml:space="preserve">  Παροχές</w:t>
            </w:r>
            <w:r w:rsidRPr="007253CD">
              <w:rPr>
                <w:rFonts w:ascii="Arial Narrow" w:hAnsi="Arial Narrow"/>
                <w:i/>
                <w:iCs/>
                <w:color w:val="272727"/>
                <w:sz w:val="16"/>
                <w:szCs w:val="16"/>
              </w:rPr>
              <w:t xml:space="preserve"> υγείας (ΕΟΠΥΥ)</w:t>
            </w:r>
          </w:p>
        </w:tc>
        <w:tc>
          <w:tcPr>
            <w:tcW w:w="850" w:type="dxa"/>
            <w:tcBorders>
              <w:left w:val="nil"/>
              <w:right w:val="nil"/>
            </w:tcBorders>
            <w:shd w:val="clear" w:color="000000" w:fill="FFFFFF"/>
            <w:noWrap/>
            <w:vAlign w:val="center"/>
            <w:hideMark/>
          </w:tcPr>
          <w:p w:rsidR="009971C6" w:rsidRPr="007253CD" w:rsidRDefault="009971C6" w:rsidP="003C79F3">
            <w:pPr>
              <w:ind w:right="170"/>
              <w:jc w:val="right"/>
              <w:rPr>
                <w:rFonts w:ascii="Arial Narrow" w:hAnsi="Arial Narrow"/>
                <w:i/>
                <w:iCs/>
                <w:color w:val="272727"/>
                <w:sz w:val="16"/>
                <w:szCs w:val="16"/>
              </w:rPr>
            </w:pPr>
            <w:r>
              <w:rPr>
                <w:rFonts w:ascii="Arial Narrow" w:hAnsi="Arial Narrow"/>
                <w:i/>
                <w:iCs/>
                <w:color w:val="272727"/>
                <w:sz w:val="16"/>
                <w:szCs w:val="16"/>
              </w:rPr>
              <w:t>171</w:t>
            </w:r>
          </w:p>
        </w:tc>
        <w:tc>
          <w:tcPr>
            <w:tcW w:w="729" w:type="dxa"/>
            <w:tcBorders>
              <w:left w:val="nil"/>
              <w:right w:val="nil"/>
            </w:tcBorders>
            <w:shd w:val="clear" w:color="000000" w:fill="FFFFFF"/>
            <w:noWrap/>
            <w:vAlign w:val="center"/>
            <w:hideMark/>
          </w:tcPr>
          <w:p w:rsidR="009971C6" w:rsidRPr="007253CD" w:rsidRDefault="009971C6" w:rsidP="003C79F3">
            <w:pPr>
              <w:ind w:right="170"/>
              <w:jc w:val="right"/>
              <w:rPr>
                <w:rFonts w:ascii="Arial Narrow" w:hAnsi="Arial Narrow"/>
                <w:i/>
                <w:iCs/>
                <w:color w:val="272727"/>
                <w:sz w:val="16"/>
                <w:szCs w:val="16"/>
              </w:rPr>
            </w:pPr>
            <w:r>
              <w:rPr>
                <w:rFonts w:ascii="Arial Narrow" w:hAnsi="Arial Narrow"/>
                <w:i/>
                <w:iCs/>
                <w:color w:val="272727"/>
                <w:sz w:val="16"/>
                <w:szCs w:val="16"/>
              </w:rPr>
              <w:t>608</w:t>
            </w:r>
          </w:p>
        </w:tc>
        <w:tc>
          <w:tcPr>
            <w:tcW w:w="845" w:type="dxa"/>
            <w:tcBorders>
              <w:left w:val="nil"/>
              <w:right w:val="nil"/>
            </w:tcBorders>
            <w:shd w:val="clear" w:color="000000" w:fill="FFFFFF"/>
            <w:noWrap/>
            <w:vAlign w:val="center"/>
            <w:hideMark/>
          </w:tcPr>
          <w:p w:rsidR="009971C6" w:rsidRPr="007253CD" w:rsidRDefault="009971C6" w:rsidP="003C79F3">
            <w:pPr>
              <w:ind w:right="170"/>
              <w:jc w:val="right"/>
              <w:rPr>
                <w:rFonts w:ascii="Arial Narrow" w:hAnsi="Arial Narrow"/>
                <w:i/>
                <w:iCs/>
                <w:color w:val="272727"/>
                <w:sz w:val="16"/>
                <w:szCs w:val="16"/>
              </w:rPr>
            </w:pPr>
            <w:r>
              <w:rPr>
                <w:rFonts w:ascii="Arial Narrow" w:hAnsi="Arial Narrow"/>
                <w:i/>
                <w:iCs/>
                <w:color w:val="272727"/>
                <w:sz w:val="16"/>
                <w:szCs w:val="16"/>
              </w:rPr>
              <w:t>300</w:t>
            </w:r>
          </w:p>
        </w:tc>
        <w:tc>
          <w:tcPr>
            <w:tcW w:w="664" w:type="dxa"/>
            <w:tcBorders>
              <w:left w:val="nil"/>
              <w:right w:val="nil"/>
            </w:tcBorders>
            <w:shd w:val="clear" w:color="000000" w:fill="FFFFFF"/>
            <w:noWrap/>
            <w:vAlign w:val="center"/>
            <w:hideMark/>
          </w:tcPr>
          <w:p w:rsidR="009971C6" w:rsidRPr="007253CD" w:rsidRDefault="009971C6" w:rsidP="00853E08">
            <w:pPr>
              <w:ind w:right="113"/>
              <w:jc w:val="right"/>
              <w:rPr>
                <w:rFonts w:ascii="Arial Narrow" w:hAnsi="Arial Narrow"/>
                <w:i/>
                <w:iCs/>
                <w:color w:val="272727"/>
                <w:sz w:val="16"/>
                <w:szCs w:val="16"/>
              </w:rPr>
            </w:pPr>
            <w:r>
              <w:rPr>
                <w:rFonts w:ascii="Arial Narrow" w:hAnsi="Arial Narrow"/>
                <w:i/>
                <w:iCs/>
                <w:color w:val="272727"/>
                <w:sz w:val="16"/>
                <w:szCs w:val="16"/>
              </w:rPr>
              <w:t>256,3</w:t>
            </w:r>
          </w:p>
        </w:tc>
        <w:tc>
          <w:tcPr>
            <w:tcW w:w="549" w:type="dxa"/>
            <w:tcBorders>
              <w:left w:val="nil"/>
              <w:right w:val="single" w:sz="4" w:space="0" w:color="auto"/>
            </w:tcBorders>
            <w:shd w:val="clear" w:color="000000" w:fill="FFFFFF"/>
            <w:noWrap/>
            <w:vAlign w:val="center"/>
            <w:hideMark/>
          </w:tcPr>
          <w:p w:rsidR="009971C6" w:rsidRPr="007253CD" w:rsidRDefault="009971C6" w:rsidP="00853E08">
            <w:pPr>
              <w:ind w:right="113"/>
              <w:jc w:val="right"/>
              <w:rPr>
                <w:rFonts w:ascii="Arial Narrow" w:hAnsi="Arial Narrow"/>
                <w:i/>
                <w:iCs/>
                <w:color w:val="272727"/>
                <w:sz w:val="16"/>
                <w:szCs w:val="16"/>
              </w:rPr>
            </w:pPr>
            <w:r>
              <w:rPr>
                <w:rFonts w:ascii="Arial Narrow" w:hAnsi="Arial Narrow"/>
                <w:i/>
                <w:iCs/>
                <w:color w:val="272727"/>
                <w:sz w:val="16"/>
                <w:szCs w:val="16"/>
              </w:rPr>
              <w:t>-50,6</w:t>
            </w:r>
          </w:p>
        </w:tc>
      </w:tr>
      <w:tr w:rsidR="009971C6" w:rsidRPr="007253CD" w:rsidTr="0069738C">
        <w:trPr>
          <w:trHeight w:val="227"/>
          <w:jc w:val="center"/>
        </w:trPr>
        <w:tc>
          <w:tcPr>
            <w:tcW w:w="249" w:type="dxa"/>
            <w:tcBorders>
              <w:left w:val="single" w:sz="4" w:space="0" w:color="auto"/>
            </w:tcBorders>
            <w:shd w:val="clear" w:color="000000" w:fill="FFFFFF"/>
            <w:vAlign w:val="center"/>
            <w:hideMark/>
          </w:tcPr>
          <w:p w:rsidR="009971C6" w:rsidRPr="007253CD" w:rsidRDefault="009971C6" w:rsidP="003C79F3">
            <w:pPr>
              <w:jc w:val="center"/>
              <w:rPr>
                <w:rFonts w:ascii="Arial Narrow" w:hAnsi="Arial Narrow"/>
                <w:i/>
                <w:iCs/>
                <w:color w:val="272727"/>
                <w:sz w:val="16"/>
                <w:szCs w:val="16"/>
              </w:rPr>
            </w:pPr>
            <w:r w:rsidRPr="007253CD">
              <w:rPr>
                <w:rFonts w:ascii="Arial Narrow" w:hAnsi="Arial Narrow"/>
                <w:i/>
                <w:iCs/>
                <w:color w:val="272727"/>
                <w:sz w:val="16"/>
                <w:szCs w:val="16"/>
              </w:rPr>
              <w:t> </w:t>
            </w:r>
          </w:p>
        </w:tc>
        <w:tc>
          <w:tcPr>
            <w:tcW w:w="683" w:type="dxa"/>
            <w:gridSpan w:val="2"/>
            <w:shd w:val="clear" w:color="000000" w:fill="FFFFFF"/>
            <w:vAlign w:val="center"/>
            <w:hideMark/>
          </w:tcPr>
          <w:p w:rsidR="009971C6" w:rsidRPr="007253CD" w:rsidRDefault="009971C6" w:rsidP="003C79F3">
            <w:pPr>
              <w:rPr>
                <w:rFonts w:ascii="Calibri" w:hAnsi="Calibri"/>
                <w:color w:val="000000"/>
                <w:sz w:val="22"/>
                <w:szCs w:val="22"/>
              </w:rPr>
            </w:pPr>
          </w:p>
        </w:tc>
        <w:tc>
          <w:tcPr>
            <w:tcW w:w="5514" w:type="dxa"/>
            <w:gridSpan w:val="3"/>
            <w:shd w:val="clear" w:color="000000" w:fill="FFFFFF"/>
            <w:vAlign w:val="center"/>
          </w:tcPr>
          <w:p w:rsidR="009971C6" w:rsidRPr="007253CD" w:rsidRDefault="009971C6" w:rsidP="009971C6">
            <w:pPr>
              <w:rPr>
                <w:rFonts w:ascii="Arial Narrow" w:hAnsi="Arial Narrow"/>
                <w:i/>
                <w:iCs/>
                <w:color w:val="272727"/>
                <w:sz w:val="16"/>
                <w:szCs w:val="16"/>
              </w:rPr>
            </w:pPr>
            <w:r w:rsidRPr="007253CD">
              <w:rPr>
                <w:rFonts w:ascii="Arial Narrow" w:hAnsi="Arial Narrow"/>
                <w:i/>
                <w:iCs/>
                <w:color w:val="272727"/>
                <w:sz w:val="16"/>
                <w:szCs w:val="16"/>
              </w:rPr>
              <w:t>1δ4.</w:t>
            </w:r>
            <w:r>
              <w:rPr>
                <w:rFonts w:ascii="Arial Narrow" w:hAnsi="Arial Narrow"/>
                <w:i/>
                <w:iCs/>
                <w:color w:val="272727"/>
                <w:sz w:val="16"/>
                <w:szCs w:val="16"/>
              </w:rPr>
              <w:t xml:space="preserve">  Παροχές</w:t>
            </w:r>
            <w:r w:rsidRPr="007253CD">
              <w:rPr>
                <w:rFonts w:ascii="Arial Narrow" w:hAnsi="Arial Narrow"/>
                <w:i/>
                <w:iCs/>
                <w:color w:val="272727"/>
                <w:sz w:val="16"/>
                <w:szCs w:val="16"/>
              </w:rPr>
              <w:t xml:space="preserve"> προνοιακού χαρακτήρα</w:t>
            </w:r>
          </w:p>
        </w:tc>
        <w:tc>
          <w:tcPr>
            <w:tcW w:w="850" w:type="dxa"/>
            <w:tcBorders>
              <w:left w:val="nil"/>
              <w:right w:val="nil"/>
            </w:tcBorders>
            <w:shd w:val="clear" w:color="000000" w:fill="FFFFFF"/>
            <w:noWrap/>
            <w:vAlign w:val="center"/>
            <w:hideMark/>
          </w:tcPr>
          <w:p w:rsidR="009971C6" w:rsidRPr="007253CD" w:rsidRDefault="009971C6" w:rsidP="003C79F3">
            <w:pPr>
              <w:ind w:right="170"/>
              <w:jc w:val="right"/>
              <w:rPr>
                <w:rFonts w:ascii="Arial Narrow" w:hAnsi="Arial Narrow"/>
                <w:i/>
                <w:iCs/>
                <w:color w:val="272727"/>
                <w:sz w:val="16"/>
                <w:szCs w:val="16"/>
              </w:rPr>
            </w:pPr>
            <w:r>
              <w:rPr>
                <w:rFonts w:ascii="Arial Narrow" w:hAnsi="Arial Narrow"/>
                <w:i/>
                <w:iCs/>
                <w:color w:val="272727"/>
                <w:sz w:val="16"/>
                <w:szCs w:val="16"/>
              </w:rPr>
              <w:t>3.070</w:t>
            </w:r>
          </w:p>
        </w:tc>
        <w:tc>
          <w:tcPr>
            <w:tcW w:w="729" w:type="dxa"/>
            <w:tcBorders>
              <w:left w:val="nil"/>
              <w:right w:val="nil"/>
            </w:tcBorders>
            <w:shd w:val="clear" w:color="000000" w:fill="FFFFFF"/>
            <w:noWrap/>
            <w:vAlign w:val="center"/>
            <w:hideMark/>
          </w:tcPr>
          <w:p w:rsidR="009971C6" w:rsidRPr="007253CD" w:rsidRDefault="009971C6" w:rsidP="003C79F3">
            <w:pPr>
              <w:ind w:right="170"/>
              <w:jc w:val="right"/>
              <w:rPr>
                <w:rFonts w:ascii="Arial Narrow" w:hAnsi="Arial Narrow"/>
                <w:i/>
                <w:iCs/>
                <w:color w:val="272727"/>
                <w:sz w:val="16"/>
                <w:szCs w:val="16"/>
              </w:rPr>
            </w:pPr>
            <w:r>
              <w:rPr>
                <w:rFonts w:ascii="Arial Narrow" w:hAnsi="Arial Narrow"/>
                <w:i/>
                <w:iCs/>
                <w:color w:val="272727"/>
                <w:sz w:val="16"/>
                <w:szCs w:val="16"/>
              </w:rPr>
              <w:t>3.368</w:t>
            </w:r>
          </w:p>
        </w:tc>
        <w:tc>
          <w:tcPr>
            <w:tcW w:w="845" w:type="dxa"/>
            <w:tcBorders>
              <w:left w:val="nil"/>
              <w:right w:val="nil"/>
            </w:tcBorders>
            <w:shd w:val="clear" w:color="000000" w:fill="FFFFFF"/>
            <w:noWrap/>
            <w:vAlign w:val="center"/>
            <w:hideMark/>
          </w:tcPr>
          <w:p w:rsidR="009971C6" w:rsidRPr="007253CD" w:rsidRDefault="009971C6" w:rsidP="003C79F3">
            <w:pPr>
              <w:ind w:right="170"/>
              <w:jc w:val="right"/>
              <w:rPr>
                <w:rFonts w:ascii="Arial Narrow" w:hAnsi="Arial Narrow"/>
                <w:i/>
                <w:iCs/>
                <w:color w:val="272727"/>
                <w:sz w:val="16"/>
                <w:szCs w:val="16"/>
              </w:rPr>
            </w:pPr>
            <w:r>
              <w:rPr>
                <w:rFonts w:ascii="Arial Narrow" w:hAnsi="Arial Narrow"/>
                <w:i/>
                <w:iCs/>
                <w:color w:val="272727"/>
                <w:sz w:val="16"/>
                <w:szCs w:val="16"/>
              </w:rPr>
              <w:t>4.001</w:t>
            </w:r>
          </w:p>
        </w:tc>
        <w:tc>
          <w:tcPr>
            <w:tcW w:w="664" w:type="dxa"/>
            <w:tcBorders>
              <w:left w:val="nil"/>
              <w:right w:val="nil"/>
            </w:tcBorders>
            <w:shd w:val="clear" w:color="000000" w:fill="FFFFFF"/>
            <w:noWrap/>
            <w:vAlign w:val="center"/>
            <w:hideMark/>
          </w:tcPr>
          <w:p w:rsidR="009971C6" w:rsidRPr="007253CD" w:rsidRDefault="009971C6" w:rsidP="00853E08">
            <w:pPr>
              <w:ind w:right="113"/>
              <w:jc w:val="right"/>
              <w:rPr>
                <w:rFonts w:ascii="Arial Narrow" w:hAnsi="Arial Narrow"/>
                <w:i/>
                <w:iCs/>
                <w:color w:val="272727"/>
                <w:sz w:val="16"/>
                <w:szCs w:val="16"/>
              </w:rPr>
            </w:pPr>
            <w:r>
              <w:rPr>
                <w:rFonts w:ascii="Arial Narrow" w:hAnsi="Arial Narrow"/>
                <w:i/>
                <w:iCs/>
                <w:color w:val="272727"/>
                <w:sz w:val="16"/>
                <w:szCs w:val="16"/>
              </w:rPr>
              <w:t>9,7</w:t>
            </w:r>
          </w:p>
        </w:tc>
        <w:tc>
          <w:tcPr>
            <w:tcW w:w="549" w:type="dxa"/>
            <w:tcBorders>
              <w:left w:val="nil"/>
              <w:right w:val="single" w:sz="4" w:space="0" w:color="auto"/>
            </w:tcBorders>
            <w:shd w:val="clear" w:color="000000" w:fill="FFFFFF"/>
            <w:noWrap/>
            <w:vAlign w:val="center"/>
            <w:hideMark/>
          </w:tcPr>
          <w:p w:rsidR="009971C6" w:rsidRPr="007253CD" w:rsidRDefault="009971C6" w:rsidP="00853E08">
            <w:pPr>
              <w:ind w:right="113"/>
              <w:jc w:val="right"/>
              <w:rPr>
                <w:rFonts w:ascii="Arial Narrow" w:hAnsi="Arial Narrow"/>
                <w:i/>
                <w:iCs/>
                <w:color w:val="272727"/>
                <w:sz w:val="16"/>
                <w:szCs w:val="16"/>
              </w:rPr>
            </w:pPr>
            <w:r>
              <w:rPr>
                <w:rFonts w:ascii="Arial Narrow" w:hAnsi="Arial Narrow"/>
                <w:i/>
                <w:iCs/>
                <w:color w:val="272727"/>
                <w:sz w:val="16"/>
                <w:szCs w:val="16"/>
              </w:rPr>
              <w:t>18,8</w:t>
            </w:r>
          </w:p>
        </w:tc>
      </w:tr>
      <w:tr w:rsidR="009971C6" w:rsidRPr="007253CD" w:rsidTr="0069738C">
        <w:trPr>
          <w:trHeight w:val="227"/>
          <w:jc w:val="center"/>
        </w:trPr>
        <w:tc>
          <w:tcPr>
            <w:tcW w:w="249" w:type="dxa"/>
            <w:tcBorders>
              <w:left w:val="single" w:sz="4" w:space="0" w:color="auto"/>
            </w:tcBorders>
            <w:shd w:val="clear" w:color="000000" w:fill="FFFFFF"/>
            <w:vAlign w:val="center"/>
            <w:hideMark/>
          </w:tcPr>
          <w:p w:rsidR="009971C6" w:rsidRPr="007253CD" w:rsidRDefault="009971C6" w:rsidP="003C79F3">
            <w:pPr>
              <w:jc w:val="center"/>
              <w:rPr>
                <w:rFonts w:ascii="Arial Narrow" w:hAnsi="Arial Narrow"/>
                <w:i/>
                <w:iCs/>
                <w:color w:val="272727"/>
                <w:sz w:val="16"/>
                <w:szCs w:val="16"/>
              </w:rPr>
            </w:pPr>
            <w:r w:rsidRPr="007253CD">
              <w:rPr>
                <w:rFonts w:ascii="Arial Narrow" w:hAnsi="Arial Narrow"/>
                <w:i/>
                <w:iCs/>
                <w:color w:val="272727"/>
                <w:sz w:val="16"/>
                <w:szCs w:val="16"/>
              </w:rPr>
              <w:t> </w:t>
            </w:r>
          </w:p>
        </w:tc>
        <w:tc>
          <w:tcPr>
            <w:tcW w:w="683" w:type="dxa"/>
            <w:gridSpan w:val="2"/>
            <w:shd w:val="clear" w:color="000000" w:fill="FFFFFF"/>
            <w:vAlign w:val="center"/>
            <w:hideMark/>
          </w:tcPr>
          <w:p w:rsidR="009971C6" w:rsidRPr="007253CD" w:rsidRDefault="009971C6" w:rsidP="003C79F3">
            <w:pPr>
              <w:rPr>
                <w:rFonts w:ascii="Calibri" w:hAnsi="Calibri"/>
                <w:color w:val="000000"/>
                <w:sz w:val="22"/>
                <w:szCs w:val="22"/>
              </w:rPr>
            </w:pPr>
          </w:p>
        </w:tc>
        <w:tc>
          <w:tcPr>
            <w:tcW w:w="5514" w:type="dxa"/>
            <w:gridSpan w:val="3"/>
            <w:shd w:val="clear" w:color="000000" w:fill="FFFFFF"/>
            <w:vAlign w:val="center"/>
          </w:tcPr>
          <w:p w:rsidR="009971C6" w:rsidRPr="007253CD" w:rsidRDefault="009971C6" w:rsidP="009971C6">
            <w:pPr>
              <w:rPr>
                <w:rFonts w:ascii="Arial Narrow" w:hAnsi="Arial Narrow"/>
                <w:i/>
                <w:iCs/>
                <w:color w:val="272727"/>
                <w:sz w:val="16"/>
                <w:szCs w:val="16"/>
              </w:rPr>
            </w:pPr>
            <w:r w:rsidRPr="007253CD">
              <w:rPr>
                <w:rFonts w:ascii="Arial Narrow" w:hAnsi="Arial Narrow"/>
                <w:i/>
                <w:iCs/>
                <w:color w:val="272727"/>
                <w:sz w:val="16"/>
                <w:szCs w:val="16"/>
              </w:rPr>
              <w:t>1δ5.</w:t>
            </w:r>
            <w:r>
              <w:rPr>
                <w:rFonts w:ascii="Arial Narrow" w:hAnsi="Arial Narrow"/>
                <w:i/>
                <w:iCs/>
                <w:color w:val="272727"/>
                <w:sz w:val="16"/>
                <w:szCs w:val="16"/>
              </w:rPr>
              <w:t xml:space="preserve">  Λειτουργικές</w:t>
            </w:r>
            <w:r w:rsidRPr="007253CD">
              <w:rPr>
                <w:rFonts w:ascii="Arial Narrow" w:hAnsi="Arial Narrow"/>
                <w:i/>
                <w:iCs/>
                <w:color w:val="272727"/>
                <w:sz w:val="16"/>
                <w:szCs w:val="16"/>
              </w:rPr>
              <w:t xml:space="preserve"> </w:t>
            </w:r>
            <w:r>
              <w:rPr>
                <w:rFonts w:ascii="Arial Narrow" w:hAnsi="Arial Narrow"/>
                <w:i/>
                <w:iCs/>
                <w:color w:val="272727"/>
                <w:sz w:val="16"/>
                <w:szCs w:val="16"/>
              </w:rPr>
              <w:t>&amp; έκτακτες</w:t>
            </w:r>
            <w:r w:rsidRPr="007253CD">
              <w:rPr>
                <w:rFonts w:ascii="Arial Narrow" w:hAnsi="Arial Narrow"/>
                <w:i/>
                <w:iCs/>
                <w:color w:val="272727"/>
                <w:sz w:val="16"/>
                <w:szCs w:val="16"/>
              </w:rPr>
              <w:t xml:space="preserve"> δαπ</w:t>
            </w:r>
            <w:r>
              <w:rPr>
                <w:rFonts w:ascii="Arial Narrow" w:hAnsi="Arial Narrow"/>
                <w:i/>
                <w:iCs/>
                <w:color w:val="272727"/>
                <w:sz w:val="16"/>
                <w:szCs w:val="16"/>
              </w:rPr>
              <w:t>άνες</w:t>
            </w:r>
          </w:p>
        </w:tc>
        <w:tc>
          <w:tcPr>
            <w:tcW w:w="850" w:type="dxa"/>
            <w:tcBorders>
              <w:left w:val="nil"/>
              <w:right w:val="nil"/>
            </w:tcBorders>
            <w:shd w:val="clear" w:color="000000" w:fill="FFFFFF"/>
            <w:noWrap/>
            <w:vAlign w:val="center"/>
            <w:hideMark/>
          </w:tcPr>
          <w:p w:rsidR="009971C6" w:rsidRPr="007253CD" w:rsidRDefault="009971C6" w:rsidP="003C79F3">
            <w:pPr>
              <w:ind w:right="170"/>
              <w:jc w:val="right"/>
              <w:rPr>
                <w:rFonts w:ascii="Arial Narrow" w:hAnsi="Arial Narrow"/>
                <w:i/>
                <w:iCs/>
                <w:color w:val="272727"/>
                <w:sz w:val="16"/>
                <w:szCs w:val="16"/>
              </w:rPr>
            </w:pPr>
            <w:r>
              <w:rPr>
                <w:rFonts w:ascii="Arial Narrow" w:hAnsi="Arial Narrow"/>
                <w:i/>
                <w:iCs/>
                <w:color w:val="272727"/>
                <w:sz w:val="16"/>
                <w:szCs w:val="16"/>
              </w:rPr>
              <w:t>16</w:t>
            </w:r>
          </w:p>
        </w:tc>
        <w:tc>
          <w:tcPr>
            <w:tcW w:w="729" w:type="dxa"/>
            <w:tcBorders>
              <w:left w:val="nil"/>
              <w:right w:val="nil"/>
            </w:tcBorders>
            <w:shd w:val="clear" w:color="000000" w:fill="FFFFFF"/>
            <w:noWrap/>
            <w:vAlign w:val="center"/>
            <w:hideMark/>
          </w:tcPr>
          <w:p w:rsidR="009971C6" w:rsidRPr="007253CD" w:rsidRDefault="009971C6" w:rsidP="003C79F3">
            <w:pPr>
              <w:ind w:right="170"/>
              <w:jc w:val="right"/>
              <w:rPr>
                <w:rFonts w:ascii="Arial Narrow" w:hAnsi="Arial Narrow"/>
                <w:i/>
                <w:iCs/>
                <w:color w:val="272727"/>
                <w:sz w:val="16"/>
                <w:szCs w:val="16"/>
              </w:rPr>
            </w:pPr>
            <w:r>
              <w:rPr>
                <w:rFonts w:ascii="Arial Narrow" w:hAnsi="Arial Narrow"/>
                <w:i/>
                <w:iCs/>
                <w:color w:val="272727"/>
                <w:sz w:val="16"/>
                <w:szCs w:val="16"/>
              </w:rPr>
              <w:t>25</w:t>
            </w:r>
          </w:p>
        </w:tc>
        <w:tc>
          <w:tcPr>
            <w:tcW w:w="845" w:type="dxa"/>
            <w:tcBorders>
              <w:left w:val="nil"/>
              <w:right w:val="nil"/>
            </w:tcBorders>
            <w:shd w:val="clear" w:color="000000" w:fill="FFFFFF"/>
            <w:noWrap/>
            <w:vAlign w:val="center"/>
            <w:hideMark/>
          </w:tcPr>
          <w:p w:rsidR="009971C6" w:rsidRPr="007253CD" w:rsidRDefault="009971C6" w:rsidP="003C79F3">
            <w:pPr>
              <w:ind w:right="170"/>
              <w:jc w:val="right"/>
              <w:rPr>
                <w:rFonts w:ascii="Arial Narrow" w:hAnsi="Arial Narrow"/>
                <w:i/>
                <w:iCs/>
                <w:color w:val="272727"/>
                <w:sz w:val="16"/>
                <w:szCs w:val="16"/>
              </w:rPr>
            </w:pPr>
            <w:r>
              <w:rPr>
                <w:rFonts w:ascii="Arial Narrow" w:hAnsi="Arial Narrow"/>
                <w:i/>
                <w:iCs/>
                <w:color w:val="272727"/>
                <w:sz w:val="16"/>
                <w:szCs w:val="16"/>
              </w:rPr>
              <w:t>18</w:t>
            </w:r>
          </w:p>
        </w:tc>
        <w:tc>
          <w:tcPr>
            <w:tcW w:w="664" w:type="dxa"/>
            <w:tcBorders>
              <w:left w:val="nil"/>
              <w:right w:val="nil"/>
            </w:tcBorders>
            <w:shd w:val="clear" w:color="000000" w:fill="FFFFFF"/>
            <w:noWrap/>
            <w:vAlign w:val="center"/>
            <w:hideMark/>
          </w:tcPr>
          <w:p w:rsidR="009971C6" w:rsidRPr="007253CD" w:rsidRDefault="009971C6" w:rsidP="00853E08">
            <w:pPr>
              <w:ind w:right="113"/>
              <w:jc w:val="right"/>
              <w:rPr>
                <w:rFonts w:ascii="Arial Narrow" w:hAnsi="Arial Narrow"/>
                <w:i/>
                <w:iCs/>
                <w:color w:val="272727"/>
                <w:sz w:val="16"/>
                <w:szCs w:val="16"/>
              </w:rPr>
            </w:pPr>
            <w:r>
              <w:rPr>
                <w:rFonts w:ascii="Arial Narrow" w:hAnsi="Arial Narrow"/>
                <w:i/>
                <w:iCs/>
                <w:color w:val="272727"/>
                <w:sz w:val="16"/>
                <w:szCs w:val="16"/>
              </w:rPr>
              <w:t>54,3</w:t>
            </w:r>
          </w:p>
        </w:tc>
        <w:tc>
          <w:tcPr>
            <w:tcW w:w="549" w:type="dxa"/>
            <w:tcBorders>
              <w:left w:val="nil"/>
              <w:right w:val="single" w:sz="4" w:space="0" w:color="auto"/>
            </w:tcBorders>
            <w:shd w:val="clear" w:color="000000" w:fill="FFFFFF"/>
            <w:noWrap/>
            <w:vAlign w:val="center"/>
            <w:hideMark/>
          </w:tcPr>
          <w:p w:rsidR="009971C6" w:rsidRPr="007253CD" w:rsidRDefault="009971C6" w:rsidP="00853E08">
            <w:pPr>
              <w:ind w:right="113"/>
              <w:jc w:val="right"/>
              <w:rPr>
                <w:rFonts w:ascii="Arial Narrow" w:hAnsi="Arial Narrow"/>
                <w:i/>
                <w:iCs/>
                <w:color w:val="272727"/>
                <w:sz w:val="16"/>
                <w:szCs w:val="16"/>
              </w:rPr>
            </w:pPr>
            <w:r>
              <w:rPr>
                <w:rFonts w:ascii="Arial Narrow" w:hAnsi="Arial Narrow"/>
                <w:i/>
                <w:iCs/>
                <w:color w:val="272727"/>
                <w:sz w:val="16"/>
                <w:szCs w:val="16"/>
              </w:rPr>
              <w:t>-26,4</w:t>
            </w:r>
          </w:p>
        </w:tc>
      </w:tr>
      <w:tr w:rsidR="00142521" w:rsidRPr="007253CD" w:rsidTr="009971C6">
        <w:trPr>
          <w:trHeight w:val="227"/>
          <w:jc w:val="center"/>
        </w:trPr>
        <w:tc>
          <w:tcPr>
            <w:tcW w:w="249" w:type="dxa"/>
            <w:tcBorders>
              <w:left w:val="single" w:sz="4" w:space="0" w:color="auto"/>
            </w:tcBorders>
            <w:shd w:val="clear" w:color="000000" w:fill="FFFFFF"/>
            <w:vAlign w:val="center"/>
            <w:hideMark/>
          </w:tcPr>
          <w:p w:rsidR="00142521" w:rsidRPr="007253CD" w:rsidRDefault="00142521" w:rsidP="003C79F3">
            <w:pPr>
              <w:jc w:val="center"/>
              <w:rPr>
                <w:rFonts w:ascii="Arial Narrow" w:hAnsi="Arial Narrow"/>
                <w:i/>
                <w:iCs/>
                <w:color w:val="272727"/>
                <w:sz w:val="16"/>
                <w:szCs w:val="16"/>
              </w:rPr>
            </w:pPr>
            <w:r w:rsidRPr="007253CD">
              <w:rPr>
                <w:rFonts w:ascii="Arial Narrow" w:hAnsi="Arial Narrow"/>
                <w:i/>
                <w:iCs/>
                <w:color w:val="272727"/>
                <w:sz w:val="16"/>
                <w:szCs w:val="16"/>
              </w:rPr>
              <w:t> </w:t>
            </w:r>
          </w:p>
        </w:tc>
        <w:tc>
          <w:tcPr>
            <w:tcW w:w="656" w:type="dxa"/>
            <w:shd w:val="clear" w:color="000000" w:fill="FFFFFF"/>
            <w:noWrap/>
            <w:vAlign w:val="center"/>
            <w:hideMark/>
          </w:tcPr>
          <w:p w:rsidR="00142521" w:rsidRPr="007253CD" w:rsidRDefault="00142521" w:rsidP="003C79F3">
            <w:pPr>
              <w:jc w:val="center"/>
              <w:rPr>
                <w:rFonts w:ascii="Arial Narrow" w:hAnsi="Arial Narrow"/>
                <w:color w:val="000000"/>
                <w:sz w:val="16"/>
                <w:szCs w:val="16"/>
              </w:rPr>
            </w:pPr>
            <w:r w:rsidRPr="007253CD">
              <w:rPr>
                <w:rFonts w:ascii="Arial Narrow" w:hAnsi="Arial Narrow"/>
                <w:color w:val="000000"/>
                <w:sz w:val="16"/>
                <w:szCs w:val="16"/>
              </w:rPr>
              <w:t> </w:t>
            </w:r>
          </w:p>
        </w:tc>
        <w:tc>
          <w:tcPr>
            <w:tcW w:w="5541" w:type="dxa"/>
            <w:gridSpan w:val="4"/>
            <w:shd w:val="clear" w:color="000000" w:fill="FFFFFF"/>
            <w:vAlign w:val="center"/>
            <w:hideMark/>
          </w:tcPr>
          <w:p w:rsidR="009971C6" w:rsidRDefault="00142521" w:rsidP="009971C6">
            <w:pPr>
              <w:rPr>
                <w:rFonts w:ascii="Arial Narrow" w:hAnsi="Arial Narrow"/>
                <w:i/>
                <w:iCs/>
                <w:color w:val="000000"/>
                <w:sz w:val="16"/>
                <w:szCs w:val="16"/>
              </w:rPr>
            </w:pPr>
            <w:r w:rsidRPr="007253CD">
              <w:rPr>
                <w:rFonts w:ascii="Arial Narrow" w:hAnsi="Arial Narrow"/>
                <w:i/>
                <w:iCs/>
                <w:color w:val="000000"/>
                <w:sz w:val="16"/>
                <w:szCs w:val="16"/>
              </w:rPr>
              <w:t>1δ6.  Αντιπαροχή έναντι της ενσωματωμένης στη ΔΕΗ ΑΕ περιουσίας</w:t>
            </w:r>
            <w:r w:rsidR="009971C6">
              <w:rPr>
                <w:rFonts w:ascii="Arial Narrow" w:hAnsi="Arial Narrow"/>
                <w:i/>
                <w:iCs/>
                <w:color w:val="000000"/>
                <w:sz w:val="16"/>
                <w:szCs w:val="16"/>
              </w:rPr>
              <w:t xml:space="preserve"> </w:t>
            </w:r>
            <w:r w:rsidRPr="007253CD">
              <w:rPr>
                <w:rFonts w:ascii="Arial Narrow" w:hAnsi="Arial Narrow"/>
                <w:i/>
                <w:iCs/>
                <w:color w:val="000000"/>
                <w:sz w:val="16"/>
                <w:szCs w:val="16"/>
              </w:rPr>
              <w:t>των Τομέων</w:t>
            </w:r>
          </w:p>
          <w:p w:rsidR="00142521" w:rsidRPr="007253CD" w:rsidRDefault="009971C6" w:rsidP="009971C6">
            <w:pPr>
              <w:rPr>
                <w:rFonts w:ascii="Arial Narrow" w:hAnsi="Arial Narrow"/>
                <w:i/>
                <w:iCs/>
                <w:color w:val="000000"/>
                <w:sz w:val="16"/>
                <w:szCs w:val="16"/>
              </w:rPr>
            </w:pPr>
            <w:r>
              <w:rPr>
                <w:rFonts w:ascii="Arial Narrow" w:hAnsi="Arial Narrow"/>
                <w:i/>
                <w:iCs/>
                <w:color w:val="000000"/>
                <w:sz w:val="16"/>
                <w:szCs w:val="16"/>
              </w:rPr>
              <w:t xml:space="preserve">         </w:t>
            </w:r>
            <w:r w:rsidR="00142521" w:rsidRPr="007253CD">
              <w:rPr>
                <w:rFonts w:ascii="Arial Narrow" w:hAnsi="Arial Narrow"/>
                <w:i/>
                <w:iCs/>
                <w:color w:val="000000"/>
                <w:sz w:val="16"/>
                <w:szCs w:val="16"/>
              </w:rPr>
              <w:t>Ασφάλισης Προσωπικού ΔΕΗ</w:t>
            </w:r>
          </w:p>
        </w:tc>
        <w:tc>
          <w:tcPr>
            <w:tcW w:w="850" w:type="dxa"/>
            <w:tcBorders>
              <w:left w:val="nil"/>
              <w:right w:val="nil"/>
            </w:tcBorders>
            <w:shd w:val="clear" w:color="000000" w:fill="FFFFFF"/>
            <w:noWrap/>
            <w:vAlign w:val="center"/>
            <w:hideMark/>
          </w:tcPr>
          <w:p w:rsidR="00142521" w:rsidRPr="007253CD" w:rsidRDefault="00704A0C" w:rsidP="003C79F3">
            <w:pPr>
              <w:ind w:right="170"/>
              <w:jc w:val="right"/>
              <w:rPr>
                <w:rFonts w:ascii="Arial Narrow" w:hAnsi="Arial Narrow"/>
                <w:i/>
                <w:iCs/>
                <w:color w:val="272727"/>
                <w:sz w:val="16"/>
                <w:szCs w:val="16"/>
              </w:rPr>
            </w:pPr>
            <w:r>
              <w:rPr>
                <w:rFonts w:ascii="Arial Narrow" w:hAnsi="Arial Narrow"/>
                <w:i/>
                <w:iCs/>
                <w:color w:val="272727"/>
                <w:sz w:val="16"/>
                <w:szCs w:val="16"/>
              </w:rPr>
              <w:t>579</w:t>
            </w:r>
          </w:p>
        </w:tc>
        <w:tc>
          <w:tcPr>
            <w:tcW w:w="729" w:type="dxa"/>
            <w:tcBorders>
              <w:left w:val="nil"/>
              <w:right w:val="nil"/>
            </w:tcBorders>
            <w:shd w:val="clear" w:color="000000" w:fill="FFFFFF"/>
            <w:noWrap/>
            <w:vAlign w:val="center"/>
            <w:hideMark/>
          </w:tcPr>
          <w:p w:rsidR="00142521" w:rsidRPr="007253CD" w:rsidRDefault="000D6044" w:rsidP="003C79F3">
            <w:pPr>
              <w:ind w:right="170"/>
              <w:jc w:val="right"/>
              <w:rPr>
                <w:rFonts w:ascii="Arial Narrow" w:hAnsi="Arial Narrow"/>
                <w:i/>
                <w:iCs/>
                <w:color w:val="272727"/>
                <w:sz w:val="16"/>
                <w:szCs w:val="16"/>
              </w:rPr>
            </w:pPr>
            <w:r>
              <w:rPr>
                <w:rFonts w:ascii="Arial Narrow" w:hAnsi="Arial Narrow"/>
                <w:i/>
                <w:iCs/>
                <w:color w:val="272727"/>
                <w:sz w:val="16"/>
                <w:szCs w:val="16"/>
              </w:rPr>
              <w:t>579</w:t>
            </w:r>
          </w:p>
        </w:tc>
        <w:tc>
          <w:tcPr>
            <w:tcW w:w="845" w:type="dxa"/>
            <w:tcBorders>
              <w:left w:val="nil"/>
              <w:right w:val="nil"/>
            </w:tcBorders>
            <w:shd w:val="clear" w:color="000000" w:fill="FFFFFF"/>
            <w:noWrap/>
            <w:vAlign w:val="center"/>
            <w:hideMark/>
          </w:tcPr>
          <w:p w:rsidR="00142521" w:rsidRPr="007253CD" w:rsidRDefault="000D6044" w:rsidP="003C79F3">
            <w:pPr>
              <w:ind w:right="170"/>
              <w:jc w:val="right"/>
              <w:rPr>
                <w:rFonts w:ascii="Arial Narrow" w:hAnsi="Arial Narrow"/>
                <w:i/>
                <w:iCs/>
                <w:color w:val="272727"/>
                <w:sz w:val="16"/>
                <w:szCs w:val="16"/>
              </w:rPr>
            </w:pPr>
            <w:r>
              <w:rPr>
                <w:rFonts w:ascii="Arial Narrow" w:hAnsi="Arial Narrow"/>
                <w:i/>
                <w:iCs/>
                <w:color w:val="272727"/>
                <w:sz w:val="16"/>
                <w:szCs w:val="16"/>
              </w:rPr>
              <w:t>579</w:t>
            </w:r>
          </w:p>
        </w:tc>
        <w:tc>
          <w:tcPr>
            <w:tcW w:w="664" w:type="dxa"/>
            <w:tcBorders>
              <w:left w:val="nil"/>
              <w:right w:val="nil"/>
            </w:tcBorders>
            <w:shd w:val="clear" w:color="000000" w:fill="FFFFFF"/>
            <w:noWrap/>
            <w:vAlign w:val="center"/>
            <w:hideMark/>
          </w:tcPr>
          <w:p w:rsidR="00142521" w:rsidRPr="007253CD" w:rsidRDefault="000D6044" w:rsidP="00853E08">
            <w:pPr>
              <w:ind w:right="113"/>
              <w:jc w:val="right"/>
              <w:rPr>
                <w:rFonts w:ascii="Arial Narrow" w:hAnsi="Arial Narrow"/>
                <w:i/>
                <w:iCs/>
                <w:color w:val="272727"/>
                <w:sz w:val="16"/>
                <w:szCs w:val="16"/>
              </w:rPr>
            </w:pPr>
            <w:r>
              <w:rPr>
                <w:rFonts w:ascii="Arial Narrow" w:hAnsi="Arial Narrow"/>
                <w:i/>
                <w:iCs/>
                <w:color w:val="272727"/>
                <w:sz w:val="16"/>
                <w:szCs w:val="16"/>
              </w:rPr>
              <w:t>0,0</w:t>
            </w:r>
          </w:p>
        </w:tc>
        <w:tc>
          <w:tcPr>
            <w:tcW w:w="549" w:type="dxa"/>
            <w:tcBorders>
              <w:left w:val="nil"/>
              <w:right w:val="single" w:sz="4" w:space="0" w:color="auto"/>
            </w:tcBorders>
            <w:shd w:val="clear" w:color="000000" w:fill="FFFFFF"/>
            <w:noWrap/>
            <w:vAlign w:val="center"/>
            <w:hideMark/>
          </w:tcPr>
          <w:p w:rsidR="00142521" w:rsidRPr="007253CD" w:rsidRDefault="000A61EE" w:rsidP="00853E08">
            <w:pPr>
              <w:ind w:right="113"/>
              <w:jc w:val="right"/>
              <w:rPr>
                <w:rFonts w:ascii="Arial Narrow" w:hAnsi="Arial Narrow"/>
                <w:i/>
                <w:iCs/>
                <w:color w:val="272727"/>
                <w:sz w:val="16"/>
                <w:szCs w:val="16"/>
              </w:rPr>
            </w:pPr>
            <w:r>
              <w:rPr>
                <w:rFonts w:ascii="Arial Narrow" w:hAnsi="Arial Narrow"/>
                <w:i/>
                <w:iCs/>
                <w:color w:val="272727"/>
                <w:sz w:val="16"/>
                <w:szCs w:val="16"/>
              </w:rPr>
              <w:t>0,0</w:t>
            </w:r>
          </w:p>
        </w:tc>
      </w:tr>
      <w:tr w:rsidR="00142521" w:rsidRPr="007253CD" w:rsidTr="009971C6">
        <w:trPr>
          <w:trHeight w:val="227"/>
          <w:jc w:val="center"/>
        </w:trPr>
        <w:tc>
          <w:tcPr>
            <w:tcW w:w="249" w:type="dxa"/>
            <w:tcBorders>
              <w:left w:val="single" w:sz="4" w:space="0" w:color="auto"/>
            </w:tcBorders>
            <w:shd w:val="clear" w:color="000000" w:fill="FFFFFF"/>
            <w:vAlign w:val="center"/>
            <w:hideMark/>
          </w:tcPr>
          <w:p w:rsidR="00142521" w:rsidRPr="007253CD" w:rsidRDefault="00142521" w:rsidP="003C79F3">
            <w:pPr>
              <w:jc w:val="center"/>
              <w:rPr>
                <w:rFonts w:ascii="Arial Narrow" w:hAnsi="Arial Narrow"/>
                <w:i/>
                <w:iCs/>
                <w:color w:val="272727"/>
                <w:sz w:val="16"/>
                <w:szCs w:val="16"/>
              </w:rPr>
            </w:pPr>
            <w:r w:rsidRPr="007253CD">
              <w:rPr>
                <w:rFonts w:ascii="Arial Narrow" w:hAnsi="Arial Narrow"/>
                <w:i/>
                <w:iCs/>
                <w:color w:val="272727"/>
                <w:sz w:val="16"/>
                <w:szCs w:val="16"/>
              </w:rPr>
              <w:t> </w:t>
            </w:r>
          </w:p>
        </w:tc>
        <w:tc>
          <w:tcPr>
            <w:tcW w:w="656" w:type="dxa"/>
            <w:shd w:val="clear" w:color="000000" w:fill="FFFFFF"/>
            <w:noWrap/>
            <w:vAlign w:val="center"/>
            <w:hideMark/>
          </w:tcPr>
          <w:p w:rsidR="00142521" w:rsidRPr="007253CD" w:rsidRDefault="00142521" w:rsidP="003C79F3">
            <w:pPr>
              <w:jc w:val="center"/>
              <w:rPr>
                <w:rFonts w:ascii="Arial Narrow" w:hAnsi="Arial Narrow"/>
                <w:color w:val="000000"/>
                <w:sz w:val="16"/>
                <w:szCs w:val="16"/>
              </w:rPr>
            </w:pPr>
            <w:r w:rsidRPr="007253CD">
              <w:rPr>
                <w:rFonts w:ascii="Arial Narrow" w:hAnsi="Arial Narrow"/>
                <w:color w:val="000000"/>
                <w:sz w:val="16"/>
                <w:szCs w:val="16"/>
              </w:rPr>
              <w:t> </w:t>
            </w:r>
          </w:p>
        </w:tc>
        <w:tc>
          <w:tcPr>
            <w:tcW w:w="5541" w:type="dxa"/>
            <w:gridSpan w:val="4"/>
            <w:shd w:val="clear" w:color="000000" w:fill="FFFFFF"/>
            <w:vAlign w:val="center"/>
            <w:hideMark/>
          </w:tcPr>
          <w:p w:rsidR="00142521" w:rsidRPr="007253CD" w:rsidRDefault="00142521" w:rsidP="003C79F3">
            <w:pPr>
              <w:rPr>
                <w:rFonts w:ascii="Arial Narrow" w:hAnsi="Arial Narrow"/>
                <w:i/>
                <w:iCs/>
                <w:color w:val="000000"/>
                <w:sz w:val="16"/>
                <w:szCs w:val="16"/>
              </w:rPr>
            </w:pPr>
            <w:r w:rsidRPr="007253CD">
              <w:rPr>
                <w:rFonts w:ascii="Arial Narrow" w:hAnsi="Arial Narrow"/>
                <w:i/>
                <w:iCs/>
                <w:color w:val="000000"/>
                <w:sz w:val="16"/>
                <w:szCs w:val="16"/>
              </w:rPr>
              <w:t xml:space="preserve">1δ7.  Έκτακτη επιχορήγηση σε OKA για την εξόφληση ληξιπρόθεσμων οφειλών </w:t>
            </w:r>
          </w:p>
        </w:tc>
        <w:tc>
          <w:tcPr>
            <w:tcW w:w="850" w:type="dxa"/>
            <w:tcBorders>
              <w:left w:val="nil"/>
              <w:right w:val="nil"/>
            </w:tcBorders>
            <w:shd w:val="clear" w:color="000000" w:fill="FFFFFF"/>
            <w:noWrap/>
            <w:vAlign w:val="center"/>
            <w:hideMark/>
          </w:tcPr>
          <w:p w:rsidR="00142521" w:rsidRPr="007253CD" w:rsidRDefault="00704A0C" w:rsidP="003C79F3">
            <w:pPr>
              <w:ind w:right="170"/>
              <w:jc w:val="right"/>
              <w:rPr>
                <w:rFonts w:ascii="Arial Narrow" w:hAnsi="Arial Narrow"/>
                <w:i/>
                <w:iCs/>
                <w:color w:val="272727"/>
                <w:sz w:val="16"/>
                <w:szCs w:val="16"/>
              </w:rPr>
            </w:pPr>
            <w:r>
              <w:rPr>
                <w:rFonts w:ascii="Arial Narrow" w:hAnsi="Arial Narrow"/>
                <w:i/>
                <w:iCs/>
                <w:color w:val="272727"/>
                <w:sz w:val="16"/>
                <w:szCs w:val="16"/>
              </w:rPr>
              <w:t>30</w:t>
            </w:r>
          </w:p>
        </w:tc>
        <w:tc>
          <w:tcPr>
            <w:tcW w:w="729" w:type="dxa"/>
            <w:tcBorders>
              <w:left w:val="nil"/>
              <w:right w:val="nil"/>
            </w:tcBorders>
            <w:shd w:val="clear" w:color="000000" w:fill="FFFFFF"/>
            <w:noWrap/>
            <w:vAlign w:val="center"/>
            <w:hideMark/>
          </w:tcPr>
          <w:p w:rsidR="00142521" w:rsidRPr="007253CD" w:rsidRDefault="000D6044" w:rsidP="003C79F3">
            <w:pPr>
              <w:ind w:right="170"/>
              <w:jc w:val="right"/>
              <w:rPr>
                <w:rFonts w:ascii="Arial Narrow" w:hAnsi="Arial Narrow"/>
                <w:i/>
                <w:iCs/>
                <w:color w:val="272727"/>
                <w:sz w:val="16"/>
                <w:szCs w:val="16"/>
              </w:rPr>
            </w:pPr>
            <w:r>
              <w:rPr>
                <w:rFonts w:ascii="Arial Narrow" w:hAnsi="Arial Narrow"/>
                <w:i/>
                <w:iCs/>
                <w:color w:val="272727"/>
                <w:sz w:val="16"/>
                <w:szCs w:val="16"/>
              </w:rPr>
              <w:t>0</w:t>
            </w:r>
          </w:p>
        </w:tc>
        <w:tc>
          <w:tcPr>
            <w:tcW w:w="845" w:type="dxa"/>
            <w:tcBorders>
              <w:left w:val="nil"/>
              <w:right w:val="nil"/>
            </w:tcBorders>
            <w:shd w:val="clear" w:color="000000" w:fill="FFFFFF"/>
            <w:noWrap/>
            <w:vAlign w:val="center"/>
            <w:hideMark/>
          </w:tcPr>
          <w:p w:rsidR="00142521" w:rsidRPr="007253CD" w:rsidRDefault="000D6044" w:rsidP="003C79F3">
            <w:pPr>
              <w:ind w:right="170"/>
              <w:jc w:val="right"/>
              <w:rPr>
                <w:rFonts w:ascii="Arial Narrow" w:hAnsi="Arial Narrow"/>
                <w:i/>
                <w:iCs/>
                <w:color w:val="272727"/>
                <w:sz w:val="16"/>
                <w:szCs w:val="16"/>
              </w:rPr>
            </w:pPr>
            <w:r>
              <w:rPr>
                <w:rFonts w:ascii="Arial Narrow" w:hAnsi="Arial Narrow"/>
                <w:i/>
                <w:iCs/>
                <w:color w:val="272727"/>
                <w:sz w:val="16"/>
                <w:szCs w:val="16"/>
              </w:rPr>
              <w:t>0</w:t>
            </w:r>
          </w:p>
        </w:tc>
        <w:tc>
          <w:tcPr>
            <w:tcW w:w="664" w:type="dxa"/>
            <w:tcBorders>
              <w:left w:val="nil"/>
              <w:right w:val="nil"/>
            </w:tcBorders>
            <w:shd w:val="clear" w:color="000000" w:fill="FFFFFF"/>
            <w:noWrap/>
            <w:vAlign w:val="center"/>
            <w:hideMark/>
          </w:tcPr>
          <w:p w:rsidR="00142521" w:rsidRPr="007253CD" w:rsidRDefault="000D6044" w:rsidP="00853E08">
            <w:pPr>
              <w:ind w:right="113"/>
              <w:jc w:val="right"/>
              <w:rPr>
                <w:rFonts w:ascii="Arial Narrow" w:hAnsi="Arial Narrow"/>
                <w:i/>
                <w:iCs/>
                <w:color w:val="272727"/>
                <w:sz w:val="16"/>
                <w:szCs w:val="16"/>
              </w:rPr>
            </w:pPr>
            <w:r>
              <w:rPr>
                <w:rFonts w:ascii="Arial Narrow" w:hAnsi="Arial Narrow"/>
                <w:i/>
                <w:iCs/>
                <w:color w:val="272727"/>
                <w:sz w:val="16"/>
                <w:szCs w:val="16"/>
              </w:rPr>
              <w:t>-100,0</w:t>
            </w:r>
          </w:p>
        </w:tc>
        <w:tc>
          <w:tcPr>
            <w:tcW w:w="549" w:type="dxa"/>
            <w:tcBorders>
              <w:left w:val="nil"/>
              <w:right w:val="single" w:sz="4" w:space="0" w:color="auto"/>
            </w:tcBorders>
            <w:shd w:val="clear" w:color="000000" w:fill="FFFFFF"/>
            <w:noWrap/>
            <w:vAlign w:val="center"/>
            <w:hideMark/>
          </w:tcPr>
          <w:p w:rsidR="00142521" w:rsidRPr="007253CD" w:rsidRDefault="00142521" w:rsidP="00853E08">
            <w:pPr>
              <w:ind w:right="113"/>
              <w:jc w:val="right"/>
              <w:rPr>
                <w:rFonts w:ascii="Arial Narrow" w:hAnsi="Arial Narrow"/>
                <w:i/>
                <w:iCs/>
                <w:color w:val="272727"/>
                <w:sz w:val="16"/>
                <w:szCs w:val="16"/>
              </w:rPr>
            </w:pPr>
          </w:p>
        </w:tc>
      </w:tr>
      <w:tr w:rsidR="00142521" w:rsidRPr="007253CD" w:rsidTr="009971C6">
        <w:trPr>
          <w:trHeight w:val="227"/>
          <w:jc w:val="center"/>
        </w:trPr>
        <w:tc>
          <w:tcPr>
            <w:tcW w:w="249" w:type="dxa"/>
            <w:tcBorders>
              <w:left w:val="single" w:sz="4" w:space="0" w:color="auto"/>
            </w:tcBorders>
            <w:shd w:val="clear" w:color="000000" w:fill="FFFFFF"/>
            <w:vAlign w:val="center"/>
            <w:hideMark/>
          </w:tcPr>
          <w:p w:rsidR="00142521" w:rsidRPr="007253CD" w:rsidRDefault="00142521" w:rsidP="003C79F3">
            <w:pPr>
              <w:jc w:val="center"/>
              <w:rPr>
                <w:rFonts w:ascii="Arial Narrow" w:hAnsi="Arial Narrow"/>
                <w:i/>
                <w:iCs/>
                <w:color w:val="272727"/>
                <w:sz w:val="16"/>
                <w:szCs w:val="16"/>
              </w:rPr>
            </w:pPr>
            <w:r w:rsidRPr="007253CD">
              <w:rPr>
                <w:rFonts w:ascii="Arial Narrow" w:hAnsi="Arial Narrow"/>
                <w:i/>
                <w:iCs/>
                <w:color w:val="272727"/>
                <w:sz w:val="16"/>
                <w:szCs w:val="16"/>
              </w:rPr>
              <w:t> </w:t>
            </w:r>
          </w:p>
        </w:tc>
        <w:tc>
          <w:tcPr>
            <w:tcW w:w="656" w:type="dxa"/>
            <w:shd w:val="clear" w:color="000000" w:fill="FFFFFF"/>
            <w:noWrap/>
            <w:vAlign w:val="center"/>
            <w:hideMark/>
          </w:tcPr>
          <w:p w:rsidR="00142521" w:rsidRPr="007253CD" w:rsidRDefault="00142521" w:rsidP="003C79F3">
            <w:pPr>
              <w:jc w:val="center"/>
              <w:rPr>
                <w:rFonts w:ascii="Arial Narrow" w:hAnsi="Arial Narrow"/>
                <w:color w:val="000000"/>
                <w:sz w:val="16"/>
                <w:szCs w:val="16"/>
              </w:rPr>
            </w:pPr>
            <w:r w:rsidRPr="007253CD">
              <w:rPr>
                <w:rFonts w:ascii="Arial Narrow" w:hAnsi="Arial Narrow"/>
                <w:color w:val="000000"/>
                <w:sz w:val="16"/>
                <w:szCs w:val="16"/>
              </w:rPr>
              <w:t> </w:t>
            </w:r>
          </w:p>
        </w:tc>
        <w:tc>
          <w:tcPr>
            <w:tcW w:w="5541" w:type="dxa"/>
            <w:gridSpan w:val="4"/>
            <w:shd w:val="clear" w:color="000000" w:fill="FFFFFF"/>
            <w:vAlign w:val="center"/>
            <w:hideMark/>
          </w:tcPr>
          <w:p w:rsidR="00142521" w:rsidRPr="007253CD" w:rsidRDefault="00142521" w:rsidP="003C79F3">
            <w:pPr>
              <w:rPr>
                <w:rFonts w:ascii="Arial Narrow" w:hAnsi="Arial Narrow"/>
                <w:i/>
                <w:iCs/>
                <w:color w:val="000000"/>
                <w:sz w:val="16"/>
                <w:szCs w:val="16"/>
              </w:rPr>
            </w:pPr>
            <w:r w:rsidRPr="007253CD">
              <w:rPr>
                <w:rFonts w:ascii="Arial Narrow" w:hAnsi="Arial Narrow"/>
                <w:i/>
                <w:iCs/>
                <w:color w:val="000000"/>
                <w:sz w:val="16"/>
                <w:szCs w:val="16"/>
              </w:rPr>
              <w:t>1δ8. Έκτακτη επιχορήγηση σε OKA για την εξόφληση εκκρεμών αιτήσεων συνταξιοδότησης</w:t>
            </w:r>
          </w:p>
        </w:tc>
        <w:tc>
          <w:tcPr>
            <w:tcW w:w="850" w:type="dxa"/>
            <w:tcBorders>
              <w:left w:val="nil"/>
              <w:right w:val="nil"/>
            </w:tcBorders>
            <w:shd w:val="clear" w:color="000000" w:fill="FFFFFF"/>
            <w:noWrap/>
            <w:vAlign w:val="center"/>
            <w:hideMark/>
          </w:tcPr>
          <w:p w:rsidR="00142521" w:rsidRPr="007253CD" w:rsidRDefault="00704A0C" w:rsidP="003C79F3">
            <w:pPr>
              <w:ind w:right="170"/>
              <w:jc w:val="right"/>
              <w:rPr>
                <w:rFonts w:ascii="Arial Narrow" w:hAnsi="Arial Narrow"/>
                <w:i/>
                <w:iCs/>
                <w:color w:val="272727"/>
                <w:sz w:val="16"/>
                <w:szCs w:val="16"/>
              </w:rPr>
            </w:pPr>
            <w:r>
              <w:rPr>
                <w:rFonts w:ascii="Arial Narrow" w:hAnsi="Arial Narrow"/>
                <w:i/>
                <w:iCs/>
                <w:color w:val="272727"/>
                <w:sz w:val="16"/>
                <w:szCs w:val="16"/>
              </w:rPr>
              <w:t>57</w:t>
            </w:r>
          </w:p>
        </w:tc>
        <w:tc>
          <w:tcPr>
            <w:tcW w:w="729" w:type="dxa"/>
            <w:tcBorders>
              <w:left w:val="nil"/>
              <w:right w:val="nil"/>
            </w:tcBorders>
            <w:shd w:val="clear" w:color="000000" w:fill="FFFFFF"/>
            <w:noWrap/>
            <w:vAlign w:val="center"/>
            <w:hideMark/>
          </w:tcPr>
          <w:p w:rsidR="00142521" w:rsidRPr="007253CD" w:rsidRDefault="000D6044" w:rsidP="003C79F3">
            <w:pPr>
              <w:ind w:right="170"/>
              <w:jc w:val="right"/>
              <w:rPr>
                <w:rFonts w:ascii="Arial Narrow" w:hAnsi="Arial Narrow"/>
                <w:i/>
                <w:iCs/>
                <w:color w:val="272727"/>
                <w:sz w:val="16"/>
                <w:szCs w:val="16"/>
              </w:rPr>
            </w:pPr>
            <w:r>
              <w:rPr>
                <w:rFonts w:ascii="Arial Narrow" w:hAnsi="Arial Narrow"/>
                <w:i/>
                <w:iCs/>
                <w:color w:val="272727"/>
                <w:sz w:val="16"/>
                <w:szCs w:val="16"/>
              </w:rPr>
              <w:t>0</w:t>
            </w:r>
          </w:p>
        </w:tc>
        <w:tc>
          <w:tcPr>
            <w:tcW w:w="845" w:type="dxa"/>
            <w:tcBorders>
              <w:left w:val="nil"/>
              <w:right w:val="nil"/>
            </w:tcBorders>
            <w:shd w:val="clear" w:color="000000" w:fill="FFFFFF"/>
            <w:noWrap/>
            <w:vAlign w:val="center"/>
            <w:hideMark/>
          </w:tcPr>
          <w:p w:rsidR="00142521" w:rsidRPr="007253CD" w:rsidRDefault="000D6044" w:rsidP="003C79F3">
            <w:pPr>
              <w:ind w:right="170"/>
              <w:jc w:val="right"/>
              <w:rPr>
                <w:rFonts w:ascii="Arial Narrow" w:hAnsi="Arial Narrow"/>
                <w:i/>
                <w:iCs/>
                <w:color w:val="272727"/>
                <w:sz w:val="16"/>
                <w:szCs w:val="16"/>
              </w:rPr>
            </w:pPr>
            <w:r>
              <w:rPr>
                <w:rFonts w:ascii="Arial Narrow" w:hAnsi="Arial Narrow"/>
                <w:i/>
                <w:iCs/>
                <w:color w:val="272727"/>
                <w:sz w:val="16"/>
                <w:szCs w:val="16"/>
              </w:rPr>
              <w:t>0</w:t>
            </w:r>
          </w:p>
        </w:tc>
        <w:tc>
          <w:tcPr>
            <w:tcW w:w="664" w:type="dxa"/>
            <w:tcBorders>
              <w:left w:val="nil"/>
              <w:right w:val="nil"/>
            </w:tcBorders>
            <w:shd w:val="clear" w:color="000000" w:fill="FFFFFF"/>
            <w:noWrap/>
            <w:vAlign w:val="center"/>
            <w:hideMark/>
          </w:tcPr>
          <w:p w:rsidR="00142521" w:rsidRPr="007253CD" w:rsidRDefault="00142521" w:rsidP="00853E08">
            <w:pPr>
              <w:ind w:right="113"/>
              <w:jc w:val="right"/>
              <w:rPr>
                <w:rFonts w:ascii="Arial Narrow" w:hAnsi="Arial Narrow"/>
                <w:i/>
                <w:iCs/>
                <w:color w:val="272727"/>
                <w:sz w:val="16"/>
                <w:szCs w:val="16"/>
              </w:rPr>
            </w:pPr>
          </w:p>
        </w:tc>
        <w:tc>
          <w:tcPr>
            <w:tcW w:w="549" w:type="dxa"/>
            <w:tcBorders>
              <w:left w:val="nil"/>
              <w:right w:val="single" w:sz="4" w:space="0" w:color="auto"/>
            </w:tcBorders>
            <w:shd w:val="clear" w:color="000000" w:fill="FFFFFF"/>
            <w:noWrap/>
            <w:vAlign w:val="center"/>
            <w:hideMark/>
          </w:tcPr>
          <w:p w:rsidR="00142521" w:rsidRPr="007253CD" w:rsidRDefault="00142521" w:rsidP="00853E08">
            <w:pPr>
              <w:ind w:right="113"/>
              <w:jc w:val="right"/>
              <w:rPr>
                <w:rFonts w:ascii="Arial Narrow" w:hAnsi="Arial Narrow"/>
                <w:i/>
                <w:iCs/>
                <w:color w:val="272727"/>
                <w:sz w:val="16"/>
                <w:szCs w:val="16"/>
              </w:rPr>
            </w:pPr>
          </w:p>
        </w:tc>
      </w:tr>
      <w:tr w:rsidR="00142521" w:rsidRPr="007253CD" w:rsidTr="009971C6">
        <w:trPr>
          <w:trHeight w:val="227"/>
          <w:jc w:val="center"/>
        </w:trPr>
        <w:tc>
          <w:tcPr>
            <w:tcW w:w="249" w:type="dxa"/>
            <w:tcBorders>
              <w:left w:val="single" w:sz="4" w:space="0" w:color="auto"/>
            </w:tcBorders>
            <w:shd w:val="clear" w:color="000000" w:fill="FFFFFF"/>
            <w:noWrap/>
            <w:vAlign w:val="center"/>
            <w:hideMark/>
          </w:tcPr>
          <w:p w:rsidR="00142521" w:rsidRPr="007253CD" w:rsidRDefault="00142521" w:rsidP="003C79F3">
            <w:pPr>
              <w:jc w:val="center"/>
              <w:rPr>
                <w:rFonts w:ascii="Arial Narrow" w:hAnsi="Arial Narrow"/>
                <w:b/>
                <w:bCs/>
                <w:color w:val="000000"/>
                <w:sz w:val="16"/>
                <w:szCs w:val="16"/>
              </w:rPr>
            </w:pPr>
            <w:r w:rsidRPr="007253CD">
              <w:rPr>
                <w:rFonts w:ascii="Arial Narrow" w:hAnsi="Arial Narrow"/>
                <w:b/>
                <w:bCs/>
                <w:color w:val="000000"/>
                <w:sz w:val="16"/>
                <w:szCs w:val="16"/>
              </w:rPr>
              <w:t>2</w:t>
            </w:r>
          </w:p>
        </w:tc>
        <w:tc>
          <w:tcPr>
            <w:tcW w:w="6197" w:type="dxa"/>
            <w:gridSpan w:val="5"/>
            <w:shd w:val="clear" w:color="000000" w:fill="FFFFFF"/>
            <w:vAlign w:val="center"/>
            <w:hideMark/>
          </w:tcPr>
          <w:p w:rsidR="00142521" w:rsidRPr="007253CD" w:rsidRDefault="00142521" w:rsidP="003C79F3">
            <w:pPr>
              <w:rPr>
                <w:rFonts w:ascii="Arial Narrow" w:hAnsi="Arial Narrow"/>
                <w:b/>
                <w:bCs/>
                <w:color w:val="000000"/>
                <w:sz w:val="16"/>
                <w:szCs w:val="16"/>
              </w:rPr>
            </w:pPr>
            <w:r w:rsidRPr="007253CD">
              <w:rPr>
                <w:rFonts w:ascii="Arial Narrow" w:hAnsi="Arial Narrow"/>
                <w:b/>
                <w:bCs/>
                <w:color w:val="000000"/>
                <w:sz w:val="16"/>
                <w:szCs w:val="16"/>
              </w:rPr>
              <w:t>Μεταβιβάσεις σε λοιπά νομικά πρόσωπα</w:t>
            </w:r>
          </w:p>
        </w:tc>
        <w:tc>
          <w:tcPr>
            <w:tcW w:w="850" w:type="dxa"/>
            <w:tcBorders>
              <w:left w:val="nil"/>
              <w:right w:val="nil"/>
            </w:tcBorders>
            <w:shd w:val="clear" w:color="000000" w:fill="FFFFFF"/>
            <w:noWrap/>
            <w:vAlign w:val="center"/>
            <w:hideMark/>
          </w:tcPr>
          <w:p w:rsidR="00142521" w:rsidRPr="007253CD" w:rsidRDefault="00704A0C" w:rsidP="003C79F3">
            <w:pPr>
              <w:ind w:right="170"/>
              <w:jc w:val="right"/>
              <w:rPr>
                <w:rFonts w:ascii="Arial Narrow" w:hAnsi="Arial Narrow"/>
                <w:b/>
                <w:bCs/>
                <w:color w:val="000000"/>
                <w:sz w:val="16"/>
                <w:szCs w:val="16"/>
              </w:rPr>
            </w:pPr>
            <w:r>
              <w:rPr>
                <w:rFonts w:ascii="Arial Narrow" w:hAnsi="Arial Narrow"/>
                <w:b/>
                <w:bCs/>
                <w:color w:val="000000"/>
                <w:sz w:val="16"/>
                <w:szCs w:val="16"/>
              </w:rPr>
              <w:t>1.825</w:t>
            </w:r>
          </w:p>
        </w:tc>
        <w:tc>
          <w:tcPr>
            <w:tcW w:w="729" w:type="dxa"/>
            <w:tcBorders>
              <w:left w:val="nil"/>
              <w:right w:val="nil"/>
            </w:tcBorders>
            <w:shd w:val="clear" w:color="000000" w:fill="FFFFFF"/>
            <w:noWrap/>
            <w:vAlign w:val="center"/>
            <w:hideMark/>
          </w:tcPr>
          <w:p w:rsidR="00142521" w:rsidRPr="007253CD" w:rsidRDefault="000D6044" w:rsidP="003C79F3">
            <w:pPr>
              <w:ind w:right="170"/>
              <w:jc w:val="right"/>
              <w:rPr>
                <w:rFonts w:ascii="Arial Narrow" w:hAnsi="Arial Narrow"/>
                <w:b/>
                <w:bCs/>
                <w:color w:val="000000"/>
                <w:sz w:val="16"/>
                <w:szCs w:val="16"/>
              </w:rPr>
            </w:pPr>
            <w:r>
              <w:rPr>
                <w:rFonts w:ascii="Arial Narrow" w:hAnsi="Arial Narrow"/>
                <w:b/>
                <w:bCs/>
                <w:color w:val="000000"/>
                <w:sz w:val="16"/>
                <w:szCs w:val="16"/>
              </w:rPr>
              <w:t>1.916</w:t>
            </w:r>
          </w:p>
        </w:tc>
        <w:tc>
          <w:tcPr>
            <w:tcW w:w="845" w:type="dxa"/>
            <w:tcBorders>
              <w:left w:val="nil"/>
              <w:right w:val="nil"/>
            </w:tcBorders>
            <w:shd w:val="clear" w:color="000000" w:fill="FFFFFF"/>
            <w:noWrap/>
            <w:vAlign w:val="center"/>
            <w:hideMark/>
          </w:tcPr>
          <w:p w:rsidR="00142521" w:rsidRPr="007253CD" w:rsidRDefault="000D6044" w:rsidP="003C79F3">
            <w:pPr>
              <w:ind w:right="170"/>
              <w:jc w:val="right"/>
              <w:rPr>
                <w:rFonts w:ascii="Arial Narrow" w:hAnsi="Arial Narrow"/>
                <w:b/>
                <w:bCs/>
                <w:color w:val="000000"/>
                <w:sz w:val="16"/>
                <w:szCs w:val="16"/>
              </w:rPr>
            </w:pPr>
            <w:r>
              <w:rPr>
                <w:rFonts w:ascii="Arial Narrow" w:hAnsi="Arial Narrow"/>
                <w:b/>
                <w:bCs/>
                <w:color w:val="000000"/>
                <w:sz w:val="16"/>
                <w:szCs w:val="16"/>
              </w:rPr>
              <w:t>2.088</w:t>
            </w:r>
          </w:p>
        </w:tc>
        <w:tc>
          <w:tcPr>
            <w:tcW w:w="664" w:type="dxa"/>
            <w:tcBorders>
              <w:left w:val="nil"/>
              <w:right w:val="nil"/>
            </w:tcBorders>
            <w:shd w:val="clear" w:color="000000" w:fill="FFFFFF"/>
            <w:noWrap/>
            <w:vAlign w:val="center"/>
            <w:hideMark/>
          </w:tcPr>
          <w:p w:rsidR="00142521" w:rsidRPr="007253CD" w:rsidRDefault="000D6044" w:rsidP="00853E08">
            <w:pPr>
              <w:ind w:right="113"/>
              <w:jc w:val="right"/>
              <w:rPr>
                <w:rFonts w:ascii="Arial Narrow" w:hAnsi="Arial Narrow"/>
                <w:b/>
                <w:bCs/>
                <w:color w:val="000000"/>
                <w:sz w:val="16"/>
                <w:szCs w:val="16"/>
              </w:rPr>
            </w:pPr>
            <w:r>
              <w:rPr>
                <w:rFonts w:ascii="Arial Narrow" w:hAnsi="Arial Narrow"/>
                <w:b/>
                <w:bCs/>
                <w:color w:val="000000"/>
                <w:sz w:val="16"/>
                <w:szCs w:val="16"/>
              </w:rPr>
              <w:t>5,0</w:t>
            </w:r>
          </w:p>
        </w:tc>
        <w:tc>
          <w:tcPr>
            <w:tcW w:w="549" w:type="dxa"/>
            <w:tcBorders>
              <w:left w:val="nil"/>
              <w:right w:val="single" w:sz="4" w:space="0" w:color="auto"/>
            </w:tcBorders>
            <w:shd w:val="clear" w:color="000000" w:fill="FFFFFF"/>
            <w:noWrap/>
            <w:vAlign w:val="center"/>
            <w:hideMark/>
          </w:tcPr>
          <w:p w:rsidR="00142521" w:rsidRPr="007253CD" w:rsidRDefault="000A61EE" w:rsidP="00853E08">
            <w:pPr>
              <w:ind w:right="113"/>
              <w:jc w:val="right"/>
              <w:rPr>
                <w:rFonts w:ascii="Arial Narrow" w:hAnsi="Arial Narrow"/>
                <w:b/>
                <w:bCs/>
                <w:color w:val="000000"/>
                <w:sz w:val="16"/>
                <w:szCs w:val="16"/>
              </w:rPr>
            </w:pPr>
            <w:r>
              <w:rPr>
                <w:rFonts w:ascii="Arial Narrow" w:hAnsi="Arial Narrow"/>
                <w:b/>
                <w:bCs/>
                <w:color w:val="000000"/>
                <w:sz w:val="16"/>
                <w:szCs w:val="16"/>
              </w:rPr>
              <w:t>9,0</w:t>
            </w:r>
          </w:p>
        </w:tc>
      </w:tr>
      <w:tr w:rsidR="00142521" w:rsidRPr="007253CD" w:rsidTr="009971C6">
        <w:trPr>
          <w:trHeight w:val="227"/>
          <w:jc w:val="center"/>
        </w:trPr>
        <w:tc>
          <w:tcPr>
            <w:tcW w:w="249" w:type="dxa"/>
            <w:tcBorders>
              <w:left w:val="single" w:sz="4" w:space="0" w:color="auto"/>
            </w:tcBorders>
            <w:shd w:val="clear" w:color="000000" w:fill="FFFFFF"/>
            <w:noWrap/>
            <w:vAlign w:val="center"/>
            <w:hideMark/>
          </w:tcPr>
          <w:p w:rsidR="00142521" w:rsidRPr="007253CD" w:rsidRDefault="00142521" w:rsidP="003C79F3">
            <w:pPr>
              <w:jc w:val="center"/>
              <w:rPr>
                <w:rFonts w:ascii="Arial Narrow" w:hAnsi="Arial Narrow"/>
                <w:b/>
                <w:bCs/>
                <w:color w:val="000000"/>
                <w:sz w:val="16"/>
                <w:szCs w:val="16"/>
              </w:rPr>
            </w:pPr>
            <w:r w:rsidRPr="007253CD">
              <w:rPr>
                <w:rFonts w:ascii="Arial Narrow" w:hAnsi="Arial Narrow"/>
                <w:b/>
                <w:bCs/>
                <w:color w:val="000000"/>
                <w:sz w:val="16"/>
                <w:szCs w:val="16"/>
              </w:rPr>
              <w:t>3</w:t>
            </w:r>
          </w:p>
        </w:tc>
        <w:tc>
          <w:tcPr>
            <w:tcW w:w="6197" w:type="dxa"/>
            <w:gridSpan w:val="5"/>
            <w:shd w:val="clear" w:color="000000" w:fill="FFFFFF"/>
            <w:vAlign w:val="center"/>
            <w:hideMark/>
          </w:tcPr>
          <w:p w:rsidR="00142521" w:rsidRPr="007253CD" w:rsidRDefault="00142521" w:rsidP="003C79F3">
            <w:pPr>
              <w:rPr>
                <w:rFonts w:ascii="Arial Narrow" w:hAnsi="Arial Narrow"/>
                <w:b/>
                <w:bCs/>
                <w:color w:val="000000"/>
                <w:sz w:val="16"/>
                <w:szCs w:val="16"/>
              </w:rPr>
            </w:pPr>
            <w:r w:rsidRPr="007253CD">
              <w:rPr>
                <w:rFonts w:ascii="Arial Narrow" w:hAnsi="Arial Narrow"/>
                <w:b/>
                <w:bCs/>
                <w:color w:val="000000"/>
                <w:sz w:val="16"/>
                <w:szCs w:val="16"/>
              </w:rPr>
              <w:t>Λοιπές μεταβιβάσεις (τρέχουσες εγχώριες)</w:t>
            </w:r>
          </w:p>
        </w:tc>
        <w:tc>
          <w:tcPr>
            <w:tcW w:w="850" w:type="dxa"/>
            <w:tcBorders>
              <w:left w:val="nil"/>
              <w:right w:val="nil"/>
            </w:tcBorders>
            <w:shd w:val="clear" w:color="000000" w:fill="FFFFFF"/>
            <w:noWrap/>
            <w:vAlign w:val="center"/>
            <w:hideMark/>
          </w:tcPr>
          <w:p w:rsidR="00142521" w:rsidRPr="007253CD" w:rsidRDefault="00704A0C" w:rsidP="003C79F3">
            <w:pPr>
              <w:ind w:right="170"/>
              <w:jc w:val="right"/>
              <w:rPr>
                <w:rFonts w:ascii="Arial Narrow" w:hAnsi="Arial Narrow"/>
                <w:b/>
                <w:bCs/>
                <w:color w:val="000000"/>
                <w:sz w:val="16"/>
                <w:szCs w:val="16"/>
              </w:rPr>
            </w:pPr>
            <w:r>
              <w:rPr>
                <w:rFonts w:ascii="Arial Narrow" w:hAnsi="Arial Narrow"/>
                <w:b/>
                <w:bCs/>
                <w:color w:val="000000"/>
                <w:sz w:val="16"/>
                <w:szCs w:val="16"/>
              </w:rPr>
              <w:t>6</w:t>
            </w:r>
          </w:p>
        </w:tc>
        <w:tc>
          <w:tcPr>
            <w:tcW w:w="729" w:type="dxa"/>
            <w:tcBorders>
              <w:left w:val="nil"/>
              <w:right w:val="nil"/>
            </w:tcBorders>
            <w:shd w:val="clear" w:color="000000" w:fill="FFFFFF"/>
            <w:noWrap/>
            <w:vAlign w:val="center"/>
            <w:hideMark/>
          </w:tcPr>
          <w:p w:rsidR="00142521" w:rsidRPr="007253CD" w:rsidRDefault="000D6044" w:rsidP="003C79F3">
            <w:pPr>
              <w:ind w:right="170"/>
              <w:jc w:val="right"/>
              <w:rPr>
                <w:rFonts w:ascii="Arial Narrow" w:hAnsi="Arial Narrow"/>
                <w:b/>
                <w:bCs/>
                <w:color w:val="000000"/>
                <w:sz w:val="16"/>
                <w:szCs w:val="16"/>
              </w:rPr>
            </w:pPr>
            <w:r>
              <w:rPr>
                <w:rFonts w:ascii="Arial Narrow" w:hAnsi="Arial Narrow"/>
                <w:b/>
                <w:bCs/>
                <w:color w:val="000000"/>
                <w:sz w:val="16"/>
                <w:szCs w:val="16"/>
              </w:rPr>
              <w:t>7</w:t>
            </w:r>
          </w:p>
        </w:tc>
        <w:tc>
          <w:tcPr>
            <w:tcW w:w="845" w:type="dxa"/>
            <w:tcBorders>
              <w:left w:val="nil"/>
              <w:right w:val="nil"/>
            </w:tcBorders>
            <w:shd w:val="clear" w:color="000000" w:fill="FFFFFF"/>
            <w:noWrap/>
            <w:vAlign w:val="center"/>
            <w:hideMark/>
          </w:tcPr>
          <w:p w:rsidR="00142521" w:rsidRPr="007253CD" w:rsidRDefault="000D6044" w:rsidP="003C79F3">
            <w:pPr>
              <w:ind w:right="170"/>
              <w:jc w:val="right"/>
              <w:rPr>
                <w:rFonts w:ascii="Arial Narrow" w:hAnsi="Arial Narrow"/>
                <w:b/>
                <w:bCs/>
                <w:color w:val="000000"/>
                <w:sz w:val="16"/>
                <w:szCs w:val="16"/>
              </w:rPr>
            </w:pPr>
            <w:r>
              <w:rPr>
                <w:rFonts w:ascii="Arial Narrow" w:hAnsi="Arial Narrow"/>
                <w:b/>
                <w:bCs/>
                <w:color w:val="000000"/>
                <w:sz w:val="16"/>
                <w:szCs w:val="16"/>
              </w:rPr>
              <w:t>0</w:t>
            </w:r>
          </w:p>
        </w:tc>
        <w:tc>
          <w:tcPr>
            <w:tcW w:w="664" w:type="dxa"/>
            <w:tcBorders>
              <w:left w:val="nil"/>
              <w:right w:val="nil"/>
            </w:tcBorders>
            <w:shd w:val="clear" w:color="000000" w:fill="FFFFFF"/>
            <w:noWrap/>
            <w:vAlign w:val="center"/>
            <w:hideMark/>
          </w:tcPr>
          <w:p w:rsidR="00142521" w:rsidRPr="007253CD" w:rsidRDefault="000D6044" w:rsidP="00853E08">
            <w:pPr>
              <w:ind w:right="113"/>
              <w:jc w:val="right"/>
              <w:rPr>
                <w:rFonts w:ascii="Arial Narrow" w:hAnsi="Arial Narrow"/>
                <w:b/>
                <w:bCs/>
                <w:color w:val="000000"/>
                <w:sz w:val="16"/>
                <w:szCs w:val="16"/>
              </w:rPr>
            </w:pPr>
            <w:r>
              <w:rPr>
                <w:rFonts w:ascii="Arial Narrow" w:hAnsi="Arial Narrow"/>
                <w:b/>
                <w:bCs/>
                <w:color w:val="000000"/>
                <w:sz w:val="16"/>
                <w:szCs w:val="16"/>
              </w:rPr>
              <w:t>34,1</w:t>
            </w:r>
          </w:p>
        </w:tc>
        <w:tc>
          <w:tcPr>
            <w:tcW w:w="549" w:type="dxa"/>
            <w:tcBorders>
              <w:left w:val="nil"/>
              <w:right w:val="single" w:sz="4" w:space="0" w:color="auto"/>
            </w:tcBorders>
            <w:shd w:val="clear" w:color="000000" w:fill="FFFFFF"/>
            <w:noWrap/>
            <w:vAlign w:val="center"/>
            <w:hideMark/>
          </w:tcPr>
          <w:p w:rsidR="00142521" w:rsidRPr="007253CD" w:rsidRDefault="000A61EE" w:rsidP="00853E08">
            <w:pPr>
              <w:ind w:right="113"/>
              <w:jc w:val="right"/>
              <w:rPr>
                <w:rFonts w:ascii="Arial Narrow" w:hAnsi="Arial Narrow"/>
                <w:b/>
                <w:bCs/>
                <w:color w:val="000000"/>
                <w:sz w:val="16"/>
                <w:szCs w:val="16"/>
              </w:rPr>
            </w:pPr>
            <w:r>
              <w:rPr>
                <w:rFonts w:ascii="Arial Narrow" w:hAnsi="Arial Narrow"/>
                <w:b/>
                <w:bCs/>
                <w:color w:val="000000"/>
                <w:sz w:val="16"/>
                <w:szCs w:val="16"/>
              </w:rPr>
              <w:t>-99,3</w:t>
            </w:r>
          </w:p>
        </w:tc>
      </w:tr>
      <w:tr w:rsidR="00142521" w:rsidRPr="007253CD" w:rsidTr="009971C6">
        <w:trPr>
          <w:trHeight w:val="227"/>
          <w:jc w:val="center"/>
        </w:trPr>
        <w:tc>
          <w:tcPr>
            <w:tcW w:w="249" w:type="dxa"/>
            <w:tcBorders>
              <w:left w:val="single" w:sz="4" w:space="0" w:color="auto"/>
            </w:tcBorders>
            <w:shd w:val="clear" w:color="000000" w:fill="FFFFFF"/>
            <w:noWrap/>
            <w:vAlign w:val="center"/>
            <w:hideMark/>
          </w:tcPr>
          <w:p w:rsidR="00142521" w:rsidRPr="007253CD" w:rsidRDefault="00142521" w:rsidP="003C79F3">
            <w:pPr>
              <w:jc w:val="center"/>
              <w:rPr>
                <w:rFonts w:ascii="Arial Narrow" w:hAnsi="Arial Narrow"/>
                <w:b/>
                <w:bCs/>
                <w:color w:val="000000"/>
                <w:sz w:val="16"/>
                <w:szCs w:val="16"/>
              </w:rPr>
            </w:pPr>
            <w:r w:rsidRPr="007253CD">
              <w:rPr>
                <w:rFonts w:ascii="Arial Narrow" w:hAnsi="Arial Narrow"/>
                <w:b/>
                <w:bCs/>
                <w:color w:val="000000"/>
                <w:sz w:val="16"/>
                <w:szCs w:val="16"/>
              </w:rPr>
              <w:t>4</w:t>
            </w:r>
          </w:p>
        </w:tc>
        <w:tc>
          <w:tcPr>
            <w:tcW w:w="6197" w:type="dxa"/>
            <w:gridSpan w:val="5"/>
            <w:shd w:val="clear" w:color="000000" w:fill="FFFFFF"/>
            <w:vAlign w:val="center"/>
            <w:hideMark/>
          </w:tcPr>
          <w:p w:rsidR="00142521" w:rsidRPr="007253CD" w:rsidRDefault="00142521" w:rsidP="003C79F3">
            <w:pPr>
              <w:rPr>
                <w:rFonts w:ascii="Arial Narrow" w:hAnsi="Arial Narrow"/>
                <w:b/>
                <w:bCs/>
                <w:color w:val="000000"/>
                <w:sz w:val="16"/>
                <w:szCs w:val="16"/>
              </w:rPr>
            </w:pPr>
            <w:r w:rsidRPr="007253CD">
              <w:rPr>
                <w:rFonts w:ascii="Arial Narrow" w:hAnsi="Arial Narrow"/>
                <w:b/>
                <w:bCs/>
                <w:color w:val="000000"/>
                <w:sz w:val="16"/>
                <w:szCs w:val="16"/>
              </w:rPr>
              <w:t xml:space="preserve">Επιχορηγήσεις επενδύσεων εσωτερικού </w:t>
            </w:r>
          </w:p>
        </w:tc>
        <w:tc>
          <w:tcPr>
            <w:tcW w:w="850" w:type="dxa"/>
            <w:tcBorders>
              <w:left w:val="nil"/>
              <w:right w:val="nil"/>
            </w:tcBorders>
            <w:shd w:val="clear" w:color="000000" w:fill="FFFFFF"/>
            <w:noWrap/>
            <w:vAlign w:val="center"/>
            <w:hideMark/>
          </w:tcPr>
          <w:p w:rsidR="00142521" w:rsidRPr="007253CD" w:rsidRDefault="00704A0C" w:rsidP="003C79F3">
            <w:pPr>
              <w:ind w:right="170"/>
              <w:jc w:val="right"/>
              <w:rPr>
                <w:rFonts w:ascii="Arial Narrow" w:hAnsi="Arial Narrow"/>
                <w:b/>
                <w:bCs/>
                <w:color w:val="000000"/>
                <w:sz w:val="16"/>
                <w:szCs w:val="16"/>
              </w:rPr>
            </w:pPr>
            <w:r>
              <w:rPr>
                <w:rFonts w:ascii="Arial Narrow" w:hAnsi="Arial Narrow"/>
                <w:b/>
                <w:bCs/>
                <w:color w:val="000000"/>
                <w:sz w:val="16"/>
                <w:szCs w:val="16"/>
              </w:rPr>
              <w:t>197</w:t>
            </w:r>
          </w:p>
        </w:tc>
        <w:tc>
          <w:tcPr>
            <w:tcW w:w="729" w:type="dxa"/>
            <w:tcBorders>
              <w:left w:val="nil"/>
              <w:right w:val="nil"/>
            </w:tcBorders>
            <w:shd w:val="clear" w:color="000000" w:fill="FFFFFF"/>
            <w:noWrap/>
            <w:vAlign w:val="center"/>
            <w:hideMark/>
          </w:tcPr>
          <w:p w:rsidR="00142521" w:rsidRPr="007253CD" w:rsidRDefault="000D6044" w:rsidP="003C79F3">
            <w:pPr>
              <w:ind w:right="170"/>
              <w:jc w:val="right"/>
              <w:rPr>
                <w:rFonts w:ascii="Arial Narrow" w:hAnsi="Arial Narrow"/>
                <w:b/>
                <w:bCs/>
                <w:color w:val="000000"/>
                <w:sz w:val="16"/>
                <w:szCs w:val="16"/>
              </w:rPr>
            </w:pPr>
            <w:r>
              <w:rPr>
                <w:rFonts w:ascii="Arial Narrow" w:hAnsi="Arial Narrow"/>
                <w:b/>
                <w:bCs/>
                <w:color w:val="000000"/>
                <w:sz w:val="16"/>
                <w:szCs w:val="16"/>
              </w:rPr>
              <w:t>191</w:t>
            </w:r>
          </w:p>
        </w:tc>
        <w:tc>
          <w:tcPr>
            <w:tcW w:w="845" w:type="dxa"/>
            <w:tcBorders>
              <w:left w:val="nil"/>
              <w:right w:val="nil"/>
            </w:tcBorders>
            <w:shd w:val="clear" w:color="000000" w:fill="FFFFFF"/>
            <w:noWrap/>
            <w:vAlign w:val="center"/>
            <w:hideMark/>
          </w:tcPr>
          <w:p w:rsidR="00142521" w:rsidRPr="007253CD" w:rsidRDefault="000D6044" w:rsidP="003C79F3">
            <w:pPr>
              <w:ind w:right="170"/>
              <w:jc w:val="right"/>
              <w:rPr>
                <w:rFonts w:ascii="Arial Narrow" w:hAnsi="Arial Narrow"/>
                <w:b/>
                <w:bCs/>
                <w:color w:val="000000"/>
                <w:sz w:val="16"/>
                <w:szCs w:val="16"/>
              </w:rPr>
            </w:pPr>
            <w:r>
              <w:rPr>
                <w:rFonts w:ascii="Arial Narrow" w:hAnsi="Arial Narrow"/>
                <w:b/>
                <w:bCs/>
                <w:color w:val="000000"/>
                <w:sz w:val="16"/>
                <w:szCs w:val="16"/>
              </w:rPr>
              <w:t>215</w:t>
            </w:r>
          </w:p>
        </w:tc>
        <w:tc>
          <w:tcPr>
            <w:tcW w:w="664" w:type="dxa"/>
            <w:tcBorders>
              <w:left w:val="nil"/>
              <w:right w:val="nil"/>
            </w:tcBorders>
            <w:shd w:val="clear" w:color="000000" w:fill="FFFFFF"/>
            <w:noWrap/>
            <w:vAlign w:val="center"/>
            <w:hideMark/>
          </w:tcPr>
          <w:p w:rsidR="00142521" w:rsidRPr="007253CD" w:rsidRDefault="000D6044" w:rsidP="00853E08">
            <w:pPr>
              <w:ind w:right="113"/>
              <w:jc w:val="right"/>
              <w:rPr>
                <w:rFonts w:ascii="Arial Narrow" w:hAnsi="Arial Narrow"/>
                <w:b/>
                <w:bCs/>
                <w:color w:val="000000"/>
                <w:sz w:val="16"/>
                <w:szCs w:val="16"/>
              </w:rPr>
            </w:pPr>
            <w:r>
              <w:rPr>
                <w:rFonts w:ascii="Arial Narrow" w:hAnsi="Arial Narrow"/>
                <w:b/>
                <w:bCs/>
                <w:color w:val="000000"/>
                <w:sz w:val="16"/>
                <w:szCs w:val="16"/>
              </w:rPr>
              <w:t>-2,9</w:t>
            </w:r>
          </w:p>
        </w:tc>
        <w:tc>
          <w:tcPr>
            <w:tcW w:w="549" w:type="dxa"/>
            <w:tcBorders>
              <w:left w:val="nil"/>
              <w:right w:val="single" w:sz="4" w:space="0" w:color="auto"/>
            </w:tcBorders>
            <w:shd w:val="clear" w:color="000000" w:fill="FFFFFF"/>
            <w:noWrap/>
            <w:vAlign w:val="center"/>
            <w:hideMark/>
          </w:tcPr>
          <w:p w:rsidR="00142521" w:rsidRPr="007253CD" w:rsidRDefault="000A61EE" w:rsidP="00853E08">
            <w:pPr>
              <w:ind w:right="113"/>
              <w:jc w:val="right"/>
              <w:rPr>
                <w:rFonts w:ascii="Arial Narrow" w:hAnsi="Arial Narrow"/>
                <w:b/>
                <w:bCs/>
                <w:color w:val="000000"/>
                <w:sz w:val="16"/>
                <w:szCs w:val="16"/>
              </w:rPr>
            </w:pPr>
            <w:r>
              <w:rPr>
                <w:rFonts w:ascii="Arial Narrow" w:hAnsi="Arial Narrow"/>
                <w:b/>
                <w:bCs/>
                <w:color w:val="000000"/>
                <w:sz w:val="16"/>
                <w:szCs w:val="16"/>
              </w:rPr>
              <w:t>12,4</w:t>
            </w:r>
          </w:p>
        </w:tc>
      </w:tr>
      <w:tr w:rsidR="00142521" w:rsidRPr="007253CD" w:rsidTr="009971C6">
        <w:trPr>
          <w:trHeight w:val="225"/>
          <w:jc w:val="center"/>
        </w:trPr>
        <w:tc>
          <w:tcPr>
            <w:tcW w:w="249" w:type="dxa"/>
            <w:tcBorders>
              <w:left w:val="single" w:sz="4" w:space="0" w:color="auto"/>
            </w:tcBorders>
            <w:shd w:val="clear" w:color="000000" w:fill="FFFFFF"/>
            <w:noWrap/>
            <w:vAlign w:val="center"/>
            <w:hideMark/>
          </w:tcPr>
          <w:p w:rsidR="00142521" w:rsidRPr="007253CD" w:rsidRDefault="00142521" w:rsidP="003C79F3">
            <w:pPr>
              <w:jc w:val="center"/>
              <w:rPr>
                <w:rFonts w:ascii="Arial Narrow" w:hAnsi="Arial Narrow"/>
                <w:b/>
                <w:bCs/>
                <w:color w:val="000000"/>
                <w:sz w:val="16"/>
                <w:szCs w:val="16"/>
              </w:rPr>
            </w:pPr>
          </w:p>
        </w:tc>
        <w:tc>
          <w:tcPr>
            <w:tcW w:w="6197" w:type="dxa"/>
            <w:gridSpan w:val="5"/>
            <w:shd w:val="clear" w:color="000000" w:fill="FFFFFF"/>
            <w:vAlign w:val="center"/>
            <w:hideMark/>
          </w:tcPr>
          <w:p w:rsidR="00142521" w:rsidRPr="007253CD" w:rsidRDefault="00142521" w:rsidP="003C79F3">
            <w:pPr>
              <w:rPr>
                <w:rFonts w:ascii="Arial Narrow" w:hAnsi="Arial Narrow"/>
                <w:b/>
                <w:bCs/>
                <w:sz w:val="16"/>
                <w:szCs w:val="16"/>
              </w:rPr>
            </w:pPr>
            <w:r w:rsidRPr="007253CD">
              <w:rPr>
                <w:rFonts w:ascii="Arial Narrow" w:hAnsi="Arial Narrow"/>
                <w:b/>
                <w:bCs/>
                <w:sz w:val="16"/>
                <w:szCs w:val="16"/>
              </w:rPr>
              <w:t> </w:t>
            </w:r>
            <w:r>
              <w:rPr>
                <w:rFonts w:ascii="Arial Narrow" w:hAnsi="Arial Narrow"/>
                <w:bCs/>
                <w:sz w:val="16"/>
                <w:szCs w:val="16"/>
              </w:rPr>
              <w:t>Εκ των οποίων:</w:t>
            </w:r>
          </w:p>
        </w:tc>
        <w:tc>
          <w:tcPr>
            <w:tcW w:w="850" w:type="dxa"/>
            <w:tcBorders>
              <w:left w:val="nil"/>
              <w:right w:val="nil"/>
            </w:tcBorders>
            <w:shd w:val="clear" w:color="000000" w:fill="FFFFFF"/>
            <w:noWrap/>
            <w:vAlign w:val="center"/>
            <w:hideMark/>
          </w:tcPr>
          <w:p w:rsidR="00142521" w:rsidRPr="005B7F28" w:rsidRDefault="00142521" w:rsidP="003C79F3">
            <w:pPr>
              <w:ind w:right="170"/>
              <w:jc w:val="right"/>
              <w:rPr>
                <w:rFonts w:ascii="Arial Narrow" w:hAnsi="Arial Narrow"/>
                <w:bCs/>
                <w:sz w:val="16"/>
                <w:szCs w:val="16"/>
              </w:rPr>
            </w:pPr>
          </w:p>
        </w:tc>
        <w:tc>
          <w:tcPr>
            <w:tcW w:w="729" w:type="dxa"/>
            <w:tcBorders>
              <w:left w:val="nil"/>
              <w:right w:val="nil"/>
            </w:tcBorders>
            <w:shd w:val="clear" w:color="000000" w:fill="FFFFFF"/>
            <w:noWrap/>
            <w:vAlign w:val="center"/>
            <w:hideMark/>
          </w:tcPr>
          <w:p w:rsidR="000D6044" w:rsidRPr="005B7F28" w:rsidRDefault="000D6044" w:rsidP="003C79F3">
            <w:pPr>
              <w:ind w:right="170"/>
              <w:jc w:val="right"/>
              <w:rPr>
                <w:rFonts w:ascii="Arial Narrow" w:hAnsi="Arial Narrow"/>
                <w:bCs/>
                <w:sz w:val="16"/>
                <w:szCs w:val="16"/>
              </w:rPr>
            </w:pPr>
          </w:p>
        </w:tc>
        <w:tc>
          <w:tcPr>
            <w:tcW w:w="845" w:type="dxa"/>
            <w:tcBorders>
              <w:left w:val="nil"/>
              <w:right w:val="nil"/>
            </w:tcBorders>
            <w:shd w:val="clear" w:color="000000" w:fill="FFFFFF"/>
            <w:noWrap/>
            <w:vAlign w:val="center"/>
            <w:hideMark/>
          </w:tcPr>
          <w:p w:rsidR="000D6044" w:rsidRPr="005B7F28" w:rsidRDefault="000D6044" w:rsidP="003C79F3">
            <w:pPr>
              <w:ind w:right="170"/>
              <w:jc w:val="right"/>
              <w:rPr>
                <w:rFonts w:ascii="Arial Narrow" w:hAnsi="Arial Narrow"/>
                <w:bCs/>
                <w:sz w:val="16"/>
                <w:szCs w:val="16"/>
              </w:rPr>
            </w:pPr>
          </w:p>
        </w:tc>
        <w:tc>
          <w:tcPr>
            <w:tcW w:w="664" w:type="dxa"/>
            <w:tcBorders>
              <w:left w:val="nil"/>
              <w:right w:val="nil"/>
            </w:tcBorders>
            <w:shd w:val="clear" w:color="000000" w:fill="FFFFFF"/>
            <w:noWrap/>
            <w:vAlign w:val="center"/>
            <w:hideMark/>
          </w:tcPr>
          <w:p w:rsidR="000D6044" w:rsidRPr="005B7F28" w:rsidRDefault="000D6044" w:rsidP="00853E08">
            <w:pPr>
              <w:ind w:right="113"/>
              <w:jc w:val="right"/>
              <w:rPr>
                <w:rFonts w:ascii="Arial Narrow" w:hAnsi="Arial Narrow"/>
                <w:bCs/>
                <w:sz w:val="16"/>
                <w:szCs w:val="16"/>
              </w:rPr>
            </w:pPr>
          </w:p>
        </w:tc>
        <w:tc>
          <w:tcPr>
            <w:tcW w:w="549" w:type="dxa"/>
            <w:tcBorders>
              <w:left w:val="nil"/>
              <w:right w:val="single" w:sz="4" w:space="0" w:color="auto"/>
            </w:tcBorders>
            <w:shd w:val="clear" w:color="000000" w:fill="FFFFFF"/>
            <w:noWrap/>
            <w:vAlign w:val="center"/>
            <w:hideMark/>
          </w:tcPr>
          <w:p w:rsidR="000A61EE" w:rsidRPr="005B7F28" w:rsidRDefault="000A61EE" w:rsidP="00853E08">
            <w:pPr>
              <w:ind w:right="113"/>
              <w:jc w:val="right"/>
              <w:rPr>
                <w:rFonts w:ascii="Arial Narrow" w:hAnsi="Arial Narrow"/>
                <w:bCs/>
                <w:sz w:val="16"/>
                <w:szCs w:val="16"/>
              </w:rPr>
            </w:pPr>
          </w:p>
        </w:tc>
      </w:tr>
      <w:tr w:rsidR="009971C6" w:rsidRPr="009971C6" w:rsidTr="009971C6">
        <w:trPr>
          <w:trHeight w:val="225"/>
          <w:jc w:val="center"/>
        </w:trPr>
        <w:tc>
          <w:tcPr>
            <w:tcW w:w="249" w:type="dxa"/>
            <w:tcBorders>
              <w:left w:val="single" w:sz="4" w:space="0" w:color="auto"/>
            </w:tcBorders>
            <w:shd w:val="clear" w:color="000000" w:fill="FFFFFF"/>
            <w:noWrap/>
            <w:vAlign w:val="center"/>
            <w:hideMark/>
          </w:tcPr>
          <w:p w:rsidR="009971C6" w:rsidRPr="009971C6" w:rsidRDefault="009971C6" w:rsidP="003C79F3">
            <w:pPr>
              <w:jc w:val="center"/>
              <w:rPr>
                <w:rFonts w:ascii="Arial Narrow" w:hAnsi="Arial Narrow"/>
                <w:bCs/>
                <w:color w:val="000000"/>
                <w:sz w:val="16"/>
                <w:szCs w:val="16"/>
              </w:rPr>
            </w:pPr>
          </w:p>
        </w:tc>
        <w:tc>
          <w:tcPr>
            <w:tcW w:w="6197" w:type="dxa"/>
            <w:gridSpan w:val="5"/>
            <w:shd w:val="clear" w:color="000000" w:fill="FFFFFF"/>
            <w:vAlign w:val="center"/>
            <w:hideMark/>
          </w:tcPr>
          <w:p w:rsidR="009971C6" w:rsidRPr="009971C6" w:rsidRDefault="009971C6" w:rsidP="003C79F3">
            <w:pPr>
              <w:rPr>
                <w:rFonts w:ascii="Arial Narrow" w:hAnsi="Arial Narrow"/>
                <w:bCs/>
                <w:sz w:val="16"/>
                <w:szCs w:val="16"/>
              </w:rPr>
            </w:pPr>
            <w:r w:rsidRPr="009971C6">
              <w:rPr>
                <w:rFonts w:ascii="Arial Narrow" w:hAnsi="Arial Narrow"/>
                <w:bCs/>
                <w:sz w:val="16"/>
                <w:szCs w:val="16"/>
              </w:rPr>
              <w:t>Ε</w:t>
            </w:r>
            <w:r>
              <w:rPr>
                <w:rFonts w:ascii="Arial Narrow" w:hAnsi="Arial Narrow"/>
                <w:bCs/>
                <w:sz w:val="16"/>
                <w:szCs w:val="16"/>
              </w:rPr>
              <w:t>πιχορηγήσεις επενδύσεων εσωτερικού σε ΟΤΑ</w:t>
            </w:r>
          </w:p>
        </w:tc>
        <w:tc>
          <w:tcPr>
            <w:tcW w:w="850" w:type="dxa"/>
            <w:tcBorders>
              <w:left w:val="nil"/>
              <w:right w:val="nil"/>
            </w:tcBorders>
            <w:shd w:val="clear" w:color="000000" w:fill="FFFFFF"/>
            <w:noWrap/>
            <w:vAlign w:val="center"/>
            <w:hideMark/>
          </w:tcPr>
          <w:p w:rsidR="009971C6" w:rsidRPr="009971C6" w:rsidRDefault="00657B0A" w:rsidP="003C79F3">
            <w:pPr>
              <w:ind w:right="170"/>
              <w:jc w:val="right"/>
              <w:rPr>
                <w:rFonts w:ascii="Arial Narrow" w:hAnsi="Arial Narrow"/>
                <w:bCs/>
                <w:sz w:val="16"/>
                <w:szCs w:val="16"/>
              </w:rPr>
            </w:pPr>
            <w:r>
              <w:rPr>
                <w:rFonts w:ascii="Arial Narrow" w:hAnsi="Arial Narrow"/>
                <w:bCs/>
                <w:sz w:val="16"/>
                <w:szCs w:val="16"/>
              </w:rPr>
              <w:t>-</w:t>
            </w:r>
          </w:p>
        </w:tc>
        <w:tc>
          <w:tcPr>
            <w:tcW w:w="729" w:type="dxa"/>
            <w:tcBorders>
              <w:left w:val="nil"/>
              <w:right w:val="nil"/>
            </w:tcBorders>
            <w:shd w:val="clear" w:color="000000" w:fill="FFFFFF"/>
            <w:noWrap/>
            <w:vAlign w:val="center"/>
            <w:hideMark/>
          </w:tcPr>
          <w:p w:rsidR="009971C6" w:rsidRPr="009971C6" w:rsidRDefault="00657B0A" w:rsidP="003C79F3">
            <w:pPr>
              <w:ind w:right="170"/>
              <w:jc w:val="right"/>
              <w:rPr>
                <w:rFonts w:ascii="Arial Narrow" w:hAnsi="Arial Narrow"/>
                <w:bCs/>
                <w:sz w:val="16"/>
                <w:szCs w:val="16"/>
              </w:rPr>
            </w:pPr>
            <w:r>
              <w:rPr>
                <w:rFonts w:ascii="Arial Narrow" w:hAnsi="Arial Narrow"/>
                <w:bCs/>
                <w:sz w:val="16"/>
                <w:szCs w:val="16"/>
              </w:rPr>
              <w:t>-</w:t>
            </w:r>
          </w:p>
        </w:tc>
        <w:tc>
          <w:tcPr>
            <w:tcW w:w="845" w:type="dxa"/>
            <w:tcBorders>
              <w:left w:val="nil"/>
              <w:right w:val="nil"/>
            </w:tcBorders>
            <w:shd w:val="clear" w:color="000000" w:fill="FFFFFF"/>
            <w:noWrap/>
            <w:vAlign w:val="center"/>
            <w:hideMark/>
          </w:tcPr>
          <w:p w:rsidR="009971C6" w:rsidRPr="009971C6" w:rsidRDefault="00657B0A" w:rsidP="003C79F3">
            <w:pPr>
              <w:ind w:right="170"/>
              <w:jc w:val="right"/>
              <w:rPr>
                <w:rFonts w:ascii="Arial Narrow" w:hAnsi="Arial Narrow"/>
                <w:bCs/>
                <w:sz w:val="16"/>
                <w:szCs w:val="16"/>
              </w:rPr>
            </w:pPr>
            <w:r>
              <w:rPr>
                <w:rFonts w:ascii="Arial Narrow" w:hAnsi="Arial Narrow"/>
                <w:bCs/>
                <w:sz w:val="16"/>
                <w:szCs w:val="16"/>
              </w:rPr>
              <w:t>25</w:t>
            </w:r>
          </w:p>
        </w:tc>
        <w:tc>
          <w:tcPr>
            <w:tcW w:w="664" w:type="dxa"/>
            <w:tcBorders>
              <w:left w:val="nil"/>
              <w:right w:val="nil"/>
            </w:tcBorders>
            <w:shd w:val="clear" w:color="000000" w:fill="FFFFFF"/>
            <w:noWrap/>
            <w:vAlign w:val="center"/>
            <w:hideMark/>
          </w:tcPr>
          <w:p w:rsidR="009971C6" w:rsidRPr="009971C6" w:rsidRDefault="009971C6" w:rsidP="00853E08">
            <w:pPr>
              <w:ind w:right="113"/>
              <w:jc w:val="right"/>
              <w:rPr>
                <w:rFonts w:ascii="Arial Narrow" w:hAnsi="Arial Narrow"/>
                <w:bCs/>
                <w:sz w:val="16"/>
                <w:szCs w:val="16"/>
              </w:rPr>
            </w:pPr>
          </w:p>
        </w:tc>
        <w:tc>
          <w:tcPr>
            <w:tcW w:w="549" w:type="dxa"/>
            <w:tcBorders>
              <w:left w:val="nil"/>
              <w:right w:val="single" w:sz="4" w:space="0" w:color="auto"/>
            </w:tcBorders>
            <w:shd w:val="clear" w:color="000000" w:fill="FFFFFF"/>
            <w:noWrap/>
            <w:vAlign w:val="center"/>
            <w:hideMark/>
          </w:tcPr>
          <w:p w:rsidR="009971C6" w:rsidRPr="009971C6" w:rsidRDefault="009971C6" w:rsidP="00853E08">
            <w:pPr>
              <w:ind w:right="113"/>
              <w:jc w:val="right"/>
              <w:rPr>
                <w:rFonts w:ascii="Arial Narrow" w:hAnsi="Arial Narrow"/>
                <w:bCs/>
                <w:sz w:val="16"/>
                <w:szCs w:val="16"/>
              </w:rPr>
            </w:pPr>
          </w:p>
        </w:tc>
      </w:tr>
      <w:tr w:rsidR="009971C6" w:rsidRPr="009971C6" w:rsidTr="009971C6">
        <w:trPr>
          <w:trHeight w:val="225"/>
          <w:jc w:val="center"/>
        </w:trPr>
        <w:tc>
          <w:tcPr>
            <w:tcW w:w="249" w:type="dxa"/>
            <w:tcBorders>
              <w:left w:val="single" w:sz="4" w:space="0" w:color="auto"/>
            </w:tcBorders>
            <w:shd w:val="clear" w:color="000000" w:fill="FFFFFF"/>
            <w:noWrap/>
            <w:vAlign w:val="center"/>
            <w:hideMark/>
          </w:tcPr>
          <w:p w:rsidR="009971C6" w:rsidRPr="009971C6" w:rsidRDefault="009971C6" w:rsidP="003C79F3">
            <w:pPr>
              <w:jc w:val="center"/>
              <w:rPr>
                <w:rFonts w:ascii="Arial Narrow" w:hAnsi="Arial Narrow"/>
                <w:bCs/>
                <w:color w:val="000000"/>
                <w:sz w:val="16"/>
                <w:szCs w:val="16"/>
              </w:rPr>
            </w:pPr>
          </w:p>
        </w:tc>
        <w:tc>
          <w:tcPr>
            <w:tcW w:w="6197" w:type="dxa"/>
            <w:gridSpan w:val="5"/>
            <w:shd w:val="clear" w:color="000000" w:fill="FFFFFF"/>
            <w:vAlign w:val="center"/>
            <w:hideMark/>
          </w:tcPr>
          <w:p w:rsidR="009971C6" w:rsidRPr="009971C6" w:rsidRDefault="009971C6" w:rsidP="009971C6">
            <w:pPr>
              <w:rPr>
                <w:rFonts w:ascii="Arial Narrow" w:hAnsi="Arial Narrow"/>
                <w:bCs/>
                <w:sz w:val="16"/>
                <w:szCs w:val="16"/>
              </w:rPr>
            </w:pPr>
            <w:r>
              <w:rPr>
                <w:rFonts w:ascii="Arial Narrow" w:hAnsi="Arial Narrow"/>
                <w:bCs/>
                <w:sz w:val="16"/>
                <w:szCs w:val="16"/>
              </w:rPr>
              <w:t>Κεντρικοί Αυτοτελείς Πόροι (ΚΑΠ) για επενδυτικές δαπάνες Δήμων</w:t>
            </w:r>
          </w:p>
        </w:tc>
        <w:tc>
          <w:tcPr>
            <w:tcW w:w="850" w:type="dxa"/>
            <w:tcBorders>
              <w:left w:val="nil"/>
              <w:right w:val="nil"/>
            </w:tcBorders>
            <w:shd w:val="clear" w:color="000000" w:fill="FFFFFF"/>
            <w:noWrap/>
            <w:vAlign w:val="center"/>
            <w:hideMark/>
          </w:tcPr>
          <w:p w:rsidR="009971C6" w:rsidRPr="009971C6" w:rsidRDefault="00657B0A" w:rsidP="003C79F3">
            <w:pPr>
              <w:ind w:right="170"/>
              <w:jc w:val="right"/>
              <w:rPr>
                <w:rFonts w:ascii="Arial Narrow" w:hAnsi="Arial Narrow"/>
                <w:bCs/>
                <w:sz w:val="16"/>
                <w:szCs w:val="16"/>
              </w:rPr>
            </w:pPr>
            <w:r>
              <w:rPr>
                <w:rFonts w:ascii="Arial Narrow" w:hAnsi="Arial Narrow"/>
                <w:bCs/>
                <w:sz w:val="16"/>
                <w:szCs w:val="16"/>
              </w:rPr>
              <w:t>190</w:t>
            </w:r>
          </w:p>
        </w:tc>
        <w:tc>
          <w:tcPr>
            <w:tcW w:w="729" w:type="dxa"/>
            <w:tcBorders>
              <w:left w:val="nil"/>
              <w:right w:val="nil"/>
            </w:tcBorders>
            <w:shd w:val="clear" w:color="000000" w:fill="FFFFFF"/>
            <w:noWrap/>
            <w:vAlign w:val="center"/>
            <w:hideMark/>
          </w:tcPr>
          <w:p w:rsidR="009971C6" w:rsidRPr="009971C6" w:rsidRDefault="00657B0A" w:rsidP="003C79F3">
            <w:pPr>
              <w:ind w:right="170"/>
              <w:jc w:val="right"/>
              <w:rPr>
                <w:rFonts w:ascii="Arial Narrow" w:hAnsi="Arial Narrow"/>
                <w:bCs/>
                <w:sz w:val="16"/>
                <w:szCs w:val="16"/>
              </w:rPr>
            </w:pPr>
            <w:r>
              <w:rPr>
                <w:rFonts w:ascii="Arial Narrow" w:hAnsi="Arial Narrow"/>
                <w:bCs/>
                <w:sz w:val="16"/>
                <w:szCs w:val="16"/>
              </w:rPr>
              <w:t>190</w:t>
            </w:r>
          </w:p>
        </w:tc>
        <w:tc>
          <w:tcPr>
            <w:tcW w:w="845" w:type="dxa"/>
            <w:tcBorders>
              <w:left w:val="nil"/>
              <w:right w:val="nil"/>
            </w:tcBorders>
            <w:shd w:val="clear" w:color="000000" w:fill="FFFFFF"/>
            <w:noWrap/>
            <w:vAlign w:val="center"/>
            <w:hideMark/>
          </w:tcPr>
          <w:p w:rsidR="009971C6" w:rsidRPr="009971C6" w:rsidRDefault="00657B0A" w:rsidP="003C79F3">
            <w:pPr>
              <w:ind w:right="170"/>
              <w:jc w:val="right"/>
              <w:rPr>
                <w:rFonts w:ascii="Arial Narrow" w:hAnsi="Arial Narrow"/>
                <w:bCs/>
                <w:sz w:val="16"/>
                <w:szCs w:val="16"/>
              </w:rPr>
            </w:pPr>
            <w:r>
              <w:rPr>
                <w:rFonts w:ascii="Arial Narrow" w:hAnsi="Arial Narrow"/>
                <w:bCs/>
                <w:sz w:val="16"/>
                <w:szCs w:val="16"/>
              </w:rPr>
              <w:t>190</w:t>
            </w:r>
          </w:p>
        </w:tc>
        <w:tc>
          <w:tcPr>
            <w:tcW w:w="664" w:type="dxa"/>
            <w:tcBorders>
              <w:left w:val="nil"/>
              <w:right w:val="nil"/>
            </w:tcBorders>
            <w:shd w:val="clear" w:color="000000" w:fill="FFFFFF"/>
            <w:noWrap/>
            <w:vAlign w:val="center"/>
            <w:hideMark/>
          </w:tcPr>
          <w:p w:rsidR="009971C6" w:rsidRPr="009971C6" w:rsidRDefault="00657B0A" w:rsidP="00853E08">
            <w:pPr>
              <w:ind w:right="113"/>
              <w:jc w:val="right"/>
              <w:rPr>
                <w:rFonts w:ascii="Arial Narrow" w:hAnsi="Arial Narrow"/>
                <w:bCs/>
                <w:sz w:val="16"/>
                <w:szCs w:val="16"/>
              </w:rPr>
            </w:pPr>
            <w:r>
              <w:rPr>
                <w:rFonts w:ascii="Arial Narrow" w:hAnsi="Arial Narrow"/>
                <w:bCs/>
                <w:sz w:val="16"/>
                <w:szCs w:val="16"/>
              </w:rPr>
              <w:t>0,0</w:t>
            </w:r>
          </w:p>
        </w:tc>
        <w:tc>
          <w:tcPr>
            <w:tcW w:w="549" w:type="dxa"/>
            <w:tcBorders>
              <w:left w:val="nil"/>
              <w:right w:val="single" w:sz="4" w:space="0" w:color="auto"/>
            </w:tcBorders>
            <w:shd w:val="clear" w:color="000000" w:fill="FFFFFF"/>
            <w:noWrap/>
            <w:vAlign w:val="center"/>
            <w:hideMark/>
          </w:tcPr>
          <w:p w:rsidR="009971C6" w:rsidRPr="009971C6" w:rsidRDefault="00657B0A" w:rsidP="00853E08">
            <w:pPr>
              <w:ind w:right="113"/>
              <w:jc w:val="right"/>
              <w:rPr>
                <w:rFonts w:ascii="Arial Narrow" w:hAnsi="Arial Narrow"/>
                <w:bCs/>
                <w:sz w:val="16"/>
                <w:szCs w:val="16"/>
              </w:rPr>
            </w:pPr>
            <w:r>
              <w:rPr>
                <w:rFonts w:ascii="Arial Narrow" w:hAnsi="Arial Narrow"/>
                <w:bCs/>
                <w:sz w:val="16"/>
                <w:szCs w:val="16"/>
              </w:rPr>
              <w:t>0,0</w:t>
            </w:r>
          </w:p>
        </w:tc>
      </w:tr>
      <w:tr w:rsidR="00142521" w:rsidRPr="007253CD" w:rsidTr="009971C6">
        <w:trPr>
          <w:trHeight w:val="227"/>
          <w:jc w:val="center"/>
        </w:trPr>
        <w:tc>
          <w:tcPr>
            <w:tcW w:w="249" w:type="dxa"/>
            <w:tcBorders>
              <w:left w:val="single" w:sz="4" w:space="0" w:color="auto"/>
            </w:tcBorders>
            <w:shd w:val="clear" w:color="000000" w:fill="FFFFFF"/>
            <w:noWrap/>
            <w:vAlign w:val="center"/>
            <w:hideMark/>
          </w:tcPr>
          <w:p w:rsidR="00142521" w:rsidRPr="007253CD" w:rsidRDefault="00142521" w:rsidP="003C79F3">
            <w:pPr>
              <w:jc w:val="center"/>
              <w:rPr>
                <w:rFonts w:ascii="Arial Narrow" w:hAnsi="Arial Narrow"/>
                <w:b/>
                <w:bCs/>
                <w:color w:val="000000"/>
                <w:sz w:val="16"/>
                <w:szCs w:val="16"/>
              </w:rPr>
            </w:pPr>
            <w:r w:rsidRPr="007253CD">
              <w:rPr>
                <w:rFonts w:ascii="Arial Narrow" w:hAnsi="Arial Narrow"/>
                <w:b/>
                <w:bCs/>
                <w:color w:val="000000"/>
                <w:sz w:val="16"/>
                <w:szCs w:val="16"/>
              </w:rPr>
              <w:t>5</w:t>
            </w:r>
          </w:p>
        </w:tc>
        <w:tc>
          <w:tcPr>
            <w:tcW w:w="6197" w:type="dxa"/>
            <w:gridSpan w:val="5"/>
            <w:shd w:val="clear" w:color="000000" w:fill="FFFFFF"/>
            <w:vAlign w:val="center"/>
            <w:hideMark/>
          </w:tcPr>
          <w:p w:rsidR="00142521" w:rsidRPr="007253CD" w:rsidRDefault="00142521" w:rsidP="003C79F3">
            <w:pPr>
              <w:rPr>
                <w:rFonts w:ascii="Arial Narrow" w:hAnsi="Arial Narrow"/>
                <w:b/>
                <w:bCs/>
                <w:color w:val="000000"/>
                <w:sz w:val="16"/>
                <w:szCs w:val="16"/>
              </w:rPr>
            </w:pPr>
            <w:r w:rsidRPr="007253CD">
              <w:rPr>
                <w:rFonts w:ascii="Arial Narrow" w:hAnsi="Arial Narrow"/>
                <w:b/>
                <w:bCs/>
                <w:color w:val="000000"/>
                <w:sz w:val="16"/>
                <w:szCs w:val="16"/>
              </w:rPr>
              <w:t>Λοιπές μεταβιβάσεις</w:t>
            </w:r>
          </w:p>
        </w:tc>
        <w:tc>
          <w:tcPr>
            <w:tcW w:w="850" w:type="dxa"/>
            <w:tcBorders>
              <w:left w:val="nil"/>
              <w:right w:val="nil"/>
            </w:tcBorders>
            <w:shd w:val="clear" w:color="000000" w:fill="FFFFFF"/>
            <w:noWrap/>
            <w:vAlign w:val="center"/>
            <w:hideMark/>
          </w:tcPr>
          <w:p w:rsidR="00142521" w:rsidRPr="007253CD" w:rsidRDefault="00704A0C" w:rsidP="003C79F3">
            <w:pPr>
              <w:ind w:right="170"/>
              <w:jc w:val="right"/>
              <w:rPr>
                <w:rFonts w:ascii="Arial Narrow" w:hAnsi="Arial Narrow"/>
                <w:b/>
                <w:bCs/>
                <w:color w:val="000000"/>
                <w:sz w:val="16"/>
                <w:szCs w:val="16"/>
              </w:rPr>
            </w:pPr>
            <w:r>
              <w:rPr>
                <w:rFonts w:ascii="Arial Narrow" w:hAnsi="Arial Narrow"/>
                <w:b/>
                <w:bCs/>
                <w:color w:val="000000"/>
                <w:sz w:val="16"/>
                <w:szCs w:val="16"/>
              </w:rPr>
              <w:t>458</w:t>
            </w:r>
          </w:p>
        </w:tc>
        <w:tc>
          <w:tcPr>
            <w:tcW w:w="729" w:type="dxa"/>
            <w:tcBorders>
              <w:left w:val="nil"/>
              <w:right w:val="nil"/>
            </w:tcBorders>
            <w:shd w:val="clear" w:color="000000" w:fill="FFFFFF"/>
            <w:noWrap/>
            <w:vAlign w:val="center"/>
            <w:hideMark/>
          </w:tcPr>
          <w:p w:rsidR="00142521" w:rsidRPr="007253CD" w:rsidRDefault="000D6044" w:rsidP="003C79F3">
            <w:pPr>
              <w:ind w:right="170"/>
              <w:jc w:val="right"/>
              <w:rPr>
                <w:rFonts w:ascii="Arial Narrow" w:hAnsi="Arial Narrow"/>
                <w:b/>
                <w:bCs/>
                <w:color w:val="000000"/>
                <w:sz w:val="16"/>
                <w:szCs w:val="16"/>
              </w:rPr>
            </w:pPr>
            <w:r>
              <w:rPr>
                <w:rFonts w:ascii="Arial Narrow" w:hAnsi="Arial Narrow"/>
                <w:b/>
                <w:bCs/>
                <w:color w:val="000000"/>
                <w:sz w:val="16"/>
                <w:szCs w:val="16"/>
              </w:rPr>
              <w:t>652</w:t>
            </w:r>
          </w:p>
        </w:tc>
        <w:tc>
          <w:tcPr>
            <w:tcW w:w="845" w:type="dxa"/>
            <w:tcBorders>
              <w:left w:val="nil"/>
              <w:right w:val="nil"/>
            </w:tcBorders>
            <w:shd w:val="clear" w:color="000000" w:fill="FFFFFF"/>
            <w:noWrap/>
            <w:vAlign w:val="center"/>
            <w:hideMark/>
          </w:tcPr>
          <w:p w:rsidR="00142521" w:rsidRPr="007253CD" w:rsidRDefault="000D6044" w:rsidP="003C79F3">
            <w:pPr>
              <w:ind w:right="170"/>
              <w:jc w:val="right"/>
              <w:rPr>
                <w:rFonts w:ascii="Arial Narrow" w:hAnsi="Arial Narrow"/>
                <w:b/>
                <w:bCs/>
                <w:color w:val="000000"/>
                <w:sz w:val="16"/>
                <w:szCs w:val="16"/>
              </w:rPr>
            </w:pPr>
            <w:r>
              <w:rPr>
                <w:rFonts w:ascii="Arial Narrow" w:hAnsi="Arial Narrow"/>
                <w:b/>
                <w:bCs/>
                <w:color w:val="000000"/>
                <w:sz w:val="16"/>
                <w:szCs w:val="16"/>
              </w:rPr>
              <w:t>80</w:t>
            </w:r>
          </w:p>
        </w:tc>
        <w:tc>
          <w:tcPr>
            <w:tcW w:w="664" w:type="dxa"/>
            <w:tcBorders>
              <w:left w:val="nil"/>
              <w:right w:val="nil"/>
            </w:tcBorders>
            <w:shd w:val="clear" w:color="000000" w:fill="FFFFFF"/>
            <w:noWrap/>
            <w:vAlign w:val="center"/>
            <w:hideMark/>
          </w:tcPr>
          <w:p w:rsidR="00142521" w:rsidRPr="007253CD" w:rsidRDefault="000D6044" w:rsidP="00853E08">
            <w:pPr>
              <w:ind w:right="113"/>
              <w:jc w:val="right"/>
              <w:rPr>
                <w:rFonts w:ascii="Arial Narrow" w:hAnsi="Arial Narrow"/>
                <w:b/>
                <w:bCs/>
                <w:color w:val="000000"/>
                <w:sz w:val="16"/>
                <w:szCs w:val="16"/>
              </w:rPr>
            </w:pPr>
            <w:r>
              <w:rPr>
                <w:rFonts w:ascii="Arial Narrow" w:hAnsi="Arial Narrow"/>
                <w:b/>
                <w:bCs/>
                <w:color w:val="000000"/>
                <w:sz w:val="16"/>
                <w:szCs w:val="16"/>
              </w:rPr>
              <w:t>42,6</w:t>
            </w:r>
          </w:p>
        </w:tc>
        <w:tc>
          <w:tcPr>
            <w:tcW w:w="549" w:type="dxa"/>
            <w:tcBorders>
              <w:left w:val="nil"/>
              <w:right w:val="single" w:sz="4" w:space="0" w:color="auto"/>
            </w:tcBorders>
            <w:shd w:val="clear" w:color="000000" w:fill="FFFFFF"/>
            <w:noWrap/>
            <w:vAlign w:val="center"/>
            <w:hideMark/>
          </w:tcPr>
          <w:p w:rsidR="00142521" w:rsidRPr="007253CD" w:rsidRDefault="000A61EE" w:rsidP="00853E08">
            <w:pPr>
              <w:ind w:right="113"/>
              <w:jc w:val="right"/>
              <w:rPr>
                <w:rFonts w:ascii="Arial Narrow" w:hAnsi="Arial Narrow"/>
                <w:b/>
                <w:bCs/>
                <w:color w:val="000000"/>
                <w:sz w:val="16"/>
                <w:szCs w:val="16"/>
              </w:rPr>
            </w:pPr>
            <w:r>
              <w:rPr>
                <w:rFonts w:ascii="Arial Narrow" w:hAnsi="Arial Narrow"/>
                <w:b/>
                <w:bCs/>
                <w:color w:val="000000"/>
                <w:sz w:val="16"/>
                <w:szCs w:val="16"/>
              </w:rPr>
              <w:t>-87,7</w:t>
            </w:r>
          </w:p>
        </w:tc>
      </w:tr>
      <w:tr w:rsidR="00142521" w:rsidRPr="007253CD" w:rsidTr="009971C6">
        <w:trPr>
          <w:trHeight w:val="227"/>
          <w:jc w:val="center"/>
        </w:trPr>
        <w:tc>
          <w:tcPr>
            <w:tcW w:w="249" w:type="dxa"/>
            <w:tcBorders>
              <w:left w:val="single" w:sz="4" w:space="0" w:color="auto"/>
            </w:tcBorders>
            <w:shd w:val="clear" w:color="000000" w:fill="D8D8D8"/>
            <w:noWrap/>
            <w:vAlign w:val="center"/>
            <w:hideMark/>
          </w:tcPr>
          <w:p w:rsidR="00142521" w:rsidRPr="007253CD" w:rsidRDefault="00142521" w:rsidP="003C79F3">
            <w:pPr>
              <w:jc w:val="center"/>
              <w:rPr>
                <w:rFonts w:ascii="Arial Narrow" w:hAnsi="Arial Narrow"/>
                <w:b/>
                <w:bCs/>
                <w:sz w:val="16"/>
                <w:szCs w:val="16"/>
              </w:rPr>
            </w:pPr>
            <w:r w:rsidRPr="007253CD">
              <w:rPr>
                <w:rFonts w:ascii="Arial Narrow" w:hAnsi="Arial Narrow"/>
                <w:b/>
                <w:bCs/>
                <w:sz w:val="16"/>
                <w:szCs w:val="16"/>
              </w:rPr>
              <w:t>I</w:t>
            </w:r>
          </w:p>
        </w:tc>
        <w:tc>
          <w:tcPr>
            <w:tcW w:w="6197" w:type="dxa"/>
            <w:gridSpan w:val="5"/>
            <w:tcBorders>
              <w:right w:val="nil"/>
            </w:tcBorders>
            <w:shd w:val="clear" w:color="000000" w:fill="D8D8D8"/>
            <w:vAlign w:val="center"/>
            <w:hideMark/>
          </w:tcPr>
          <w:p w:rsidR="00142521" w:rsidRPr="007253CD" w:rsidRDefault="00142521" w:rsidP="003C79F3">
            <w:pPr>
              <w:rPr>
                <w:rFonts w:ascii="Arial Narrow" w:hAnsi="Arial Narrow"/>
                <w:b/>
                <w:bCs/>
                <w:sz w:val="16"/>
                <w:szCs w:val="16"/>
              </w:rPr>
            </w:pPr>
            <w:r w:rsidRPr="007253CD">
              <w:rPr>
                <w:rFonts w:ascii="Arial Narrow" w:hAnsi="Arial Narrow"/>
                <w:b/>
                <w:bCs/>
                <w:sz w:val="16"/>
                <w:szCs w:val="16"/>
              </w:rPr>
              <w:t>Σύνολο μεταβιβάσεων εντός ΓΚ Τακτικού Προϋπολογισμού (1+2+3+4+5)</w:t>
            </w:r>
          </w:p>
        </w:tc>
        <w:tc>
          <w:tcPr>
            <w:tcW w:w="850" w:type="dxa"/>
            <w:tcBorders>
              <w:left w:val="nil"/>
              <w:right w:val="nil"/>
            </w:tcBorders>
            <w:shd w:val="clear" w:color="000000" w:fill="D8D8D8"/>
            <w:noWrap/>
            <w:vAlign w:val="center"/>
            <w:hideMark/>
          </w:tcPr>
          <w:p w:rsidR="00142521" w:rsidRPr="007253CD" w:rsidRDefault="00704A0C" w:rsidP="003C79F3">
            <w:pPr>
              <w:ind w:right="170"/>
              <w:jc w:val="right"/>
              <w:rPr>
                <w:rFonts w:ascii="Arial Narrow" w:hAnsi="Arial Narrow"/>
                <w:b/>
                <w:bCs/>
                <w:sz w:val="16"/>
                <w:szCs w:val="16"/>
              </w:rPr>
            </w:pPr>
            <w:r>
              <w:rPr>
                <w:rFonts w:ascii="Arial Narrow" w:hAnsi="Arial Narrow"/>
                <w:b/>
                <w:bCs/>
                <w:sz w:val="16"/>
                <w:szCs w:val="16"/>
              </w:rPr>
              <w:t>25.431</w:t>
            </w:r>
          </w:p>
        </w:tc>
        <w:tc>
          <w:tcPr>
            <w:tcW w:w="729" w:type="dxa"/>
            <w:tcBorders>
              <w:left w:val="nil"/>
              <w:right w:val="nil"/>
            </w:tcBorders>
            <w:shd w:val="clear" w:color="000000" w:fill="D8D8D8"/>
            <w:noWrap/>
            <w:vAlign w:val="center"/>
            <w:hideMark/>
          </w:tcPr>
          <w:p w:rsidR="00142521" w:rsidRPr="007253CD" w:rsidRDefault="000D6044" w:rsidP="003C79F3">
            <w:pPr>
              <w:ind w:right="170"/>
              <w:jc w:val="right"/>
              <w:rPr>
                <w:rFonts w:ascii="Arial Narrow" w:hAnsi="Arial Narrow"/>
                <w:b/>
                <w:bCs/>
                <w:sz w:val="16"/>
                <w:szCs w:val="16"/>
              </w:rPr>
            </w:pPr>
            <w:r>
              <w:rPr>
                <w:rFonts w:ascii="Arial Narrow" w:hAnsi="Arial Narrow"/>
                <w:b/>
                <w:bCs/>
                <w:sz w:val="16"/>
                <w:szCs w:val="16"/>
              </w:rPr>
              <w:t>28.888</w:t>
            </w:r>
          </w:p>
        </w:tc>
        <w:tc>
          <w:tcPr>
            <w:tcW w:w="845" w:type="dxa"/>
            <w:tcBorders>
              <w:left w:val="nil"/>
              <w:right w:val="nil"/>
            </w:tcBorders>
            <w:shd w:val="clear" w:color="000000" w:fill="D8D8D8"/>
            <w:noWrap/>
            <w:vAlign w:val="center"/>
            <w:hideMark/>
          </w:tcPr>
          <w:p w:rsidR="00142521" w:rsidRPr="007253CD" w:rsidRDefault="000D6044" w:rsidP="003C79F3">
            <w:pPr>
              <w:ind w:right="170"/>
              <w:jc w:val="right"/>
              <w:rPr>
                <w:rFonts w:ascii="Arial Narrow" w:hAnsi="Arial Narrow"/>
                <w:b/>
                <w:bCs/>
                <w:sz w:val="16"/>
                <w:szCs w:val="16"/>
              </w:rPr>
            </w:pPr>
            <w:r>
              <w:rPr>
                <w:rFonts w:ascii="Arial Narrow" w:hAnsi="Arial Narrow"/>
                <w:b/>
                <w:bCs/>
                <w:sz w:val="16"/>
                <w:szCs w:val="16"/>
              </w:rPr>
              <w:t>27.005</w:t>
            </w:r>
          </w:p>
        </w:tc>
        <w:tc>
          <w:tcPr>
            <w:tcW w:w="664" w:type="dxa"/>
            <w:tcBorders>
              <w:left w:val="nil"/>
              <w:right w:val="nil"/>
            </w:tcBorders>
            <w:shd w:val="clear" w:color="000000" w:fill="D8D8D8"/>
            <w:noWrap/>
            <w:vAlign w:val="center"/>
            <w:hideMark/>
          </w:tcPr>
          <w:p w:rsidR="00142521" w:rsidRPr="007253CD" w:rsidRDefault="000D6044" w:rsidP="00853E08">
            <w:pPr>
              <w:ind w:right="113"/>
              <w:jc w:val="right"/>
              <w:rPr>
                <w:rFonts w:ascii="Arial Narrow" w:hAnsi="Arial Narrow"/>
                <w:b/>
                <w:bCs/>
                <w:sz w:val="16"/>
                <w:szCs w:val="16"/>
              </w:rPr>
            </w:pPr>
            <w:r>
              <w:rPr>
                <w:rFonts w:ascii="Arial Narrow" w:hAnsi="Arial Narrow"/>
                <w:b/>
                <w:bCs/>
                <w:sz w:val="16"/>
                <w:szCs w:val="16"/>
              </w:rPr>
              <w:t>13,6</w:t>
            </w:r>
          </w:p>
        </w:tc>
        <w:tc>
          <w:tcPr>
            <w:tcW w:w="549" w:type="dxa"/>
            <w:tcBorders>
              <w:left w:val="nil"/>
              <w:right w:val="single" w:sz="4" w:space="0" w:color="auto"/>
            </w:tcBorders>
            <w:shd w:val="clear" w:color="000000" w:fill="D8D8D8"/>
            <w:noWrap/>
            <w:vAlign w:val="center"/>
            <w:hideMark/>
          </w:tcPr>
          <w:p w:rsidR="00142521" w:rsidRPr="007253CD" w:rsidRDefault="000A61EE" w:rsidP="00853E08">
            <w:pPr>
              <w:ind w:right="113"/>
              <w:jc w:val="right"/>
              <w:rPr>
                <w:rFonts w:ascii="Arial Narrow" w:hAnsi="Arial Narrow"/>
                <w:b/>
                <w:bCs/>
                <w:sz w:val="16"/>
                <w:szCs w:val="16"/>
              </w:rPr>
            </w:pPr>
            <w:r>
              <w:rPr>
                <w:rFonts w:ascii="Arial Narrow" w:hAnsi="Arial Narrow"/>
                <w:b/>
                <w:bCs/>
                <w:sz w:val="16"/>
                <w:szCs w:val="16"/>
              </w:rPr>
              <w:t>-6,5</w:t>
            </w:r>
          </w:p>
        </w:tc>
      </w:tr>
      <w:tr w:rsidR="00142521" w:rsidRPr="007253CD" w:rsidTr="009971C6">
        <w:trPr>
          <w:trHeight w:val="227"/>
          <w:jc w:val="center"/>
        </w:trPr>
        <w:tc>
          <w:tcPr>
            <w:tcW w:w="249" w:type="dxa"/>
            <w:tcBorders>
              <w:left w:val="single" w:sz="4" w:space="0" w:color="auto"/>
            </w:tcBorders>
            <w:shd w:val="clear" w:color="000000" w:fill="FFFFFF"/>
            <w:noWrap/>
            <w:vAlign w:val="center"/>
            <w:hideMark/>
          </w:tcPr>
          <w:p w:rsidR="00142521" w:rsidRPr="007253CD" w:rsidRDefault="00142521" w:rsidP="003C79F3">
            <w:pPr>
              <w:jc w:val="center"/>
              <w:rPr>
                <w:rFonts w:ascii="Arial Narrow" w:hAnsi="Arial Narrow"/>
                <w:b/>
                <w:bCs/>
                <w:sz w:val="16"/>
                <w:szCs w:val="16"/>
              </w:rPr>
            </w:pPr>
            <w:r w:rsidRPr="007253CD">
              <w:rPr>
                <w:rFonts w:ascii="Arial Narrow" w:hAnsi="Arial Narrow"/>
                <w:b/>
                <w:bCs/>
                <w:sz w:val="16"/>
                <w:szCs w:val="16"/>
              </w:rPr>
              <w:t> </w:t>
            </w:r>
          </w:p>
        </w:tc>
        <w:tc>
          <w:tcPr>
            <w:tcW w:w="6197" w:type="dxa"/>
            <w:gridSpan w:val="5"/>
            <w:shd w:val="clear" w:color="000000" w:fill="FFFFFF"/>
            <w:vAlign w:val="center"/>
            <w:hideMark/>
          </w:tcPr>
          <w:p w:rsidR="00142521" w:rsidRPr="007253CD" w:rsidRDefault="00142521" w:rsidP="003C79F3">
            <w:pPr>
              <w:rPr>
                <w:rFonts w:ascii="Arial Narrow" w:hAnsi="Arial Narrow"/>
                <w:b/>
                <w:bCs/>
                <w:sz w:val="16"/>
                <w:szCs w:val="16"/>
              </w:rPr>
            </w:pPr>
          </w:p>
        </w:tc>
        <w:tc>
          <w:tcPr>
            <w:tcW w:w="850" w:type="dxa"/>
            <w:tcBorders>
              <w:left w:val="nil"/>
              <w:right w:val="nil"/>
            </w:tcBorders>
            <w:shd w:val="clear" w:color="000000" w:fill="FFFFFF"/>
            <w:noWrap/>
            <w:vAlign w:val="center"/>
            <w:hideMark/>
          </w:tcPr>
          <w:p w:rsidR="00142521" w:rsidRPr="005B7F28" w:rsidRDefault="00142521" w:rsidP="003C79F3">
            <w:pPr>
              <w:ind w:right="170"/>
              <w:jc w:val="right"/>
              <w:rPr>
                <w:rFonts w:ascii="Arial Narrow" w:hAnsi="Arial Narrow"/>
                <w:bCs/>
                <w:sz w:val="16"/>
                <w:szCs w:val="16"/>
              </w:rPr>
            </w:pPr>
          </w:p>
        </w:tc>
        <w:tc>
          <w:tcPr>
            <w:tcW w:w="729" w:type="dxa"/>
            <w:tcBorders>
              <w:left w:val="nil"/>
              <w:right w:val="nil"/>
            </w:tcBorders>
            <w:shd w:val="clear" w:color="000000" w:fill="FFFFFF"/>
            <w:noWrap/>
            <w:vAlign w:val="center"/>
            <w:hideMark/>
          </w:tcPr>
          <w:p w:rsidR="00142521" w:rsidRPr="005B7F28" w:rsidRDefault="00142521" w:rsidP="003C79F3">
            <w:pPr>
              <w:ind w:right="170"/>
              <w:jc w:val="right"/>
              <w:rPr>
                <w:rFonts w:ascii="Arial Narrow" w:hAnsi="Arial Narrow"/>
                <w:bCs/>
                <w:sz w:val="16"/>
                <w:szCs w:val="16"/>
              </w:rPr>
            </w:pPr>
          </w:p>
        </w:tc>
        <w:tc>
          <w:tcPr>
            <w:tcW w:w="845" w:type="dxa"/>
            <w:tcBorders>
              <w:left w:val="nil"/>
              <w:right w:val="nil"/>
            </w:tcBorders>
            <w:shd w:val="clear" w:color="000000" w:fill="FFFFFF"/>
            <w:noWrap/>
            <w:vAlign w:val="center"/>
            <w:hideMark/>
          </w:tcPr>
          <w:p w:rsidR="00142521" w:rsidRPr="005B7F28" w:rsidRDefault="00142521" w:rsidP="003C79F3">
            <w:pPr>
              <w:ind w:right="170"/>
              <w:jc w:val="right"/>
              <w:rPr>
                <w:rFonts w:ascii="Arial Narrow" w:hAnsi="Arial Narrow"/>
                <w:bCs/>
                <w:sz w:val="16"/>
                <w:szCs w:val="16"/>
              </w:rPr>
            </w:pPr>
          </w:p>
        </w:tc>
        <w:tc>
          <w:tcPr>
            <w:tcW w:w="664" w:type="dxa"/>
            <w:tcBorders>
              <w:left w:val="nil"/>
              <w:right w:val="nil"/>
            </w:tcBorders>
            <w:shd w:val="clear" w:color="000000" w:fill="FFFFFF"/>
            <w:noWrap/>
            <w:vAlign w:val="center"/>
            <w:hideMark/>
          </w:tcPr>
          <w:p w:rsidR="00142521" w:rsidRPr="005B7F28" w:rsidRDefault="00142521" w:rsidP="003C79F3">
            <w:pPr>
              <w:ind w:right="170"/>
              <w:jc w:val="right"/>
              <w:rPr>
                <w:rFonts w:ascii="Arial Narrow" w:hAnsi="Arial Narrow"/>
                <w:bCs/>
                <w:sz w:val="16"/>
                <w:szCs w:val="16"/>
              </w:rPr>
            </w:pPr>
          </w:p>
        </w:tc>
        <w:tc>
          <w:tcPr>
            <w:tcW w:w="549" w:type="dxa"/>
            <w:tcBorders>
              <w:left w:val="nil"/>
              <w:right w:val="single" w:sz="4" w:space="0" w:color="auto"/>
            </w:tcBorders>
            <w:shd w:val="clear" w:color="000000" w:fill="FFFFFF"/>
            <w:noWrap/>
            <w:vAlign w:val="center"/>
            <w:hideMark/>
          </w:tcPr>
          <w:p w:rsidR="00142521" w:rsidRPr="005B7F28" w:rsidRDefault="00142521" w:rsidP="003C79F3">
            <w:pPr>
              <w:ind w:right="170"/>
              <w:jc w:val="right"/>
              <w:rPr>
                <w:rFonts w:ascii="Arial Narrow" w:hAnsi="Arial Narrow"/>
                <w:bCs/>
                <w:sz w:val="16"/>
                <w:szCs w:val="16"/>
              </w:rPr>
            </w:pPr>
          </w:p>
        </w:tc>
      </w:tr>
      <w:tr w:rsidR="00142521" w:rsidRPr="007253CD" w:rsidTr="009971C6">
        <w:trPr>
          <w:trHeight w:val="227"/>
          <w:jc w:val="center"/>
        </w:trPr>
        <w:tc>
          <w:tcPr>
            <w:tcW w:w="10083" w:type="dxa"/>
            <w:gridSpan w:val="11"/>
            <w:tcBorders>
              <w:left w:val="single" w:sz="4" w:space="0" w:color="auto"/>
              <w:right w:val="single" w:sz="4" w:space="0" w:color="000000"/>
            </w:tcBorders>
            <w:shd w:val="clear" w:color="000000" w:fill="BFBFBF"/>
            <w:noWrap/>
            <w:vAlign w:val="center"/>
            <w:hideMark/>
          </w:tcPr>
          <w:p w:rsidR="00142521" w:rsidRPr="007253CD" w:rsidRDefault="00142521" w:rsidP="003C79F3">
            <w:pPr>
              <w:ind w:right="170"/>
              <w:jc w:val="center"/>
              <w:rPr>
                <w:rFonts w:ascii="Arial Narrow" w:hAnsi="Arial Narrow"/>
                <w:b/>
                <w:bCs/>
                <w:color w:val="000000"/>
                <w:sz w:val="16"/>
                <w:szCs w:val="16"/>
              </w:rPr>
            </w:pPr>
            <w:r w:rsidRPr="007253CD">
              <w:rPr>
                <w:rFonts w:ascii="Arial Narrow" w:hAnsi="Arial Narrow"/>
                <w:b/>
                <w:bCs/>
                <w:color w:val="000000"/>
                <w:sz w:val="16"/>
                <w:szCs w:val="16"/>
              </w:rPr>
              <w:t>Μεταβιβάσεις από τον Τακτικό Προϋπολογισμό σε φορείς εκτός Γενικής Κυβέρνησης</w:t>
            </w:r>
          </w:p>
        </w:tc>
      </w:tr>
      <w:tr w:rsidR="00142521" w:rsidRPr="007253CD" w:rsidTr="009971C6">
        <w:trPr>
          <w:trHeight w:val="227"/>
          <w:jc w:val="center"/>
        </w:trPr>
        <w:tc>
          <w:tcPr>
            <w:tcW w:w="249" w:type="dxa"/>
            <w:tcBorders>
              <w:left w:val="single" w:sz="4" w:space="0" w:color="auto"/>
            </w:tcBorders>
            <w:shd w:val="clear" w:color="000000" w:fill="FFFFFF"/>
            <w:noWrap/>
            <w:vAlign w:val="center"/>
            <w:hideMark/>
          </w:tcPr>
          <w:p w:rsidR="00142521" w:rsidRPr="007253CD" w:rsidRDefault="00142521" w:rsidP="003C79F3">
            <w:pPr>
              <w:jc w:val="center"/>
              <w:rPr>
                <w:rFonts w:ascii="Arial Narrow" w:hAnsi="Arial Narrow"/>
                <w:b/>
                <w:bCs/>
                <w:color w:val="000000"/>
                <w:sz w:val="16"/>
                <w:szCs w:val="16"/>
              </w:rPr>
            </w:pPr>
            <w:r w:rsidRPr="007253CD">
              <w:rPr>
                <w:rFonts w:ascii="Arial Narrow" w:hAnsi="Arial Narrow"/>
                <w:b/>
                <w:bCs/>
                <w:color w:val="000000"/>
                <w:sz w:val="16"/>
                <w:szCs w:val="16"/>
              </w:rPr>
              <w:t>1</w:t>
            </w:r>
          </w:p>
        </w:tc>
        <w:tc>
          <w:tcPr>
            <w:tcW w:w="6197" w:type="dxa"/>
            <w:gridSpan w:val="5"/>
            <w:tcBorders>
              <w:right w:val="nil"/>
            </w:tcBorders>
            <w:shd w:val="clear" w:color="000000" w:fill="FFFFFF"/>
            <w:vAlign w:val="center"/>
            <w:hideMark/>
          </w:tcPr>
          <w:p w:rsidR="00142521" w:rsidRPr="007253CD" w:rsidRDefault="00142521" w:rsidP="003C79F3">
            <w:pPr>
              <w:rPr>
                <w:rFonts w:ascii="Arial Narrow" w:hAnsi="Arial Narrow"/>
                <w:b/>
                <w:bCs/>
                <w:color w:val="000000"/>
                <w:sz w:val="16"/>
                <w:szCs w:val="16"/>
              </w:rPr>
            </w:pPr>
            <w:r w:rsidRPr="007253CD">
              <w:rPr>
                <w:rFonts w:ascii="Arial Narrow" w:hAnsi="Arial Narrow"/>
                <w:b/>
                <w:bCs/>
                <w:color w:val="000000"/>
                <w:sz w:val="16"/>
                <w:szCs w:val="16"/>
              </w:rPr>
              <w:t>Μεταβιβάσεις σε λοιπά νομικά πρόσωπα</w:t>
            </w:r>
          </w:p>
        </w:tc>
        <w:tc>
          <w:tcPr>
            <w:tcW w:w="850" w:type="dxa"/>
            <w:tcBorders>
              <w:left w:val="nil"/>
              <w:right w:val="nil"/>
            </w:tcBorders>
            <w:shd w:val="clear" w:color="000000" w:fill="FFFFFF"/>
            <w:noWrap/>
            <w:vAlign w:val="center"/>
            <w:hideMark/>
          </w:tcPr>
          <w:p w:rsidR="00142521" w:rsidRPr="007253CD" w:rsidRDefault="00704A0C" w:rsidP="003C79F3">
            <w:pPr>
              <w:ind w:right="170"/>
              <w:jc w:val="right"/>
              <w:rPr>
                <w:rFonts w:ascii="Arial Narrow" w:hAnsi="Arial Narrow"/>
                <w:b/>
                <w:bCs/>
                <w:color w:val="000000"/>
                <w:sz w:val="16"/>
                <w:szCs w:val="16"/>
              </w:rPr>
            </w:pPr>
            <w:r>
              <w:rPr>
                <w:rFonts w:ascii="Arial Narrow" w:hAnsi="Arial Narrow"/>
                <w:b/>
                <w:bCs/>
                <w:color w:val="000000"/>
                <w:sz w:val="16"/>
                <w:szCs w:val="16"/>
              </w:rPr>
              <w:t>154</w:t>
            </w:r>
          </w:p>
        </w:tc>
        <w:tc>
          <w:tcPr>
            <w:tcW w:w="729" w:type="dxa"/>
            <w:tcBorders>
              <w:left w:val="nil"/>
              <w:right w:val="nil"/>
            </w:tcBorders>
            <w:shd w:val="clear" w:color="000000" w:fill="FFFFFF"/>
            <w:noWrap/>
            <w:vAlign w:val="center"/>
            <w:hideMark/>
          </w:tcPr>
          <w:p w:rsidR="00142521" w:rsidRPr="007253CD" w:rsidRDefault="000D6044" w:rsidP="003C79F3">
            <w:pPr>
              <w:ind w:right="170"/>
              <w:jc w:val="right"/>
              <w:rPr>
                <w:rFonts w:ascii="Arial Narrow" w:hAnsi="Arial Narrow"/>
                <w:b/>
                <w:bCs/>
                <w:color w:val="000000"/>
                <w:sz w:val="16"/>
                <w:szCs w:val="16"/>
              </w:rPr>
            </w:pPr>
            <w:r>
              <w:rPr>
                <w:rFonts w:ascii="Arial Narrow" w:hAnsi="Arial Narrow"/>
                <w:b/>
                <w:bCs/>
                <w:color w:val="000000"/>
                <w:sz w:val="16"/>
                <w:szCs w:val="16"/>
              </w:rPr>
              <w:t>4.712</w:t>
            </w:r>
          </w:p>
        </w:tc>
        <w:tc>
          <w:tcPr>
            <w:tcW w:w="845" w:type="dxa"/>
            <w:tcBorders>
              <w:left w:val="nil"/>
              <w:right w:val="nil"/>
            </w:tcBorders>
            <w:shd w:val="clear" w:color="000000" w:fill="FFFFFF"/>
            <w:noWrap/>
            <w:vAlign w:val="center"/>
            <w:hideMark/>
          </w:tcPr>
          <w:p w:rsidR="00142521" w:rsidRPr="007253CD" w:rsidRDefault="000D6044" w:rsidP="003C79F3">
            <w:pPr>
              <w:ind w:right="170"/>
              <w:jc w:val="right"/>
              <w:rPr>
                <w:rFonts w:ascii="Arial Narrow" w:hAnsi="Arial Narrow"/>
                <w:b/>
                <w:bCs/>
                <w:color w:val="000000"/>
                <w:sz w:val="16"/>
                <w:szCs w:val="16"/>
              </w:rPr>
            </w:pPr>
            <w:r>
              <w:rPr>
                <w:rFonts w:ascii="Arial Narrow" w:hAnsi="Arial Narrow"/>
                <w:b/>
                <w:bCs/>
                <w:color w:val="000000"/>
                <w:sz w:val="16"/>
                <w:szCs w:val="16"/>
              </w:rPr>
              <w:t>140</w:t>
            </w:r>
          </w:p>
        </w:tc>
        <w:tc>
          <w:tcPr>
            <w:tcW w:w="664" w:type="dxa"/>
            <w:tcBorders>
              <w:left w:val="nil"/>
              <w:right w:val="nil"/>
            </w:tcBorders>
            <w:shd w:val="clear" w:color="000000" w:fill="FFFFFF"/>
            <w:noWrap/>
            <w:vAlign w:val="center"/>
            <w:hideMark/>
          </w:tcPr>
          <w:p w:rsidR="00142521" w:rsidRPr="007253CD" w:rsidRDefault="000D6044" w:rsidP="003C79F3">
            <w:pPr>
              <w:ind w:right="170"/>
              <w:jc w:val="right"/>
              <w:rPr>
                <w:rFonts w:ascii="Arial Narrow" w:hAnsi="Arial Narrow"/>
                <w:b/>
                <w:bCs/>
                <w:color w:val="000000"/>
                <w:sz w:val="16"/>
                <w:szCs w:val="16"/>
              </w:rPr>
            </w:pPr>
            <w:r>
              <w:rPr>
                <w:rFonts w:ascii="Arial Narrow" w:hAnsi="Arial Narrow"/>
                <w:b/>
                <w:bCs/>
                <w:color w:val="000000"/>
                <w:sz w:val="16"/>
                <w:szCs w:val="16"/>
              </w:rPr>
              <w:t>2.969,2</w:t>
            </w:r>
          </w:p>
        </w:tc>
        <w:tc>
          <w:tcPr>
            <w:tcW w:w="549" w:type="dxa"/>
            <w:tcBorders>
              <w:left w:val="nil"/>
              <w:right w:val="single" w:sz="4" w:space="0" w:color="auto"/>
            </w:tcBorders>
            <w:shd w:val="clear" w:color="000000" w:fill="FFFFFF"/>
            <w:noWrap/>
            <w:vAlign w:val="center"/>
            <w:hideMark/>
          </w:tcPr>
          <w:p w:rsidR="00142521" w:rsidRPr="007253CD" w:rsidRDefault="000A61EE" w:rsidP="003C79F3">
            <w:pPr>
              <w:ind w:right="170"/>
              <w:jc w:val="right"/>
              <w:rPr>
                <w:rFonts w:ascii="Arial Narrow" w:hAnsi="Arial Narrow"/>
                <w:b/>
                <w:bCs/>
                <w:color w:val="000000"/>
                <w:sz w:val="16"/>
                <w:szCs w:val="16"/>
              </w:rPr>
            </w:pPr>
            <w:r>
              <w:rPr>
                <w:rFonts w:ascii="Arial Narrow" w:hAnsi="Arial Narrow"/>
                <w:b/>
                <w:bCs/>
                <w:color w:val="000000"/>
                <w:sz w:val="16"/>
                <w:szCs w:val="16"/>
              </w:rPr>
              <w:t>-97,0</w:t>
            </w:r>
          </w:p>
        </w:tc>
      </w:tr>
      <w:tr w:rsidR="00142521" w:rsidRPr="007253CD" w:rsidTr="009971C6">
        <w:trPr>
          <w:trHeight w:val="227"/>
          <w:jc w:val="center"/>
        </w:trPr>
        <w:tc>
          <w:tcPr>
            <w:tcW w:w="249" w:type="dxa"/>
            <w:tcBorders>
              <w:left w:val="single" w:sz="4" w:space="0" w:color="auto"/>
            </w:tcBorders>
            <w:shd w:val="clear" w:color="000000" w:fill="FFFFFF"/>
            <w:noWrap/>
            <w:vAlign w:val="center"/>
            <w:hideMark/>
          </w:tcPr>
          <w:p w:rsidR="00142521" w:rsidRPr="007253CD" w:rsidRDefault="00142521" w:rsidP="003C79F3">
            <w:pPr>
              <w:jc w:val="center"/>
              <w:rPr>
                <w:rFonts w:ascii="Arial Narrow" w:hAnsi="Arial Narrow"/>
                <w:b/>
                <w:bCs/>
                <w:color w:val="000000"/>
                <w:sz w:val="16"/>
                <w:szCs w:val="16"/>
              </w:rPr>
            </w:pPr>
            <w:r w:rsidRPr="007253CD">
              <w:rPr>
                <w:rFonts w:ascii="Arial Narrow" w:hAnsi="Arial Narrow"/>
                <w:b/>
                <w:bCs/>
                <w:color w:val="000000"/>
                <w:sz w:val="16"/>
                <w:szCs w:val="16"/>
              </w:rPr>
              <w:t>2</w:t>
            </w:r>
          </w:p>
        </w:tc>
        <w:tc>
          <w:tcPr>
            <w:tcW w:w="6197" w:type="dxa"/>
            <w:gridSpan w:val="5"/>
            <w:tcBorders>
              <w:right w:val="nil"/>
            </w:tcBorders>
            <w:shd w:val="clear" w:color="000000" w:fill="FFFFFF"/>
            <w:vAlign w:val="center"/>
            <w:hideMark/>
          </w:tcPr>
          <w:p w:rsidR="00142521" w:rsidRPr="007253CD" w:rsidRDefault="00142521" w:rsidP="003C79F3">
            <w:pPr>
              <w:rPr>
                <w:rFonts w:ascii="Arial Narrow" w:hAnsi="Arial Narrow"/>
                <w:b/>
                <w:bCs/>
                <w:color w:val="000000"/>
                <w:sz w:val="16"/>
                <w:szCs w:val="16"/>
              </w:rPr>
            </w:pPr>
            <w:r w:rsidRPr="007253CD">
              <w:rPr>
                <w:rFonts w:ascii="Arial Narrow" w:hAnsi="Arial Narrow"/>
                <w:b/>
                <w:bCs/>
                <w:color w:val="000000"/>
                <w:sz w:val="16"/>
                <w:szCs w:val="16"/>
              </w:rPr>
              <w:t>Λοιπές μεταβιβάσεις (τρέχουσες εγχώριες)</w:t>
            </w:r>
          </w:p>
        </w:tc>
        <w:tc>
          <w:tcPr>
            <w:tcW w:w="850" w:type="dxa"/>
            <w:tcBorders>
              <w:left w:val="nil"/>
              <w:right w:val="nil"/>
            </w:tcBorders>
            <w:shd w:val="clear" w:color="000000" w:fill="FFFFFF"/>
            <w:noWrap/>
            <w:vAlign w:val="center"/>
            <w:hideMark/>
          </w:tcPr>
          <w:p w:rsidR="00142521" w:rsidRPr="007253CD" w:rsidRDefault="00704A0C" w:rsidP="00704A0C">
            <w:pPr>
              <w:ind w:right="170"/>
              <w:jc w:val="right"/>
              <w:rPr>
                <w:rFonts w:ascii="Arial Narrow" w:hAnsi="Arial Narrow"/>
                <w:b/>
                <w:bCs/>
                <w:color w:val="000000"/>
                <w:sz w:val="16"/>
                <w:szCs w:val="16"/>
              </w:rPr>
            </w:pPr>
            <w:r>
              <w:rPr>
                <w:rFonts w:ascii="Arial Narrow" w:hAnsi="Arial Narrow"/>
                <w:b/>
                <w:bCs/>
                <w:color w:val="000000"/>
                <w:sz w:val="16"/>
                <w:szCs w:val="16"/>
              </w:rPr>
              <w:t>94</w:t>
            </w:r>
          </w:p>
        </w:tc>
        <w:tc>
          <w:tcPr>
            <w:tcW w:w="729" w:type="dxa"/>
            <w:tcBorders>
              <w:left w:val="nil"/>
              <w:right w:val="nil"/>
            </w:tcBorders>
            <w:shd w:val="clear" w:color="000000" w:fill="FFFFFF"/>
            <w:noWrap/>
            <w:vAlign w:val="center"/>
            <w:hideMark/>
          </w:tcPr>
          <w:p w:rsidR="00142521" w:rsidRPr="007253CD" w:rsidRDefault="000D6044" w:rsidP="003C79F3">
            <w:pPr>
              <w:ind w:right="170"/>
              <w:jc w:val="right"/>
              <w:rPr>
                <w:rFonts w:ascii="Arial Narrow" w:hAnsi="Arial Narrow"/>
                <w:b/>
                <w:bCs/>
                <w:color w:val="000000"/>
                <w:sz w:val="16"/>
                <w:szCs w:val="16"/>
              </w:rPr>
            </w:pPr>
            <w:r>
              <w:rPr>
                <w:rFonts w:ascii="Arial Narrow" w:hAnsi="Arial Narrow"/>
                <w:b/>
                <w:bCs/>
                <w:color w:val="000000"/>
                <w:sz w:val="16"/>
                <w:szCs w:val="16"/>
              </w:rPr>
              <w:t>2.688</w:t>
            </w:r>
          </w:p>
        </w:tc>
        <w:tc>
          <w:tcPr>
            <w:tcW w:w="845" w:type="dxa"/>
            <w:tcBorders>
              <w:left w:val="nil"/>
              <w:right w:val="nil"/>
            </w:tcBorders>
            <w:shd w:val="clear" w:color="000000" w:fill="FFFFFF"/>
            <w:noWrap/>
            <w:vAlign w:val="center"/>
            <w:hideMark/>
          </w:tcPr>
          <w:p w:rsidR="00142521" w:rsidRPr="007253CD" w:rsidRDefault="000D6044" w:rsidP="003C79F3">
            <w:pPr>
              <w:ind w:right="170"/>
              <w:jc w:val="right"/>
              <w:rPr>
                <w:rFonts w:ascii="Arial Narrow" w:hAnsi="Arial Narrow"/>
                <w:b/>
                <w:bCs/>
                <w:color w:val="000000"/>
                <w:sz w:val="16"/>
                <w:szCs w:val="16"/>
              </w:rPr>
            </w:pPr>
            <w:r>
              <w:rPr>
                <w:rFonts w:ascii="Arial Narrow" w:hAnsi="Arial Narrow"/>
                <w:b/>
                <w:bCs/>
                <w:color w:val="000000"/>
                <w:sz w:val="16"/>
                <w:szCs w:val="16"/>
              </w:rPr>
              <w:t>1.187</w:t>
            </w:r>
          </w:p>
        </w:tc>
        <w:tc>
          <w:tcPr>
            <w:tcW w:w="664" w:type="dxa"/>
            <w:tcBorders>
              <w:left w:val="nil"/>
              <w:right w:val="nil"/>
            </w:tcBorders>
            <w:shd w:val="clear" w:color="000000" w:fill="FFFFFF"/>
            <w:noWrap/>
            <w:vAlign w:val="center"/>
            <w:hideMark/>
          </w:tcPr>
          <w:p w:rsidR="00142521" w:rsidRPr="007253CD" w:rsidRDefault="000D6044" w:rsidP="003C79F3">
            <w:pPr>
              <w:ind w:right="170"/>
              <w:jc w:val="right"/>
              <w:rPr>
                <w:rFonts w:ascii="Arial Narrow" w:hAnsi="Arial Narrow"/>
                <w:b/>
                <w:bCs/>
                <w:color w:val="000000"/>
                <w:sz w:val="16"/>
                <w:szCs w:val="16"/>
              </w:rPr>
            </w:pPr>
            <w:r>
              <w:rPr>
                <w:rFonts w:ascii="Arial Narrow" w:hAnsi="Arial Narrow"/>
                <w:b/>
                <w:bCs/>
                <w:color w:val="000000"/>
                <w:sz w:val="16"/>
                <w:szCs w:val="16"/>
              </w:rPr>
              <w:t>2.766,6</w:t>
            </w:r>
          </w:p>
        </w:tc>
        <w:tc>
          <w:tcPr>
            <w:tcW w:w="549" w:type="dxa"/>
            <w:tcBorders>
              <w:left w:val="nil"/>
              <w:right w:val="single" w:sz="4" w:space="0" w:color="auto"/>
            </w:tcBorders>
            <w:shd w:val="clear" w:color="000000" w:fill="FFFFFF"/>
            <w:noWrap/>
            <w:vAlign w:val="center"/>
            <w:hideMark/>
          </w:tcPr>
          <w:p w:rsidR="00142521" w:rsidRPr="007253CD" w:rsidRDefault="000A61EE" w:rsidP="003C79F3">
            <w:pPr>
              <w:ind w:right="170"/>
              <w:jc w:val="right"/>
              <w:rPr>
                <w:rFonts w:ascii="Arial Narrow" w:hAnsi="Arial Narrow"/>
                <w:b/>
                <w:bCs/>
                <w:color w:val="000000"/>
                <w:sz w:val="16"/>
                <w:szCs w:val="16"/>
              </w:rPr>
            </w:pPr>
            <w:r>
              <w:rPr>
                <w:rFonts w:ascii="Arial Narrow" w:hAnsi="Arial Narrow"/>
                <w:b/>
                <w:bCs/>
                <w:color w:val="000000"/>
                <w:sz w:val="16"/>
                <w:szCs w:val="16"/>
              </w:rPr>
              <w:t>-55,8</w:t>
            </w:r>
          </w:p>
        </w:tc>
      </w:tr>
      <w:tr w:rsidR="00142521" w:rsidRPr="007253CD" w:rsidTr="009971C6">
        <w:trPr>
          <w:trHeight w:val="227"/>
          <w:jc w:val="center"/>
        </w:trPr>
        <w:tc>
          <w:tcPr>
            <w:tcW w:w="249" w:type="dxa"/>
            <w:tcBorders>
              <w:left w:val="single" w:sz="4" w:space="0" w:color="auto"/>
            </w:tcBorders>
            <w:shd w:val="clear" w:color="000000" w:fill="FFFFFF"/>
            <w:noWrap/>
            <w:vAlign w:val="center"/>
            <w:hideMark/>
          </w:tcPr>
          <w:p w:rsidR="00142521" w:rsidRPr="007253CD" w:rsidRDefault="00142521" w:rsidP="003C79F3">
            <w:pPr>
              <w:jc w:val="center"/>
              <w:rPr>
                <w:rFonts w:ascii="Arial Narrow" w:hAnsi="Arial Narrow"/>
                <w:b/>
                <w:bCs/>
                <w:color w:val="000000"/>
                <w:sz w:val="16"/>
                <w:szCs w:val="16"/>
              </w:rPr>
            </w:pPr>
            <w:r w:rsidRPr="007253CD">
              <w:rPr>
                <w:rFonts w:ascii="Arial Narrow" w:hAnsi="Arial Narrow"/>
                <w:b/>
                <w:bCs/>
                <w:color w:val="000000"/>
                <w:sz w:val="16"/>
                <w:szCs w:val="16"/>
              </w:rPr>
              <w:t>3</w:t>
            </w:r>
          </w:p>
        </w:tc>
        <w:tc>
          <w:tcPr>
            <w:tcW w:w="6197" w:type="dxa"/>
            <w:gridSpan w:val="5"/>
            <w:tcBorders>
              <w:right w:val="nil"/>
            </w:tcBorders>
            <w:shd w:val="clear" w:color="000000" w:fill="FFFFFF"/>
            <w:vAlign w:val="center"/>
            <w:hideMark/>
          </w:tcPr>
          <w:p w:rsidR="00142521" w:rsidRPr="007253CD" w:rsidRDefault="00142521" w:rsidP="003C79F3">
            <w:pPr>
              <w:rPr>
                <w:rFonts w:ascii="Arial Narrow" w:hAnsi="Arial Narrow"/>
                <w:b/>
                <w:bCs/>
                <w:color w:val="000000"/>
                <w:sz w:val="16"/>
                <w:szCs w:val="16"/>
              </w:rPr>
            </w:pPr>
            <w:r w:rsidRPr="007253CD">
              <w:rPr>
                <w:rFonts w:ascii="Arial Narrow" w:hAnsi="Arial Narrow"/>
                <w:b/>
                <w:bCs/>
                <w:color w:val="000000"/>
                <w:sz w:val="16"/>
                <w:szCs w:val="16"/>
              </w:rPr>
              <w:t>Τρέχουσες μεταβιβάσεις προς οργανισμούς και κράτη-μέλη της Ευρωπαϊκής Ένωσης (ΕΕ)</w:t>
            </w:r>
          </w:p>
        </w:tc>
        <w:tc>
          <w:tcPr>
            <w:tcW w:w="850" w:type="dxa"/>
            <w:tcBorders>
              <w:left w:val="nil"/>
              <w:right w:val="nil"/>
            </w:tcBorders>
            <w:shd w:val="clear" w:color="000000" w:fill="FFFFFF"/>
            <w:noWrap/>
            <w:vAlign w:val="center"/>
            <w:hideMark/>
          </w:tcPr>
          <w:p w:rsidR="00142521" w:rsidRPr="007253CD" w:rsidRDefault="00704A0C" w:rsidP="003C79F3">
            <w:pPr>
              <w:ind w:right="170"/>
              <w:jc w:val="right"/>
              <w:rPr>
                <w:rFonts w:ascii="Arial Narrow" w:hAnsi="Arial Narrow"/>
                <w:b/>
                <w:bCs/>
                <w:color w:val="000000"/>
                <w:sz w:val="16"/>
                <w:szCs w:val="16"/>
              </w:rPr>
            </w:pPr>
            <w:r>
              <w:rPr>
                <w:rFonts w:ascii="Arial Narrow" w:hAnsi="Arial Narrow"/>
                <w:b/>
                <w:bCs/>
                <w:color w:val="000000"/>
                <w:sz w:val="16"/>
                <w:szCs w:val="16"/>
              </w:rPr>
              <w:t>1.953</w:t>
            </w:r>
          </w:p>
        </w:tc>
        <w:tc>
          <w:tcPr>
            <w:tcW w:w="729" w:type="dxa"/>
            <w:tcBorders>
              <w:left w:val="nil"/>
              <w:right w:val="nil"/>
            </w:tcBorders>
            <w:shd w:val="clear" w:color="000000" w:fill="FFFFFF"/>
            <w:noWrap/>
            <w:vAlign w:val="center"/>
            <w:hideMark/>
          </w:tcPr>
          <w:p w:rsidR="00142521" w:rsidRPr="007253CD" w:rsidRDefault="000D6044" w:rsidP="003C79F3">
            <w:pPr>
              <w:ind w:right="170"/>
              <w:jc w:val="right"/>
              <w:rPr>
                <w:rFonts w:ascii="Arial Narrow" w:hAnsi="Arial Narrow"/>
                <w:b/>
                <w:bCs/>
                <w:color w:val="000000"/>
                <w:sz w:val="16"/>
                <w:szCs w:val="16"/>
              </w:rPr>
            </w:pPr>
            <w:r>
              <w:rPr>
                <w:rFonts w:ascii="Arial Narrow" w:hAnsi="Arial Narrow"/>
                <w:b/>
                <w:bCs/>
                <w:color w:val="000000"/>
                <w:sz w:val="16"/>
                <w:szCs w:val="16"/>
              </w:rPr>
              <w:t>1.981</w:t>
            </w:r>
          </w:p>
        </w:tc>
        <w:tc>
          <w:tcPr>
            <w:tcW w:w="845" w:type="dxa"/>
            <w:tcBorders>
              <w:left w:val="nil"/>
              <w:right w:val="nil"/>
            </w:tcBorders>
            <w:shd w:val="clear" w:color="000000" w:fill="FFFFFF"/>
            <w:noWrap/>
            <w:vAlign w:val="center"/>
            <w:hideMark/>
          </w:tcPr>
          <w:p w:rsidR="00142521" w:rsidRPr="007253CD" w:rsidRDefault="000D6044" w:rsidP="003C79F3">
            <w:pPr>
              <w:ind w:right="170"/>
              <w:jc w:val="right"/>
              <w:rPr>
                <w:rFonts w:ascii="Arial Narrow" w:hAnsi="Arial Narrow"/>
                <w:b/>
                <w:bCs/>
                <w:color w:val="000000"/>
                <w:sz w:val="16"/>
                <w:szCs w:val="16"/>
              </w:rPr>
            </w:pPr>
            <w:r>
              <w:rPr>
                <w:rFonts w:ascii="Arial Narrow" w:hAnsi="Arial Narrow"/>
                <w:b/>
                <w:bCs/>
                <w:color w:val="000000"/>
                <w:sz w:val="16"/>
                <w:szCs w:val="16"/>
              </w:rPr>
              <w:t>2.216</w:t>
            </w:r>
          </w:p>
        </w:tc>
        <w:tc>
          <w:tcPr>
            <w:tcW w:w="664" w:type="dxa"/>
            <w:tcBorders>
              <w:left w:val="nil"/>
              <w:right w:val="nil"/>
            </w:tcBorders>
            <w:shd w:val="clear" w:color="000000" w:fill="FFFFFF"/>
            <w:noWrap/>
            <w:vAlign w:val="center"/>
            <w:hideMark/>
          </w:tcPr>
          <w:p w:rsidR="00142521" w:rsidRPr="007253CD" w:rsidRDefault="000D6044" w:rsidP="003C79F3">
            <w:pPr>
              <w:ind w:right="170"/>
              <w:jc w:val="right"/>
              <w:rPr>
                <w:rFonts w:ascii="Arial Narrow" w:hAnsi="Arial Narrow"/>
                <w:b/>
                <w:bCs/>
                <w:color w:val="000000"/>
                <w:sz w:val="16"/>
                <w:szCs w:val="16"/>
              </w:rPr>
            </w:pPr>
            <w:r>
              <w:rPr>
                <w:rFonts w:ascii="Arial Narrow" w:hAnsi="Arial Narrow"/>
                <w:b/>
                <w:bCs/>
                <w:color w:val="000000"/>
                <w:sz w:val="16"/>
                <w:szCs w:val="16"/>
              </w:rPr>
              <w:t>2,4</w:t>
            </w:r>
          </w:p>
        </w:tc>
        <w:tc>
          <w:tcPr>
            <w:tcW w:w="549" w:type="dxa"/>
            <w:tcBorders>
              <w:left w:val="nil"/>
              <w:right w:val="single" w:sz="4" w:space="0" w:color="auto"/>
            </w:tcBorders>
            <w:shd w:val="clear" w:color="000000" w:fill="FFFFFF"/>
            <w:noWrap/>
            <w:vAlign w:val="center"/>
            <w:hideMark/>
          </w:tcPr>
          <w:p w:rsidR="00142521" w:rsidRPr="007253CD" w:rsidRDefault="000A61EE" w:rsidP="003C79F3">
            <w:pPr>
              <w:ind w:right="170"/>
              <w:jc w:val="right"/>
              <w:rPr>
                <w:rFonts w:ascii="Arial Narrow" w:hAnsi="Arial Narrow"/>
                <w:b/>
                <w:bCs/>
                <w:color w:val="000000"/>
                <w:sz w:val="16"/>
                <w:szCs w:val="16"/>
              </w:rPr>
            </w:pPr>
            <w:r>
              <w:rPr>
                <w:rFonts w:ascii="Arial Narrow" w:hAnsi="Arial Narrow"/>
                <w:b/>
                <w:bCs/>
                <w:color w:val="000000"/>
                <w:sz w:val="16"/>
                <w:szCs w:val="16"/>
              </w:rPr>
              <w:t>11,9</w:t>
            </w:r>
          </w:p>
        </w:tc>
      </w:tr>
      <w:tr w:rsidR="00142521" w:rsidRPr="007253CD" w:rsidTr="009971C6">
        <w:trPr>
          <w:trHeight w:val="227"/>
          <w:jc w:val="center"/>
        </w:trPr>
        <w:tc>
          <w:tcPr>
            <w:tcW w:w="249" w:type="dxa"/>
            <w:tcBorders>
              <w:left w:val="single" w:sz="4" w:space="0" w:color="auto"/>
            </w:tcBorders>
            <w:shd w:val="clear" w:color="000000" w:fill="FFFFFF"/>
            <w:noWrap/>
            <w:vAlign w:val="center"/>
            <w:hideMark/>
          </w:tcPr>
          <w:p w:rsidR="00142521" w:rsidRPr="007253CD" w:rsidRDefault="00142521" w:rsidP="003C79F3">
            <w:pPr>
              <w:jc w:val="center"/>
              <w:rPr>
                <w:rFonts w:ascii="Arial Narrow" w:hAnsi="Arial Narrow"/>
                <w:b/>
                <w:bCs/>
                <w:color w:val="000000"/>
                <w:sz w:val="16"/>
                <w:szCs w:val="16"/>
              </w:rPr>
            </w:pPr>
            <w:r w:rsidRPr="007253CD">
              <w:rPr>
                <w:rFonts w:ascii="Arial Narrow" w:hAnsi="Arial Narrow"/>
                <w:b/>
                <w:bCs/>
                <w:color w:val="000000"/>
                <w:sz w:val="16"/>
                <w:szCs w:val="16"/>
              </w:rPr>
              <w:t>4</w:t>
            </w:r>
          </w:p>
        </w:tc>
        <w:tc>
          <w:tcPr>
            <w:tcW w:w="6197" w:type="dxa"/>
            <w:gridSpan w:val="5"/>
            <w:tcBorders>
              <w:right w:val="nil"/>
            </w:tcBorders>
            <w:shd w:val="clear" w:color="000000" w:fill="FFFFFF"/>
            <w:vAlign w:val="center"/>
            <w:hideMark/>
          </w:tcPr>
          <w:p w:rsidR="00142521" w:rsidRPr="007253CD" w:rsidRDefault="00142521" w:rsidP="003C79F3">
            <w:pPr>
              <w:rPr>
                <w:rFonts w:ascii="Arial Narrow" w:hAnsi="Arial Narrow"/>
                <w:b/>
                <w:bCs/>
                <w:color w:val="000000"/>
                <w:sz w:val="16"/>
                <w:szCs w:val="16"/>
              </w:rPr>
            </w:pPr>
            <w:r w:rsidRPr="007253CD">
              <w:rPr>
                <w:rFonts w:ascii="Arial Narrow" w:hAnsi="Arial Narrow"/>
                <w:b/>
                <w:bCs/>
                <w:color w:val="000000"/>
                <w:sz w:val="16"/>
                <w:szCs w:val="16"/>
              </w:rPr>
              <w:t>Λοιπές μεταβιβάσεις</w:t>
            </w:r>
          </w:p>
        </w:tc>
        <w:tc>
          <w:tcPr>
            <w:tcW w:w="850" w:type="dxa"/>
            <w:tcBorders>
              <w:left w:val="nil"/>
              <w:right w:val="nil"/>
            </w:tcBorders>
            <w:shd w:val="clear" w:color="000000" w:fill="FFFFFF"/>
            <w:noWrap/>
            <w:vAlign w:val="center"/>
            <w:hideMark/>
          </w:tcPr>
          <w:p w:rsidR="00142521" w:rsidRPr="007253CD" w:rsidRDefault="00704A0C" w:rsidP="003C79F3">
            <w:pPr>
              <w:ind w:right="170"/>
              <w:jc w:val="right"/>
              <w:rPr>
                <w:rFonts w:ascii="Arial Narrow" w:hAnsi="Arial Narrow"/>
                <w:b/>
                <w:bCs/>
                <w:color w:val="000000"/>
                <w:sz w:val="16"/>
                <w:szCs w:val="16"/>
              </w:rPr>
            </w:pPr>
            <w:r>
              <w:rPr>
                <w:rFonts w:ascii="Arial Narrow" w:hAnsi="Arial Narrow"/>
                <w:b/>
                <w:bCs/>
                <w:color w:val="000000"/>
                <w:sz w:val="16"/>
                <w:szCs w:val="16"/>
              </w:rPr>
              <w:t>591</w:t>
            </w:r>
          </w:p>
        </w:tc>
        <w:tc>
          <w:tcPr>
            <w:tcW w:w="729" w:type="dxa"/>
            <w:tcBorders>
              <w:left w:val="nil"/>
              <w:right w:val="nil"/>
            </w:tcBorders>
            <w:shd w:val="clear" w:color="000000" w:fill="FFFFFF"/>
            <w:noWrap/>
            <w:vAlign w:val="center"/>
            <w:hideMark/>
          </w:tcPr>
          <w:p w:rsidR="00142521" w:rsidRPr="007253CD" w:rsidRDefault="000D6044" w:rsidP="003C79F3">
            <w:pPr>
              <w:ind w:right="170"/>
              <w:jc w:val="right"/>
              <w:rPr>
                <w:rFonts w:ascii="Arial Narrow" w:hAnsi="Arial Narrow"/>
                <w:b/>
                <w:bCs/>
                <w:color w:val="000000"/>
                <w:sz w:val="16"/>
                <w:szCs w:val="16"/>
              </w:rPr>
            </w:pPr>
            <w:r>
              <w:rPr>
                <w:rFonts w:ascii="Arial Narrow" w:hAnsi="Arial Narrow"/>
                <w:b/>
                <w:bCs/>
                <w:color w:val="000000"/>
                <w:sz w:val="16"/>
                <w:szCs w:val="16"/>
              </w:rPr>
              <w:t>728</w:t>
            </w:r>
          </w:p>
        </w:tc>
        <w:tc>
          <w:tcPr>
            <w:tcW w:w="845" w:type="dxa"/>
            <w:tcBorders>
              <w:left w:val="nil"/>
              <w:right w:val="nil"/>
            </w:tcBorders>
            <w:shd w:val="clear" w:color="000000" w:fill="FFFFFF"/>
            <w:noWrap/>
            <w:vAlign w:val="center"/>
            <w:hideMark/>
          </w:tcPr>
          <w:p w:rsidR="00142521" w:rsidRPr="007253CD" w:rsidRDefault="000D6044" w:rsidP="003C79F3">
            <w:pPr>
              <w:ind w:right="170"/>
              <w:jc w:val="right"/>
              <w:rPr>
                <w:rFonts w:ascii="Arial Narrow" w:hAnsi="Arial Narrow"/>
                <w:b/>
                <w:bCs/>
                <w:color w:val="000000"/>
                <w:sz w:val="16"/>
                <w:szCs w:val="16"/>
              </w:rPr>
            </w:pPr>
            <w:r>
              <w:rPr>
                <w:rFonts w:ascii="Arial Narrow" w:hAnsi="Arial Narrow"/>
                <w:b/>
                <w:bCs/>
                <w:color w:val="000000"/>
                <w:sz w:val="16"/>
                <w:szCs w:val="16"/>
              </w:rPr>
              <w:t>846</w:t>
            </w:r>
          </w:p>
        </w:tc>
        <w:tc>
          <w:tcPr>
            <w:tcW w:w="664" w:type="dxa"/>
            <w:tcBorders>
              <w:left w:val="nil"/>
              <w:right w:val="nil"/>
            </w:tcBorders>
            <w:shd w:val="clear" w:color="000000" w:fill="FFFFFF"/>
            <w:noWrap/>
            <w:vAlign w:val="center"/>
            <w:hideMark/>
          </w:tcPr>
          <w:p w:rsidR="00142521" w:rsidRPr="007253CD" w:rsidRDefault="000D6044" w:rsidP="003C79F3">
            <w:pPr>
              <w:ind w:right="170"/>
              <w:jc w:val="right"/>
              <w:rPr>
                <w:rFonts w:ascii="Arial Narrow" w:hAnsi="Arial Narrow"/>
                <w:b/>
                <w:bCs/>
                <w:color w:val="000000"/>
                <w:sz w:val="16"/>
                <w:szCs w:val="16"/>
              </w:rPr>
            </w:pPr>
            <w:r>
              <w:rPr>
                <w:rFonts w:ascii="Arial Narrow" w:hAnsi="Arial Narrow"/>
                <w:b/>
                <w:bCs/>
                <w:color w:val="000000"/>
                <w:sz w:val="16"/>
                <w:szCs w:val="16"/>
              </w:rPr>
              <w:t>23,1</w:t>
            </w:r>
          </w:p>
        </w:tc>
        <w:tc>
          <w:tcPr>
            <w:tcW w:w="549" w:type="dxa"/>
            <w:tcBorders>
              <w:left w:val="nil"/>
              <w:right w:val="single" w:sz="4" w:space="0" w:color="auto"/>
            </w:tcBorders>
            <w:shd w:val="clear" w:color="000000" w:fill="FFFFFF"/>
            <w:noWrap/>
            <w:vAlign w:val="center"/>
            <w:hideMark/>
          </w:tcPr>
          <w:p w:rsidR="00142521" w:rsidRPr="007253CD" w:rsidRDefault="000A61EE" w:rsidP="003C79F3">
            <w:pPr>
              <w:ind w:right="170"/>
              <w:jc w:val="right"/>
              <w:rPr>
                <w:rFonts w:ascii="Arial Narrow" w:hAnsi="Arial Narrow"/>
                <w:b/>
                <w:bCs/>
                <w:color w:val="000000"/>
                <w:sz w:val="16"/>
                <w:szCs w:val="16"/>
              </w:rPr>
            </w:pPr>
            <w:r>
              <w:rPr>
                <w:rFonts w:ascii="Arial Narrow" w:hAnsi="Arial Narrow"/>
                <w:b/>
                <w:bCs/>
                <w:color w:val="000000"/>
                <w:sz w:val="16"/>
                <w:szCs w:val="16"/>
              </w:rPr>
              <w:t>16,2</w:t>
            </w:r>
          </w:p>
        </w:tc>
      </w:tr>
      <w:tr w:rsidR="00142521" w:rsidRPr="007253CD" w:rsidTr="009971C6">
        <w:trPr>
          <w:trHeight w:val="227"/>
          <w:jc w:val="center"/>
        </w:trPr>
        <w:tc>
          <w:tcPr>
            <w:tcW w:w="249" w:type="dxa"/>
            <w:tcBorders>
              <w:left w:val="single" w:sz="4" w:space="0" w:color="auto"/>
            </w:tcBorders>
            <w:shd w:val="clear" w:color="000000" w:fill="D8D8D8"/>
            <w:noWrap/>
            <w:vAlign w:val="center"/>
            <w:hideMark/>
          </w:tcPr>
          <w:p w:rsidR="00142521" w:rsidRPr="007253CD" w:rsidRDefault="00142521" w:rsidP="003C79F3">
            <w:pPr>
              <w:jc w:val="center"/>
              <w:rPr>
                <w:rFonts w:ascii="Arial Narrow" w:hAnsi="Arial Narrow"/>
                <w:b/>
                <w:bCs/>
                <w:sz w:val="16"/>
                <w:szCs w:val="16"/>
              </w:rPr>
            </w:pPr>
            <w:r w:rsidRPr="007253CD">
              <w:rPr>
                <w:rFonts w:ascii="Arial Narrow" w:hAnsi="Arial Narrow"/>
                <w:b/>
                <w:bCs/>
                <w:sz w:val="16"/>
                <w:szCs w:val="16"/>
              </w:rPr>
              <w:t>II</w:t>
            </w:r>
          </w:p>
        </w:tc>
        <w:tc>
          <w:tcPr>
            <w:tcW w:w="6197" w:type="dxa"/>
            <w:gridSpan w:val="5"/>
            <w:tcBorders>
              <w:right w:val="nil"/>
            </w:tcBorders>
            <w:shd w:val="clear" w:color="000000" w:fill="D8D8D8"/>
            <w:noWrap/>
            <w:vAlign w:val="center"/>
            <w:hideMark/>
          </w:tcPr>
          <w:p w:rsidR="00142521" w:rsidRPr="007253CD" w:rsidRDefault="00142521" w:rsidP="003C79F3">
            <w:pPr>
              <w:rPr>
                <w:rFonts w:ascii="Arial Narrow" w:hAnsi="Arial Narrow"/>
                <w:b/>
                <w:bCs/>
                <w:sz w:val="16"/>
                <w:szCs w:val="16"/>
              </w:rPr>
            </w:pPr>
            <w:r w:rsidRPr="007253CD">
              <w:rPr>
                <w:rFonts w:ascii="Arial Narrow" w:hAnsi="Arial Narrow"/>
                <w:b/>
                <w:bCs/>
                <w:sz w:val="16"/>
                <w:szCs w:val="16"/>
              </w:rPr>
              <w:t>Σύνολο μεταβιβάσεων εκτός ΓΚ Τακτικού Προϋπολογισμού (1+2+3</w:t>
            </w:r>
            <w:r>
              <w:rPr>
                <w:rFonts w:ascii="Arial Narrow" w:hAnsi="Arial Narrow"/>
                <w:b/>
                <w:bCs/>
                <w:sz w:val="16"/>
                <w:szCs w:val="16"/>
              </w:rPr>
              <w:t>+4</w:t>
            </w:r>
            <w:r w:rsidRPr="007253CD">
              <w:rPr>
                <w:rFonts w:ascii="Arial Narrow" w:hAnsi="Arial Narrow"/>
                <w:b/>
                <w:bCs/>
                <w:sz w:val="16"/>
                <w:szCs w:val="16"/>
              </w:rPr>
              <w:t>)</w:t>
            </w:r>
          </w:p>
        </w:tc>
        <w:tc>
          <w:tcPr>
            <w:tcW w:w="850" w:type="dxa"/>
            <w:tcBorders>
              <w:left w:val="nil"/>
              <w:right w:val="nil"/>
            </w:tcBorders>
            <w:shd w:val="clear" w:color="000000" w:fill="D8D8D8"/>
            <w:noWrap/>
            <w:vAlign w:val="center"/>
            <w:hideMark/>
          </w:tcPr>
          <w:p w:rsidR="00142521" w:rsidRPr="007253CD" w:rsidRDefault="00704A0C" w:rsidP="003C79F3">
            <w:pPr>
              <w:ind w:right="170"/>
              <w:jc w:val="right"/>
              <w:rPr>
                <w:rFonts w:ascii="Arial Narrow" w:hAnsi="Arial Narrow"/>
                <w:b/>
                <w:bCs/>
                <w:sz w:val="16"/>
                <w:szCs w:val="16"/>
              </w:rPr>
            </w:pPr>
            <w:r>
              <w:rPr>
                <w:rFonts w:ascii="Arial Narrow" w:hAnsi="Arial Narrow"/>
                <w:b/>
                <w:bCs/>
                <w:sz w:val="16"/>
                <w:szCs w:val="16"/>
              </w:rPr>
              <w:t>2.774</w:t>
            </w:r>
          </w:p>
        </w:tc>
        <w:tc>
          <w:tcPr>
            <w:tcW w:w="729" w:type="dxa"/>
            <w:tcBorders>
              <w:left w:val="nil"/>
              <w:right w:val="nil"/>
            </w:tcBorders>
            <w:shd w:val="clear" w:color="000000" w:fill="D8D8D8"/>
            <w:noWrap/>
            <w:vAlign w:val="center"/>
            <w:hideMark/>
          </w:tcPr>
          <w:p w:rsidR="00142521" w:rsidRPr="007253CD" w:rsidRDefault="000D6044" w:rsidP="003C79F3">
            <w:pPr>
              <w:ind w:right="170"/>
              <w:jc w:val="right"/>
              <w:rPr>
                <w:rFonts w:ascii="Arial Narrow" w:hAnsi="Arial Narrow"/>
                <w:b/>
                <w:bCs/>
                <w:sz w:val="16"/>
                <w:szCs w:val="16"/>
              </w:rPr>
            </w:pPr>
            <w:r>
              <w:rPr>
                <w:rFonts w:ascii="Arial Narrow" w:hAnsi="Arial Narrow"/>
                <w:b/>
                <w:bCs/>
                <w:sz w:val="16"/>
                <w:szCs w:val="16"/>
              </w:rPr>
              <w:t>10.109</w:t>
            </w:r>
          </w:p>
        </w:tc>
        <w:tc>
          <w:tcPr>
            <w:tcW w:w="845" w:type="dxa"/>
            <w:tcBorders>
              <w:left w:val="nil"/>
              <w:right w:val="nil"/>
            </w:tcBorders>
            <w:shd w:val="clear" w:color="000000" w:fill="D8D8D8"/>
            <w:noWrap/>
            <w:vAlign w:val="center"/>
            <w:hideMark/>
          </w:tcPr>
          <w:p w:rsidR="00142521" w:rsidRPr="007253CD" w:rsidRDefault="000D6044" w:rsidP="003C79F3">
            <w:pPr>
              <w:ind w:right="170"/>
              <w:jc w:val="right"/>
              <w:rPr>
                <w:rFonts w:ascii="Arial Narrow" w:hAnsi="Arial Narrow"/>
                <w:b/>
                <w:bCs/>
                <w:sz w:val="16"/>
                <w:szCs w:val="16"/>
              </w:rPr>
            </w:pPr>
            <w:r>
              <w:rPr>
                <w:rFonts w:ascii="Arial Narrow" w:hAnsi="Arial Narrow"/>
                <w:b/>
                <w:bCs/>
                <w:sz w:val="16"/>
                <w:szCs w:val="16"/>
              </w:rPr>
              <w:t>4.389</w:t>
            </w:r>
          </w:p>
        </w:tc>
        <w:tc>
          <w:tcPr>
            <w:tcW w:w="664" w:type="dxa"/>
            <w:tcBorders>
              <w:left w:val="nil"/>
              <w:right w:val="nil"/>
            </w:tcBorders>
            <w:shd w:val="clear" w:color="000000" w:fill="D8D8D8"/>
            <w:noWrap/>
            <w:vAlign w:val="center"/>
            <w:hideMark/>
          </w:tcPr>
          <w:p w:rsidR="00142521" w:rsidRPr="007253CD" w:rsidRDefault="000D6044" w:rsidP="003C79F3">
            <w:pPr>
              <w:ind w:right="170"/>
              <w:jc w:val="right"/>
              <w:rPr>
                <w:rFonts w:ascii="Arial Narrow" w:hAnsi="Arial Narrow"/>
                <w:b/>
                <w:bCs/>
                <w:sz w:val="16"/>
                <w:szCs w:val="16"/>
              </w:rPr>
            </w:pPr>
            <w:r>
              <w:rPr>
                <w:rFonts w:ascii="Arial Narrow" w:hAnsi="Arial Narrow"/>
                <w:b/>
                <w:bCs/>
                <w:sz w:val="16"/>
                <w:szCs w:val="16"/>
              </w:rPr>
              <w:t>264,5</w:t>
            </w:r>
          </w:p>
        </w:tc>
        <w:tc>
          <w:tcPr>
            <w:tcW w:w="549" w:type="dxa"/>
            <w:tcBorders>
              <w:left w:val="nil"/>
              <w:right w:val="single" w:sz="4" w:space="0" w:color="auto"/>
            </w:tcBorders>
            <w:shd w:val="clear" w:color="000000" w:fill="D8D8D8"/>
            <w:noWrap/>
            <w:vAlign w:val="center"/>
            <w:hideMark/>
          </w:tcPr>
          <w:p w:rsidR="00142521" w:rsidRPr="007253CD" w:rsidRDefault="000A61EE" w:rsidP="003C79F3">
            <w:pPr>
              <w:ind w:right="170"/>
              <w:jc w:val="right"/>
              <w:rPr>
                <w:rFonts w:ascii="Arial Narrow" w:hAnsi="Arial Narrow"/>
                <w:b/>
                <w:bCs/>
                <w:sz w:val="16"/>
                <w:szCs w:val="16"/>
              </w:rPr>
            </w:pPr>
            <w:r>
              <w:rPr>
                <w:rFonts w:ascii="Arial Narrow" w:hAnsi="Arial Narrow"/>
                <w:b/>
                <w:bCs/>
                <w:sz w:val="16"/>
                <w:szCs w:val="16"/>
              </w:rPr>
              <w:t>-56,6</w:t>
            </w:r>
          </w:p>
        </w:tc>
      </w:tr>
      <w:tr w:rsidR="00142521" w:rsidRPr="007253CD" w:rsidTr="009971C6">
        <w:trPr>
          <w:trHeight w:val="227"/>
          <w:jc w:val="center"/>
        </w:trPr>
        <w:tc>
          <w:tcPr>
            <w:tcW w:w="249" w:type="dxa"/>
            <w:tcBorders>
              <w:left w:val="single" w:sz="4" w:space="0" w:color="auto"/>
              <w:right w:val="nil"/>
            </w:tcBorders>
            <w:shd w:val="clear" w:color="000000" w:fill="FFFFFF"/>
            <w:noWrap/>
            <w:vAlign w:val="center"/>
            <w:hideMark/>
          </w:tcPr>
          <w:p w:rsidR="00142521" w:rsidRPr="007253CD" w:rsidRDefault="00142521" w:rsidP="003C79F3">
            <w:pPr>
              <w:jc w:val="center"/>
              <w:rPr>
                <w:rFonts w:ascii="Arial Narrow" w:hAnsi="Arial Narrow"/>
                <w:b/>
                <w:bCs/>
                <w:sz w:val="16"/>
                <w:szCs w:val="16"/>
              </w:rPr>
            </w:pPr>
            <w:r w:rsidRPr="007253CD">
              <w:rPr>
                <w:rFonts w:ascii="Arial Narrow" w:hAnsi="Arial Narrow"/>
                <w:b/>
                <w:bCs/>
                <w:sz w:val="16"/>
                <w:szCs w:val="16"/>
              </w:rPr>
              <w:t> </w:t>
            </w:r>
          </w:p>
        </w:tc>
        <w:tc>
          <w:tcPr>
            <w:tcW w:w="656" w:type="dxa"/>
            <w:tcBorders>
              <w:left w:val="nil"/>
              <w:right w:val="nil"/>
            </w:tcBorders>
            <w:shd w:val="clear" w:color="000000" w:fill="FFFFFF"/>
            <w:vAlign w:val="center"/>
            <w:hideMark/>
          </w:tcPr>
          <w:p w:rsidR="00142521" w:rsidRPr="007253CD" w:rsidRDefault="00142521" w:rsidP="003C79F3">
            <w:pPr>
              <w:rPr>
                <w:rFonts w:ascii="Arial Narrow" w:hAnsi="Arial Narrow"/>
                <w:b/>
                <w:bCs/>
                <w:sz w:val="16"/>
                <w:szCs w:val="16"/>
              </w:rPr>
            </w:pPr>
            <w:r w:rsidRPr="007253CD">
              <w:rPr>
                <w:rFonts w:ascii="Arial Narrow" w:hAnsi="Arial Narrow"/>
                <w:b/>
                <w:bCs/>
                <w:sz w:val="16"/>
                <w:szCs w:val="16"/>
              </w:rPr>
              <w:t> </w:t>
            </w:r>
          </w:p>
        </w:tc>
        <w:tc>
          <w:tcPr>
            <w:tcW w:w="2212" w:type="dxa"/>
            <w:gridSpan w:val="2"/>
            <w:tcBorders>
              <w:left w:val="nil"/>
              <w:right w:val="nil"/>
            </w:tcBorders>
            <w:shd w:val="clear" w:color="000000" w:fill="FFFFFF"/>
            <w:noWrap/>
            <w:vAlign w:val="center"/>
            <w:hideMark/>
          </w:tcPr>
          <w:p w:rsidR="00142521" w:rsidRPr="007253CD" w:rsidRDefault="00142521" w:rsidP="003C79F3">
            <w:pPr>
              <w:rPr>
                <w:rFonts w:ascii="Arial Narrow" w:hAnsi="Arial Narrow"/>
                <w:b/>
                <w:bCs/>
                <w:sz w:val="16"/>
                <w:szCs w:val="16"/>
              </w:rPr>
            </w:pPr>
            <w:r w:rsidRPr="007253CD">
              <w:rPr>
                <w:rFonts w:ascii="Arial Narrow" w:hAnsi="Arial Narrow"/>
                <w:b/>
                <w:bCs/>
                <w:sz w:val="16"/>
                <w:szCs w:val="16"/>
              </w:rPr>
              <w:t> </w:t>
            </w:r>
          </w:p>
        </w:tc>
        <w:tc>
          <w:tcPr>
            <w:tcW w:w="566" w:type="dxa"/>
            <w:tcBorders>
              <w:left w:val="nil"/>
              <w:right w:val="nil"/>
            </w:tcBorders>
            <w:shd w:val="clear" w:color="000000" w:fill="FFFFFF"/>
            <w:noWrap/>
            <w:vAlign w:val="center"/>
            <w:hideMark/>
          </w:tcPr>
          <w:p w:rsidR="00142521" w:rsidRPr="007253CD" w:rsidRDefault="00142521" w:rsidP="003C79F3">
            <w:pPr>
              <w:rPr>
                <w:rFonts w:ascii="Arial Narrow" w:hAnsi="Arial Narrow"/>
                <w:b/>
                <w:bCs/>
                <w:sz w:val="16"/>
                <w:szCs w:val="16"/>
              </w:rPr>
            </w:pPr>
            <w:r w:rsidRPr="007253CD">
              <w:rPr>
                <w:rFonts w:ascii="Arial Narrow" w:hAnsi="Arial Narrow"/>
                <w:b/>
                <w:bCs/>
                <w:sz w:val="16"/>
                <w:szCs w:val="16"/>
              </w:rPr>
              <w:t> </w:t>
            </w:r>
          </w:p>
        </w:tc>
        <w:tc>
          <w:tcPr>
            <w:tcW w:w="2763" w:type="dxa"/>
            <w:tcBorders>
              <w:left w:val="nil"/>
              <w:right w:val="nil"/>
            </w:tcBorders>
            <w:shd w:val="clear" w:color="000000" w:fill="FFFFFF"/>
            <w:noWrap/>
            <w:vAlign w:val="center"/>
            <w:hideMark/>
          </w:tcPr>
          <w:p w:rsidR="00142521" w:rsidRPr="007253CD" w:rsidRDefault="00142521" w:rsidP="003C79F3">
            <w:pPr>
              <w:rPr>
                <w:rFonts w:ascii="Arial Narrow" w:hAnsi="Arial Narrow"/>
                <w:b/>
                <w:bCs/>
                <w:sz w:val="16"/>
                <w:szCs w:val="16"/>
              </w:rPr>
            </w:pPr>
            <w:r w:rsidRPr="007253CD">
              <w:rPr>
                <w:rFonts w:ascii="Arial Narrow" w:hAnsi="Arial Narrow"/>
                <w:b/>
                <w:bCs/>
                <w:sz w:val="16"/>
                <w:szCs w:val="16"/>
              </w:rPr>
              <w:t> </w:t>
            </w:r>
          </w:p>
        </w:tc>
        <w:tc>
          <w:tcPr>
            <w:tcW w:w="850" w:type="dxa"/>
            <w:tcBorders>
              <w:left w:val="nil"/>
              <w:right w:val="nil"/>
            </w:tcBorders>
            <w:shd w:val="clear" w:color="000000" w:fill="FFFFFF"/>
            <w:noWrap/>
            <w:vAlign w:val="center"/>
            <w:hideMark/>
          </w:tcPr>
          <w:p w:rsidR="00142521" w:rsidRPr="007253CD" w:rsidRDefault="00142521" w:rsidP="003C79F3">
            <w:pPr>
              <w:ind w:right="170"/>
              <w:rPr>
                <w:rFonts w:ascii="Arial Narrow" w:hAnsi="Arial Narrow"/>
                <w:b/>
                <w:bCs/>
                <w:sz w:val="16"/>
                <w:szCs w:val="16"/>
              </w:rPr>
            </w:pPr>
            <w:r w:rsidRPr="007253CD">
              <w:rPr>
                <w:rFonts w:ascii="Arial Narrow" w:hAnsi="Arial Narrow"/>
                <w:b/>
                <w:bCs/>
                <w:sz w:val="16"/>
                <w:szCs w:val="16"/>
              </w:rPr>
              <w:t> </w:t>
            </w:r>
          </w:p>
        </w:tc>
        <w:tc>
          <w:tcPr>
            <w:tcW w:w="729" w:type="dxa"/>
            <w:tcBorders>
              <w:left w:val="nil"/>
              <w:right w:val="nil"/>
            </w:tcBorders>
            <w:shd w:val="clear" w:color="000000" w:fill="FFFFFF"/>
            <w:noWrap/>
            <w:vAlign w:val="center"/>
            <w:hideMark/>
          </w:tcPr>
          <w:p w:rsidR="00142521" w:rsidRPr="007253CD" w:rsidRDefault="00142521" w:rsidP="003C79F3">
            <w:pPr>
              <w:ind w:right="170"/>
              <w:rPr>
                <w:rFonts w:ascii="Arial Narrow" w:hAnsi="Arial Narrow"/>
                <w:b/>
                <w:bCs/>
                <w:sz w:val="16"/>
                <w:szCs w:val="16"/>
              </w:rPr>
            </w:pPr>
          </w:p>
        </w:tc>
        <w:tc>
          <w:tcPr>
            <w:tcW w:w="845" w:type="dxa"/>
            <w:tcBorders>
              <w:left w:val="nil"/>
              <w:right w:val="nil"/>
            </w:tcBorders>
            <w:shd w:val="clear" w:color="000000" w:fill="FFFFFF"/>
            <w:noWrap/>
            <w:vAlign w:val="center"/>
            <w:hideMark/>
          </w:tcPr>
          <w:p w:rsidR="00142521" w:rsidRPr="007253CD" w:rsidRDefault="00142521" w:rsidP="003C79F3">
            <w:pPr>
              <w:ind w:right="170"/>
              <w:rPr>
                <w:rFonts w:ascii="Arial Narrow" w:hAnsi="Arial Narrow"/>
                <w:b/>
                <w:bCs/>
                <w:sz w:val="16"/>
                <w:szCs w:val="16"/>
              </w:rPr>
            </w:pPr>
          </w:p>
        </w:tc>
        <w:tc>
          <w:tcPr>
            <w:tcW w:w="664" w:type="dxa"/>
            <w:tcBorders>
              <w:left w:val="nil"/>
              <w:right w:val="nil"/>
            </w:tcBorders>
            <w:shd w:val="clear" w:color="000000" w:fill="FFFFFF"/>
            <w:noWrap/>
            <w:vAlign w:val="center"/>
            <w:hideMark/>
          </w:tcPr>
          <w:p w:rsidR="00142521" w:rsidRPr="007253CD" w:rsidRDefault="00142521" w:rsidP="003C79F3">
            <w:pPr>
              <w:ind w:right="170"/>
              <w:rPr>
                <w:rFonts w:ascii="Arial Narrow" w:hAnsi="Arial Narrow"/>
                <w:b/>
                <w:bCs/>
                <w:sz w:val="16"/>
                <w:szCs w:val="16"/>
              </w:rPr>
            </w:pPr>
          </w:p>
        </w:tc>
        <w:tc>
          <w:tcPr>
            <w:tcW w:w="549" w:type="dxa"/>
            <w:tcBorders>
              <w:left w:val="nil"/>
              <w:right w:val="single" w:sz="4" w:space="0" w:color="auto"/>
            </w:tcBorders>
            <w:shd w:val="clear" w:color="000000" w:fill="FFFFFF"/>
            <w:noWrap/>
            <w:vAlign w:val="center"/>
            <w:hideMark/>
          </w:tcPr>
          <w:p w:rsidR="00142521" w:rsidRPr="007253CD" w:rsidRDefault="00142521" w:rsidP="003C79F3">
            <w:pPr>
              <w:ind w:right="170"/>
              <w:rPr>
                <w:rFonts w:ascii="Arial Narrow" w:hAnsi="Arial Narrow"/>
                <w:b/>
                <w:bCs/>
                <w:sz w:val="16"/>
                <w:szCs w:val="16"/>
              </w:rPr>
            </w:pPr>
          </w:p>
        </w:tc>
      </w:tr>
      <w:tr w:rsidR="00142521" w:rsidRPr="007253CD" w:rsidTr="009971C6">
        <w:trPr>
          <w:trHeight w:val="227"/>
          <w:jc w:val="center"/>
        </w:trPr>
        <w:tc>
          <w:tcPr>
            <w:tcW w:w="249" w:type="dxa"/>
            <w:tcBorders>
              <w:left w:val="single" w:sz="4" w:space="0" w:color="auto"/>
              <w:bottom w:val="single" w:sz="4" w:space="0" w:color="auto"/>
              <w:right w:val="nil"/>
            </w:tcBorders>
            <w:shd w:val="clear" w:color="000000" w:fill="D8D8D8"/>
            <w:noWrap/>
            <w:vAlign w:val="center"/>
            <w:hideMark/>
          </w:tcPr>
          <w:p w:rsidR="00142521" w:rsidRPr="007253CD" w:rsidRDefault="00142521" w:rsidP="003C79F3">
            <w:pPr>
              <w:jc w:val="center"/>
              <w:rPr>
                <w:rFonts w:ascii="Arial Narrow" w:hAnsi="Arial Narrow"/>
                <w:b/>
                <w:bCs/>
                <w:sz w:val="16"/>
                <w:szCs w:val="16"/>
              </w:rPr>
            </w:pPr>
            <w:r w:rsidRPr="007253CD">
              <w:rPr>
                <w:rFonts w:ascii="Arial Narrow" w:hAnsi="Arial Narrow"/>
                <w:b/>
                <w:bCs/>
                <w:sz w:val="16"/>
                <w:szCs w:val="16"/>
              </w:rPr>
              <w:t>IIΙ</w:t>
            </w:r>
          </w:p>
        </w:tc>
        <w:tc>
          <w:tcPr>
            <w:tcW w:w="6197" w:type="dxa"/>
            <w:gridSpan w:val="5"/>
            <w:tcBorders>
              <w:left w:val="nil"/>
              <w:bottom w:val="single" w:sz="4" w:space="0" w:color="auto"/>
              <w:right w:val="nil"/>
            </w:tcBorders>
            <w:shd w:val="clear" w:color="000000" w:fill="D8D8D8"/>
            <w:noWrap/>
            <w:vAlign w:val="center"/>
            <w:hideMark/>
          </w:tcPr>
          <w:p w:rsidR="00142521" w:rsidRPr="007253CD" w:rsidRDefault="00142521" w:rsidP="003C79F3">
            <w:pPr>
              <w:rPr>
                <w:rFonts w:ascii="Arial Narrow" w:hAnsi="Arial Narrow"/>
                <w:b/>
                <w:bCs/>
                <w:sz w:val="16"/>
                <w:szCs w:val="16"/>
              </w:rPr>
            </w:pPr>
            <w:r w:rsidRPr="007253CD">
              <w:rPr>
                <w:rFonts w:ascii="Arial Narrow" w:hAnsi="Arial Narrow"/>
                <w:b/>
                <w:bCs/>
                <w:sz w:val="16"/>
                <w:szCs w:val="16"/>
              </w:rPr>
              <w:t>Σύνολο μεταβιβάσεων Τακτικού Προϋπολογισμού (Ι+ΙΙ)</w:t>
            </w:r>
          </w:p>
        </w:tc>
        <w:tc>
          <w:tcPr>
            <w:tcW w:w="850" w:type="dxa"/>
            <w:tcBorders>
              <w:left w:val="nil"/>
              <w:bottom w:val="single" w:sz="4" w:space="0" w:color="auto"/>
              <w:right w:val="nil"/>
            </w:tcBorders>
            <w:shd w:val="clear" w:color="000000" w:fill="D8D8D8"/>
            <w:noWrap/>
            <w:vAlign w:val="center"/>
            <w:hideMark/>
          </w:tcPr>
          <w:p w:rsidR="00142521" w:rsidRPr="007253CD" w:rsidRDefault="00704A0C" w:rsidP="003C79F3">
            <w:pPr>
              <w:ind w:right="170"/>
              <w:jc w:val="right"/>
              <w:rPr>
                <w:rFonts w:ascii="Arial Narrow" w:hAnsi="Arial Narrow"/>
                <w:b/>
                <w:bCs/>
                <w:sz w:val="16"/>
                <w:szCs w:val="16"/>
              </w:rPr>
            </w:pPr>
            <w:r>
              <w:rPr>
                <w:rFonts w:ascii="Arial Narrow" w:hAnsi="Arial Narrow"/>
                <w:b/>
                <w:bCs/>
                <w:sz w:val="16"/>
                <w:szCs w:val="16"/>
              </w:rPr>
              <w:t>28.205</w:t>
            </w:r>
          </w:p>
        </w:tc>
        <w:tc>
          <w:tcPr>
            <w:tcW w:w="729" w:type="dxa"/>
            <w:tcBorders>
              <w:left w:val="nil"/>
              <w:bottom w:val="single" w:sz="4" w:space="0" w:color="auto"/>
              <w:right w:val="nil"/>
            </w:tcBorders>
            <w:shd w:val="clear" w:color="000000" w:fill="D8D8D8"/>
            <w:noWrap/>
            <w:vAlign w:val="center"/>
            <w:hideMark/>
          </w:tcPr>
          <w:p w:rsidR="00142521" w:rsidRPr="007253CD" w:rsidRDefault="000D6044" w:rsidP="003C79F3">
            <w:pPr>
              <w:ind w:right="170"/>
              <w:jc w:val="right"/>
              <w:rPr>
                <w:rFonts w:ascii="Arial Narrow" w:hAnsi="Arial Narrow"/>
                <w:b/>
                <w:bCs/>
                <w:sz w:val="16"/>
                <w:szCs w:val="16"/>
              </w:rPr>
            </w:pPr>
            <w:r>
              <w:rPr>
                <w:rFonts w:ascii="Arial Narrow" w:hAnsi="Arial Narrow"/>
                <w:b/>
                <w:bCs/>
                <w:sz w:val="16"/>
                <w:szCs w:val="16"/>
              </w:rPr>
              <w:t>38.997</w:t>
            </w:r>
          </w:p>
        </w:tc>
        <w:tc>
          <w:tcPr>
            <w:tcW w:w="845" w:type="dxa"/>
            <w:tcBorders>
              <w:left w:val="nil"/>
              <w:bottom w:val="single" w:sz="4" w:space="0" w:color="auto"/>
              <w:right w:val="nil"/>
            </w:tcBorders>
            <w:shd w:val="clear" w:color="000000" w:fill="D8D8D8"/>
            <w:noWrap/>
            <w:vAlign w:val="center"/>
            <w:hideMark/>
          </w:tcPr>
          <w:p w:rsidR="00142521" w:rsidRPr="007253CD" w:rsidRDefault="000D6044" w:rsidP="003C79F3">
            <w:pPr>
              <w:ind w:right="170"/>
              <w:jc w:val="right"/>
              <w:rPr>
                <w:rFonts w:ascii="Arial Narrow" w:hAnsi="Arial Narrow"/>
                <w:b/>
                <w:bCs/>
                <w:sz w:val="16"/>
                <w:szCs w:val="16"/>
              </w:rPr>
            </w:pPr>
            <w:r>
              <w:rPr>
                <w:rFonts w:ascii="Arial Narrow" w:hAnsi="Arial Narrow"/>
                <w:b/>
                <w:bCs/>
                <w:sz w:val="16"/>
                <w:szCs w:val="16"/>
              </w:rPr>
              <w:t>31.394</w:t>
            </w:r>
          </w:p>
        </w:tc>
        <w:tc>
          <w:tcPr>
            <w:tcW w:w="664" w:type="dxa"/>
            <w:tcBorders>
              <w:left w:val="nil"/>
              <w:bottom w:val="single" w:sz="4" w:space="0" w:color="auto"/>
              <w:right w:val="nil"/>
            </w:tcBorders>
            <w:shd w:val="clear" w:color="000000" w:fill="D8D8D8"/>
            <w:noWrap/>
            <w:vAlign w:val="center"/>
            <w:hideMark/>
          </w:tcPr>
          <w:p w:rsidR="00142521" w:rsidRPr="007253CD" w:rsidRDefault="000D6044" w:rsidP="003C79F3">
            <w:pPr>
              <w:ind w:right="170"/>
              <w:jc w:val="right"/>
              <w:rPr>
                <w:rFonts w:ascii="Arial Narrow" w:hAnsi="Arial Narrow"/>
                <w:b/>
                <w:bCs/>
                <w:sz w:val="16"/>
                <w:szCs w:val="16"/>
              </w:rPr>
            </w:pPr>
            <w:r>
              <w:rPr>
                <w:rFonts w:ascii="Arial Narrow" w:hAnsi="Arial Narrow"/>
                <w:b/>
                <w:bCs/>
                <w:sz w:val="16"/>
                <w:szCs w:val="16"/>
              </w:rPr>
              <w:t>38,3</w:t>
            </w:r>
          </w:p>
        </w:tc>
        <w:tc>
          <w:tcPr>
            <w:tcW w:w="549" w:type="dxa"/>
            <w:tcBorders>
              <w:left w:val="nil"/>
              <w:bottom w:val="single" w:sz="4" w:space="0" w:color="auto"/>
              <w:right w:val="single" w:sz="4" w:space="0" w:color="auto"/>
            </w:tcBorders>
            <w:shd w:val="clear" w:color="000000" w:fill="D8D8D8"/>
            <w:noWrap/>
            <w:vAlign w:val="center"/>
            <w:hideMark/>
          </w:tcPr>
          <w:p w:rsidR="00142521" w:rsidRPr="007253CD" w:rsidRDefault="000A61EE" w:rsidP="003C79F3">
            <w:pPr>
              <w:ind w:right="170"/>
              <w:jc w:val="right"/>
              <w:rPr>
                <w:rFonts w:ascii="Arial Narrow" w:hAnsi="Arial Narrow"/>
                <w:b/>
                <w:bCs/>
                <w:sz w:val="16"/>
                <w:szCs w:val="16"/>
              </w:rPr>
            </w:pPr>
            <w:r>
              <w:rPr>
                <w:rFonts w:ascii="Arial Narrow" w:hAnsi="Arial Narrow"/>
                <w:b/>
                <w:bCs/>
                <w:sz w:val="16"/>
                <w:szCs w:val="16"/>
              </w:rPr>
              <w:t>-19,5</w:t>
            </w:r>
          </w:p>
        </w:tc>
      </w:tr>
    </w:tbl>
    <w:p w:rsidR="00142521" w:rsidRDefault="00142521" w:rsidP="00142521">
      <w:pPr>
        <w:jc w:val="both"/>
        <w:rPr>
          <w:bCs/>
          <w:iCs/>
        </w:rPr>
      </w:pPr>
    </w:p>
    <w:p w:rsidR="00142521" w:rsidRPr="009F4662" w:rsidRDefault="00142521" w:rsidP="00D04A97">
      <w:pPr>
        <w:jc w:val="both"/>
        <w:rPr>
          <w:bCs/>
          <w:iCs/>
          <w:sz w:val="22"/>
          <w:szCs w:val="22"/>
        </w:rPr>
      </w:pPr>
    </w:p>
    <w:p w:rsidR="00D04A97" w:rsidRPr="009F4662" w:rsidRDefault="00D04A97" w:rsidP="00D04A97">
      <w:pPr>
        <w:jc w:val="both"/>
        <w:rPr>
          <w:bCs/>
          <w:iCs/>
          <w:sz w:val="22"/>
          <w:szCs w:val="22"/>
        </w:rPr>
      </w:pPr>
      <w:r w:rsidRPr="009F4662">
        <w:rPr>
          <w:bCs/>
          <w:iCs/>
          <w:sz w:val="22"/>
          <w:szCs w:val="22"/>
        </w:rPr>
        <w:t xml:space="preserve">Τα μέτρα για την αντιμετώπιση της πανδημίας </w:t>
      </w:r>
      <w:r w:rsidRPr="009F4662">
        <w:rPr>
          <w:bCs/>
          <w:iCs/>
          <w:sz w:val="22"/>
          <w:szCs w:val="22"/>
          <w:lang w:val="en-US"/>
        </w:rPr>
        <w:t>Covid</w:t>
      </w:r>
      <w:r w:rsidRPr="009F4662">
        <w:rPr>
          <w:bCs/>
          <w:iCs/>
          <w:sz w:val="22"/>
          <w:szCs w:val="22"/>
        </w:rPr>
        <w:t>-19, που αποτυπώνονται στην κατηγορία αυτή, κατά το μέρος που επ</w:t>
      </w:r>
      <w:r w:rsidR="00F003E2">
        <w:rPr>
          <w:bCs/>
          <w:iCs/>
          <w:sz w:val="22"/>
          <w:szCs w:val="22"/>
        </w:rPr>
        <w:t>ιβαρύνουν την κεντρική διοίκηση</w:t>
      </w:r>
      <w:r w:rsidRPr="009F4662">
        <w:rPr>
          <w:bCs/>
          <w:iCs/>
          <w:sz w:val="22"/>
          <w:szCs w:val="22"/>
        </w:rPr>
        <w:t xml:space="preserve"> είναι τα εξής:</w:t>
      </w:r>
    </w:p>
    <w:p w:rsidR="00D04A97" w:rsidRPr="009F4662" w:rsidRDefault="00D04A97" w:rsidP="00D04A97">
      <w:pPr>
        <w:jc w:val="both"/>
        <w:rPr>
          <w:bCs/>
          <w:iCs/>
          <w:sz w:val="22"/>
          <w:szCs w:val="22"/>
        </w:rPr>
      </w:pP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η αποζημίωση ειδικού σκοπού ύψους 534 ευρώ σε μην</w:t>
      </w:r>
      <w:r w:rsidR="00337D63">
        <w:rPr>
          <w:rFonts w:ascii="Times New Roman" w:hAnsi="Times New Roman"/>
        </w:rPr>
        <w:t>ι</w:t>
      </w:r>
      <w:r w:rsidRPr="009F4662">
        <w:rPr>
          <w:rFonts w:ascii="Times New Roman" w:hAnsi="Times New Roman"/>
        </w:rPr>
        <w:t>αία βάση των εργαζομένων των οποίων οι συμβάσεις εργασίας τίθενται σε προσωρινή αναστολή,</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η αποζημίωση ειδικού σκοπού ύψους 600 ευρώ σε έξι επιστημονικούς κλάδους (οικονομολόγους/ λογιστές, μηχανικούς, δικηγόρους, ιατρούς, εκπαιδευτικούς και ερευνητές),</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η κάλυψη από τον κρατικό προϋπολογισμό των ασφαλιστικών εισφορών επί του ονομαστικού μισθού, των εργαζομένων των οποίων οι συμβάσεις εργασίας τίθενται σε προσωρινή αναστολή,</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η επιστρεπτέα προκαταβολή,</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η κάλυψη από τον κρατικό προϋπολογισμό του μέρους του δώρου Πάσχα που αναλογεί στη χρ</w:t>
      </w:r>
      <w:r w:rsidRPr="009F4662">
        <w:rPr>
          <w:rFonts w:ascii="Times New Roman" w:hAnsi="Times New Roman"/>
        </w:rPr>
        <w:t>ο</w:t>
      </w:r>
      <w:r w:rsidRPr="009F4662">
        <w:rPr>
          <w:rFonts w:ascii="Times New Roman" w:hAnsi="Times New Roman"/>
        </w:rPr>
        <w:t>νική περίοδο της προσωρινής αναστολής της σύμβασης εργασίας,</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 xml:space="preserve">η επιχορήγηση για τη στήριξη του πρωτογενούς τομέα της οικονομίας μέσω του Υπουργείου </w:t>
      </w:r>
      <w:r w:rsidRPr="009F4662">
        <w:rPr>
          <w:rFonts w:ascii="Times New Roman" w:hAnsi="Times New Roman"/>
        </w:rPr>
        <w:t>Α</w:t>
      </w:r>
      <w:r w:rsidRPr="009F4662">
        <w:rPr>
          <w:rFonts w:ascii="Times New Roman" w:hAnsi="Times New Roman"/>
        </w:rPr>
        <w:t>γροτικής Ανάπτυξης και Τροφίμων,</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lastRenderedPageBreak/>
        <w:t>η εισαγωγή άδειας ειδικού σκοπού για εργαζόμενους του ιδιωτικού τομέα με παιδιά που φοιτούν σε σχολεία (για την περίοδο που τα σχολεία είναι κλειστά),</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η αποζημίωση των ακτοπλοϊκών γραμμών,</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οι πρόσθετες υγειονομικές δαπάνες φορέων κεντρικής διοίκησης και ιδιαιτέρως του Υπουργείου Υγείας,</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 xml:space="preserve">το κόστος επιδότησης πρώτης κατοικίας για δανειολήπτες που επλήγησαν από τον κορωνοϊό (πρόγραμμα </w:t>
      </w:r>
      <w:r w:rsidR="00FC77EF">
        <w:rPr>
          <w:rFonts w:ascii="Times New Roman" w:hAnsi="Times New Roman"/>
        </w:rPr>
        <w:t>«ΓΕΦΥΡΑ»</w:t>
      </w:r>
      <w:r w:rsidRPr="009F4662">
        <w:rPr>
          <w:rFonts w:ascii="Times New Roman" w:hAnsi="Times New Roman"/>
        </w:rPr>
        <w:t>),</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η επιχορήγηση για την ενίσχυση του κλάδου του πολιτισμού μέσω του Υπουργείου Πολιτισμού και Αθλητισμού,</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 xml:space="preserve">το πρόγραμμα βραχυχρόνιας απασχόλησης </w:t>
      </w:r>
      <w:r w:rsidR="00FC77EF">
        <w:rPr>
          <w:rFonts w:ascii="Times New Roman" w:hAnsi="Times New Roman"/>
        </w:rPr>
        <w:t>«ΣΥΝΕΡΓΑΣΙΑ»</w:t>
      </w:r>
      <w:r w:rsidRPr="009F4662">
        <w:rPr>
          <w:rFonts w:ascii="Times New Roman" w:hAnsi="Times New Roman"/>
        </w:rPr>
        <w:t xml:space="preserve">, </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η κάλυψη του πρόσθετου κόστους του δώρου Χριστουγέννων των υπαλλήλων που λαμβάνουν ειδική αποζημίωση λόγω προσωρινής αναστολής της σύμβασης εργασίας,</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η αποζημίωση ειδικού σκοπού για εποχιακούς εργαζόμενους στον τουρισμό,</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η αποζημίωση ανά θέση επιβάτη προς τις αεροπορικές εταιρείες,</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οι αποζημιώσεις σε ερασιτεχνικούς αθλητικούς συλλόγους,</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η κάλυψη ασφαλιστικών εισφορών των υπαλλήλων εποχιακών επιχειρήσεων,</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η κάλυψη των ασφαλιστικών εισφορών από τον κρατικό προϋπολογισμό και η επιδότηση 200 ευρώ σε περίπτωση πρόσληψης μακροχρόνια ανέργου, για περίοδο 6 μηνών, στο πλαίσιο του προγράμματος για τη δημιουργία 100.000 νέων θέσεων εργασίας,</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η αποζημίωση σε ΤΡΑΙΝΟΣΕ και ΚΤΕΛ λόγω του περι</w:t>
      </w:r>
      <w:r w:rsidR="00491D75">
        <w:rPr>
          <w:rFonts w:ascii="Times New Roman" w:hAnsi="Times New Roman"/>
        </w:rPr>
        <w:t>ορισμού στις θέσεις επιβατών,</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η πρόσληψη έκτακτου υγειονομικού προσωπικού με σχέση εργασίας ΙΔΟΧ,</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η ενίσχυση επιχειρήσεων του πολιτισμού λόγω περιορισμού θέσεων σε θέατρα, κινηματογρ</w:t>
      </w:r>
      <w:r w:rsidRPr="009F4662">
        <w:rPr>
          <w:rFonts w:ascii="Times New Roman" w:hAnsi="Times New Roman"/>
        </w:rPr>
        <w:t>ά</w:t>
      </w:r>
      <w:r w:rsidRPr="009F4662">
        <w:rPr>
          <w:rFonts w:ascii="Times New Roman" w:hAnsi="Times New Roman"/>
        </w:rPr>
        <w:t>φους, συναυλιακούς χώρους, κ</w:t>
      </w:r>
      <w:r w:rsidR="00477871">
        <w:rPr>
          <w:rFonts w:ascii="Times New Roman" w:hAnsi="Times New Roman"/>
        </w:rPr>
        <w:t>.</w:t>
      </w:r>
      <w:r w:rsidRPr="009F4662">
        <w:rPr>
          <w:rFonts w:ascii="Times New Roman" w:hAnsi="Times New Roman"/>
        </w:rPr>
        <w:t>λπ</w:t>
      </w:r>
      <w:r w:rsidR="00477871">
        <w:rPr>
          <w:rFonts w:ascii="Times New Roman" w:hAnsi="Times New Roman"/>
        </w:rPr>
        <w:t>.</w:t>
      </w:r>
      <w:r w:rsidRPr="009F4662">
        <w:rPr>
          <w:rFonts w:ascii="Times New Roman" w:hAnsi="Times New Roman"/>
        </w:rPr>
        <w:t xml:space="preserve"> και</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η κάλυψη των εργοδοτικών ασφαλιστικών εισφορών και του επιδόματος αδείας των εργαζομ</w:t>
      </w:r>
      <w:r w:rsidRPr="009F4662">
        <w:rPr>
          <w:rFonts w:ascii="Times New Roman" w:hAnsi="Times New Roman"/>
        </w:rPr>
        <w:t>έ</w:t>
      </w:r>
      <w:r w:rsidRPr="009F4662">
        <w:rPr>
          <w:rFonts w:ascii="Times New Roman" w:hAnsi="Times New Roman"/>
        </w:rPr>
        <w:t>νων σε ξενοδοχεία δωδεκάμηνης λειτουργίας.</w:t>
      </w:r>
    </w:p>
    <w:p w:rsidR="00D04A97" w:rsidRPr="009F4662" w:rsidRDefault="00D04A97" w:rsidP="00D04A97">
      <w:pPr>
        <w:ind w:left="284" w:hanging="284"/>
        <w:jc w:val="both"/>
        <w:rPr>
          <w:bCs/>
          <w:iCs/>
          <w:sz w:val="22"/>
          <w:szCs w:val="22"/>
        </w:rPr>
      </w:pPr>
    </w:p>
    <w:p w:rsidR="00D04A97" w:rsidRPr="009F4662" w:rsidRDefault="00D04A97" w:rsidP="00D04A97">
      <w:pPr>
        <w:jc w:val="both"/>
        <w:rPr>
          <w:bCs/>
          <w:iCs/>
          <w:sz w:val="22"/>
          <w:szCs w:val="22"/>
        </w:rPr>
      </w:pPr>
      <w:r w:rsidRPr="009F4662">
        <w:rPr>
          <w:bCs/>
          <w:iCs/>
          <w:sz w:val="22"/>
          <w:szCs w:val="22"/>
        </w:rPr>
        <w:t>Λοιπές μεταβιβαστικές δαπάνες (πλην Covid-19), οι οποίες οδήγησαν σε αύξηση των μεταβιβάσεων σε σχέση με τον στόχο του προϋπολογισμού 2020 είναι οι εξής:</w:t>
      </w:r>
    </w:p>
    <w:p w:rsidR="00D04A97" w:rsidRPr="009F4662" w:rsidRDefault="00D04A97" w:rsidP="00D04A97">
      <w:pPr>
        <w:ind w:left="284" w:hanging="284"/>
        <w:jc w:val="both"/>
        <w:rPr>
          <w:bCs/>
          <w:iCs/>
          <w:sz w:val="22"/>
          <w:szCs w:val="22"/>
        </w:rPr>
      </w:pPr>
      <w:r w:rsidRPr="009F4662">
        <w:rPr>
          <w:bCs/>
          <w:iCs/>
          <w:sz w:val="22"/>
          <w:szCs w:val="22"/>
        </w:rPr>
        <w:t xml:space="preserve"> </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 xml:space="preserve">η αυξημένη επιχορήγηση στον </w:t>
      </w:r>
      <w:r w:rsidRPr="009F4662">
        <w:rPr>
          <w:rFonts w:ascii="Times New Roman" w:hAnsi="Times New Roman"/>
          <w:lang w:val="en-US"/>
        </w:rPr>
        <w:t>e</w:t>
      </w:r>
      <w:r w:rsidRPr="009F4662">
        <w:rPr>
          <w:rFonts w:ascii="Times New Roman" w:hAnsi="Times New Roman"/>
        </w:rPr>
        <w:t xml:space="preserve">-ΕΦΚΑ για την καταβολή αναδρομικών στους συνταξιούχους του δημοσίου και του ιδιωτικού τομέα, ύψους 1.400 εκατ. ευρώ περίπου, κατόπιν δικαστικών </w:t>
      </w:r>
      <w:r w:rsidRPr="009F4662">
        <w:rPr>
          <w:rFonts w:ascii="Times New Roman" w:hAnsi="Times New Roman"/>
        </w:rPr>
        <w:t>α</w:t>
      </w:r>
      <w:r w:rsidRPr="009F4662">
        <w:rPr>
          <w:rFonts w:ascii="Times New Roman" w:hAnsi="Times New Roman"/>
        </w:rPr>
        <w:t>ποφάσεων,</w:t>
      </w:r>
    </w:p>
    <w:p w:rsidR="00D04A97" w:rsidRPr="009F4662" w:rsidRDefault="00117320" w:rsidP="00D04A97">
      <w:pPr>
        <w:pStyle w:val="af2"/>
        <w:numPr>
          <w:ilvl w:val="0"/>
          <w:numId w:val="8"/>
        </w:numPr>
        <w:spacing w:after="0" w:line="240" w:lineRule="auto"/>
        <w:ind w:left="425" w:hanging="425"/>
        <w:contextualSpacing w:val="0"/>
        <w:jc w:val="both"/>
        <w:rPr>
          <w:rFonts w:ascii="Times New Roman" w:hAnsi="Times New Roman"/>
        </w:rPr>
      </w:pPr>
      <w:r>
        <w:rPr>
          <w:rFonts w:ascii="Times New Roman" w:hAnsi="Times New Roman"/>
        </w:rPr>
        <w:t xml:space="preserve">το βοήθημα </w:t>
      </w:r>
      <w:r w:rsidR="00D04A97" w:rsidRPr="009F4662">
        <w:rPr>
          <w:rFonts w:ascii="Times New Roman" w:hAnsi="Times New Roman"/>
        </w:rPr>
        <w:t>σε φυσικά πρόσωπα</w:t>
      </w:r>
      <w:r>
        <w:rPr>
          <w:rFonts w:ascii="Times New Roman" w:hAnsi="Times New Roman"/>
        </w:rPr>
        <w:t xml:space="preserve"> (5.000 ευρώ)</w:t>
      </w:r>
      <w:r w:rsidR="00D04A97" w:rsidRPr="009F4662">
        <w:rPr>
          <w:rFonts w:ascii="Times New Roman" w:hAnsi="Times New Roman"/>
        </w:rPr>
        <w:t xml:space="preserve"> και επιχειρήσεις</w:t>
      </w:r>
      <w:r>
        <w:rPr>
          <w:rFonts w:ascii="Times New Roman" w:hAnsi="Times New Roman"/>
        </w:rPr>
        <w:t xml:space="preserve"> (8.000 ευρώ)</w:t>
      </w:r>
      <w:r w:rsidR="00D04A97" w:rsidRPr="009F4662">
        <w:rPr>
          <w:rFonts w:ascii="Times New Roman" w:hAnsi="Times New Roman"/>
        </w:rPr>
        <w:t xml:space="preserve"> που επλήγησαν από τον Μεσογειακό κυκλώνα «Ιανό», ύψους 84 εκατ. ευρώ,</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το πρόγραμμα εξόφλησης ληξιπρόθεσμων οφειλών των ΟΤΑ ύψους 116 εκατ. ευρώ και η έκτ</w:t>
      </w:r>
      <w:r w:rsidRPr="009F4662">
        <w:rPr>
          <w:rFonts w:ascii="Times New Roman" w:hAnsi="Times New Roman"/>
        </w:rPr>
        <w:t>α</w:t>
      </w:r>
      <w:r w:rsidRPr="009F4662">
        <w:rPr>
          <w:rFonts w:ascii="Times New Roman" w:hAnsi="Times New Roman"/>
        </w:rPr>
        <w:t xml:space="preserve">κτη επιχορήγησή τους κατά </w:t>
      </w:r>
      <w:r w:rsidR="00075389">
        <w:rPr>
          <w:rFonts w:ascii="Times New Roman" w:hAnsi="Times New Roman"/>
        </w:rPr>
        <w:t>171</w:t>
      </w:r>
      <w:r w:rsidR="00117320" w:rsidRPr="009F4662">
        <w:rPr>
          <w:rFonts w:ascii="Times New Roman" w:hAnsi="Times New Roman"/>
        </w:rPr>
        <w:t xml:space="preserve"> </w:t>
      </w:r>
      <w:r w:rsidRPr="009F4662">
        <w:rPr>
          <w:rFonts w:ascii="Times New Roman" w:hAnsi="Times New Roman"/>
        </w:rPr>
        <w:t>εκατ. ευρώ,</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η αυξημένη επιχορήγηση προς τον ΕΟΠΥΥ κατά 507 εκατ. ευρώ</w:t>
      </w:r>
      <w:r w:rsidR="00117320">
        <w:rPr>
          <w:rFonts w:ascii="Times New Roman" w:hAnsi="Times New Roman"/>
        </w:rPr>
        <w:t xml:space="preserve"> (συμπεριλαμβανομένης της α</w:t>
      </w:r>
      <w:r w:rsidR="00117320">
        <w:rPr>
          <w:rFonts w:ascii="Times New Roman" w:hAnsi="Times New Roman"/>
        </w:rPr>
        <w:t>ύ</w:t>
      </w:r>
      <w:r w:rsidR="00117320">
        <w:rPr>
          <w:rFonts w:ascii="Times New Roman" w:hAnsi="Times New Roman"/>
        </w:rPr>
        <w:t>ξησης του ορίου της φαρμακευτικής δαπάνης)</w:t>
      </w:r>
      <w:r w:rsidRPr="009F4662">
        <w:rPr>
          <w:rFonts w:ascii="Times New Roman" w:hAnsi="Times New Roman"/>
        </w:rPr>
        <w:t xml:space="preserve"> και</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λοιπές μεταβιβαστικές δαπάνες που καλύφθηκαν με μεταφορά πιστώσεων από το τακτικό και το ειδικό αποθεματικό ύψους 363 και 52 εκατ. ευρώ αντίστοιχα</w:t>
      </w:r>
      <w:r w:rsidR="00491D75">
        <w:rPr>
          <w:rFonts w:ascii="Times New Roman" w:hAnsi="Times New Roman"/>
        </w:rPr>
        <w:t xml:space="preserve"> (παρ. 1 και 8 του άρθρου 59 του </w:t>
      </w:r>
      <w:r w:rsidR="00B8212B">
        <w:rPr>
          <w:rFonts w:ascii="Times New Roman" w:hAnsi="Times New Roman"/>
        </w:rPr>
        <w:t>ν</w:t>
      </w:r>
      <w:r w:rsidR="00491D75">
        <w:rPr>
          <w:rFonts w:ascii="Times New Roman" w:hAnsi="Times New Roman"/>
        </w:rPr>
        <w:t>. 4270/2014)</w:t>
      </w:r>
      <w:r w:rsidRPr="009F4662">
        <w:rPr>
          <w:rFonts w:ascii="Times New Roman" w:hAnsi="Times New Roman"/>
        </w:rPr>
        <w:t>.</w:t>
      </w:r>
    </w:p>
    <w:p w:rsidR="00D04A97" w:rsidRPr="009F4662" w:rsidRDefault="00D04A97" w:rsidP="00D04A97">
      <w:pPr>
        <w:jc w:val="both"/>
        <w:rPr>
          <w:sz w:val="22"/>
          <w:szCs w:val="22"/>
        </w:rPr>
      </w:pPr>
    </w:p>
    <w:p w:rsidR="00D04A97" w:rsidRPr="009F4662" w:rsidRDefault="00D04A97" w:rsidP="00D04A97">
      <w:pPr>
        <w:jc w:val="both"/>
        <w:rPr>
          <w:sz w:val="22"/>
          <w:szCs w:val="22"/>
        </w:rPr>
      </w:pPr>
      <w:r w:rsidRPr="009F4662">
        <w:rPr>
          <w:sz w:val="22"/>
          <w:szCs w:val="22"/>
        </w:rPr>
        <w:t>Με αντίρροπο (μειωτικό) χαρακτήρα κινήθηκαν οι τρέχουσες μεταβιβάσεις προς οργανισμούς και κράτη-μέλη της Ευρωπαϊκής Ένωσης (ΕΕ) οι οποίες μειώθηκαν κατά 49 εκατ. ευρώ (τρέχουσα εκτ</w:t>
      </w:r>
      <w:r w:rsidRPr="009F4662">
        <w:rPr>
          <w:sz w:val="22"/>
          <w:szCs w:val="22"/>
        </w:rPr>
        <w:t>ί</w:t>
      </w:r>
      <w:r w:rsidRPr="009F4662">
        <w:rPr>
          <w:sz w:val="22"/>
          <w:szCs w:val="22"/>
        </w:rPr>
        <w:t>μηση 1.981 εκατ. ευρώ έναντι στόχου 2.030 εκατ. ευρώ).</w:t>
      </w:r>
    </w:p>
    <w:p w:rsidR="00D04A97" w:rsidRPr="009F4662" w:rsidRDefault="00D04A97" w:rsidP="00D04A97">
      <w:pPr>
        <w:jc w:val="both"/>
        <w:rPr>
          <w:bCs/>
          <w:iCs/>
          <w:sz w:val="22"/>
          <w:szCs w:val="22"/>
        </w:rPr>
      </w:pPr>
    </w:p>
    <w:p w:rsidR="00D04A97" w:rsidRPr="00D04A97" w:rsidRDefault="00D04A97" w:rsidP="00D04A97">
      <w:pPr>
        <w:jc w:val="both"/>
        <w:rPr>
          <w:rFonts w:ascii="Arial Narrow" w:hAnsi="Arial Narrow"/>
          <w:b/>
          <w:bCs/>
          <w:i/>
          <w:iCs/>
          <w:sz w:val="22"/>
          <w:szCs w:val="22"/>
          <w:lang w:bidi="en-US"/>
        </w:rPr>
      </w:pPr>
      <w:r w:rsidRPr="00D04A97">
        <w:rPr>
          <w:rFonts w:ascii="Arial Narrow" w:hAnsi="Arial Narrow"/>
          <w:b/>
          <w:bCs/>
          <w:i/>
          <w:iCs/>
          <w:sz w:val="22"/>
          <w:szCs w:val="22"/>
          <w:lang w:bidi="en-US"/>
        </w:rPr>
        <w:t>Αγορές αγαθών και υπηρεσιών</w:t>
      </w:r>
    </w:p>
    <w:p w:rsidR="00D04A97" w:rsidRDefault="00D04A97" w:rsidP="00D04A97">
      <w:pPr>
        <w:jc w:val="both"/>
        <w:rPr>
          <w:bCs/>
          <w:iCs/>
          <w:sz w:val="22"/>
          <w:szCs w:val="22"/>
        </w:rPr>
      </w:pPr>
    </w:p>
    <w:p w:rsidR="00D04A97" w:rsidRPr="009F4662" w:rsidRDefault="00D04A97" w:rsidP="00D04A97">
      <w:pPr>
        <w:jc w:val="both"/>
        <w:rPr>
          <w:bCs/>
          <w:iCs/>
          <w:sz w:val="22"/>
          <w:szCs w:val="22"/>
        </w:rPr>
      </w:pPr>
      <w:r w:rsidRPr="009F4662">
        <w:rPr>
          <w:bCs/>
          <w:iCs/>
          <w:sz w:val="22"/>
          <w:szCs w:val="22"/>
        </w:rPr>
        <w:t>Στην κατηγορία αυτή περιλαμβάνονται δαπάνες καταναλωτικού χαρακτήρα. Οι σχετικές δαπάνες για το έτος 2020 εκτιμάται ότι θα ανέλθουν στα 1.702 εκατ. ευρώ, αυξημένες κατά 734 εκατ. ευρώ έναντι του στόχου, κυρίως λόγω:</w:t>
      </w:r>
    </w:p>
    <w:p w:rsidR="00D04A97" w:rsidRPr="009F4662" w:rsidRDefault="00D04A97" w:rsidP="00D04A97">
      <w:pPr>
        <w:jc w:val="both"/>
        <w:rPr>
          <w:bCs/>
          <w:iCs/>
          <w:sz w:val="22"/>
          <w:szCs w:val="22"/>
        </w:rPr>
      </w:pP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lastRenderedPageBreak/>
        <w:t xml:space="preserve">της ενίσχυσης της κατηγορίας αυτής με πιστώσεις τόσο από το τακτικό όσο και από το ειδικό </w:t>
      </w:r>
      <w:r w:rsidRPr="009F4662">
        <w:rPr>
          <w:rFonts w:ascii="Times New Roman" w:hAnsi="Times New Roman"/>
        </w:rPr>
        <w:t>α</w:t>
      </w:r>
      <w:r w:rsidRPr="009F4662">
        <w:rPr>
          <w:rFonts w:ascii="Times New Roman" w:hAnsi="Times New Roman"/>
        </w:rPr>
        <w:t>ποθεματικό ύψους 277 εκατ. ευρώ, για την ενίσχυση των λειτουργικών δαπανών των υπουργε</w:t>
      </w:r>
      <w:r w:rsidRPr="009F4662">
        <w:rPr>
          <w:rFonts w:ascii="Times New Roman" w:hAnsi="Times New Roman"/>
        </w:rPr>
        <w:t>ί</w:t>
      </w:r>
      <w:r w:rsidRPr="009F4662">
        <w:rPr>
          <w:rFonts w:ascii="Times New Roman" w:hAnsi="Times New Roman"/>
        </w:rPr>
        <w:t xml:space="preserve">ων, </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της ενίσχυσης από τις λοιπές υπό κατανομή πιστώσεις για την αντιμετώπιση των μεταναστευτ</w:t>
      </w:r>
      <w:r w:rsidRPr="009F4662">
        <w:rPr>
          <w:rFonts w:ascii="Times New Roman" w:hAnsi="Times New Roman"/>
        </w:rPr>
        <w:t>ι</w:t>
      </w:r>
      <w:r w:rsidRPr="009F4662">
        <w:rPr>
          <w:rFonts w:ascii="Times New Roman" w:hAnsi="Times New Roman"/>
        </w:rPr>
        <w:t xml:space="preserve">κών ροών ύψους 200 εκατ. ευρώ και </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του επιπλέον κόστους των λειτουργικών δαπανών των υπουργείων λόγω της πανδημίας</w:t>
      </w:r>
      <w:r w:rsidR="00BB0B0A">
        <w:rPr>
          <w:rFonts w:ascii="Times New Roman" w:hAnsi="Times New Roman"/>
        </w:rPr>
        <w:t>.</w:t>
      </w:r>
    </w:p>
    <w:p w:rsidR="00D04A97" w:rsidRPr="009F4662" w:rsidRDefault="00D04A97" w:rsidP="00D04A97">
      <w:pPr>
        <w:jc w:val="both"/>
        <w:rPr>
          <w:bCs/>
          <w:iCs/>
          <w:sz w:val="22"/>
          <w:szCs w:val="22"/>
        </w:rPr>
      </w:pPr>
    </w:p>
    <w:p w:rsidR="00D04A97" w:rsidRPr="00D04A97" w:rsidRDefault="00D04A97" w:rsidP="00D04A97">
      <w:pPr>
        <w:jc w:val="both"/>
        <w:rPr>
          <w:rFonts w:ascii="Arial Narrow" w:hAnsi="Arial Narrow"/>
          <w:b/>
          <w:bCs/>
          <w:i/>
          <w:iCs/>
          <w:sz w:val="22"/>
          <w:szCs w:val="22"/>
          <w:lang w:bidi="en-US"/>
        </w:rPr>
      </w:pPr>
      <w:r w:rsidRPr="00D04A97">
        <w:rPr>
          <w:rFonts w:ascii="Arial Narrow" w:hAnsi="Arial Narrow"/>
          <w:b/>
          <w:bCs/>
          <w:i/>
          <w:iCs/>
          <w:sz w:val="22"/>
          <w:szCs w:val="22"/>
          <w:lang w:bidi="en-US"/>
        </w:rPr>
        <w:t>Επιδοτήσεις</w:t>
      </w:r>
    </w:p>
    <w:p w:rsidR="00D04A97" w:rsidRPr="009F4662" w:rsidRDefault="00D04A97" w:rsidP="00D04A97">
      <w:pPr>
        <w:jc w:val="both"/>
        <w:rPr>
          <w:bCs/>
          <w:iCs/>
          <w:sz w:val="22"/>
          <w:szCs w:val="22"/>
        </w:rPr>
      </w:pPr>
    </w:p>
    <w:p w:rsidR="00D04A97" w:rsidRPr="009F4662" w:rsidRDefault="00D04A97" w:rsidP="00D04A97">
      <w:pPr>
        <w:jc w:val="both"/>
        <w:rPr>
          <w:bCs/>
          <w:iCs/>
          <w:sz w:val="22"/>
          <w:szCs w:val="22"/>
        </w:rPr>
      </w:pPr>
      <w:r w:rsidRPr="009F4662">
        <w:rPr>
          <w:bCs/>
          <w:iCs/>
          <w:sz w:val="22"/>
          <w:szCs w:val="22"/>
        </w:rPr>
        <w:t>Στην κατηγορία αυτή περιλαμβάνονται κυρίως οι επιδοτήσεις στα ΕΛΤΑ για την καθολική ταχυδρ</w:t>
      </w:r>
      <w:r w:rsidRPr="009F4662">
        <w:rPr>
          <w:bCs/>
          <w:iCs/>
          <w:sz w:val="22"/>
          <w:szCs w:val="22"/>
        </w:rPr>
        <w:t>ο</w:t>
      </w:r>
      <w:r w:rsidRPr="009F4662">
        <w:rPr>
          <w:bCs/>
          <w:iCs/>
          <w:sz w:val="22"/>
          <w:szCs w:val="22"/>
        </w:rPr>
        <w:t xml:space="preserve">μική υπηρεσία, καθώς και στην ΤΡΑΙΝΟΣΕ. </w:t>
      </w:r>
    </w:p>
    <w:p w:rsidR="00D04A97" w:rsidRPr="009F4662" w:rsidRDefault="00D04A97" w:rsidP="00D04A97">
      <w:pPr>
        <w:jc w:val="both"/>
        <w:rPr>
          <w:bCs/>
          <w:iCs/>
          <w:sz w:val="22"/>
          <w:szCs w:val="22"/>
        </w:rPr>
      </w:pPr>
    </w:p>
    <w:p w:rsidR="00D04A97" w:rsidRPr="009F4662" w:rsidRDefault="00D04A97" w:rsidP="00D04A97">
      <w:pPr>
        <w:jc w:val="both"/>
        <w:rPr>
          <w:bCs/>
          <w:iCs/>
          <w:sz w:val="22"/>
          <w:szCs w:val="22"/>
        </w:rPr>
      </w:pPr>
      <w:r w:rsidRPr="009F4662">
        <w:rPr>
          <w:bCs/>
          <w:iCs/>
          <w:sz w:val="22"/>
          <w:szCs w:val="22"/>
        </w:rPr>
        <w:t>Η συνολική εκτίμηση για αυτή την κατηγορία ανέρχεται σε 102 εκατ. ευρώ, αυξημένη κατά 12 εκατ. ευρώ έναντι του στόχου</w:t>
      </w:r>
      <w:r w:rsidRPr="009F4662">
        <w:rPr>
          <w:bCs/>
          <w:i/>
          <w:iCs/>
          <w:sz w:val="22"/>
          <w:szCs w:val="22"/>
        </w:rPr>
        <w:t>.</w:t>
      </w:r>
    </w:p>
    <w:p w:rsidR="00D04A97" w:rsidRPr="009F4662" w:rsidRDefault="00D04A97" w:rsidP="00D04A97">
      <w:pPr>
        <w:jc w:val="both"/>
        <w:rPr>
          <w:bCs/>
          <w:iCs/>
          <w:sz w:val="22"/>
          <w:szCs w:val="22"/>
        </w:rPr>
      </w:pPr>
    </w:p>
    <w:p w:rsidR="00D04A97" w:rsidRPr="00D04A97" w:rsidRDefault="00D04A97" w:rsidP="00D04A97">
      <w:pPr>
        <w:jc w:val="both"/>
        <w:rPr>
          <w:rFonts w:ascii="Arial Narrow" w:hAnsi="Arial Narrow"/>
          <w:b/>
          <w:bCs/>
          <w:i/>
          <w:iCs/>
          <w:sz w:val="22"/>
          <w:szCs w:val="22"/>
          <w:lang w:bidi="en-US"/>
        </w:rPr>
      </w:pPr>
      <w:r w:rsidRPr="00D04A97">
        <w:rPr>
          <w:rFonts w:ascii="Arial Narrow" w:hAnsi="Arial Narrow"/>
          <w:b/>
          <w:bCs/>
          <w:i/>
          <w:iCs/>
          <w:sz w:val="22"/>
          <w:szCs w:val="22"/>
          <w:lang w:bidi="en-US"/>
        </w:rPr>
        <w:t>Τόκοι (σε ακαθάριστη βάση)</w:t>
      </w:r>
    </w:p>
    <w:p w:rsidR="00D04A97" w:rsidRPr="009F4662" w:rsidRDefault="00D04A97" w:rsidP="00D04A97">
      <w:pPr>
        <w:jc w:val="both"/>
        <w:rPr>
          <w:bCs/>
          <w:iCs/>
          <w:sz w:val="22"/>
          <w:szCs w:val="22"/>
        </w:rPr>
      </w:pPr>
    </w:p>
    <w:p w:rsidR="00D04A97" w:rsidRPr="009F4662" w:rsidRDefault="00D04A97" w:rsidP="00D04A97">
      <w:pPr>
        <w:jc w:val="both"/>
        <w:rPr>
          <w:bCs/>
          <w:iCs/>
          <w:sz w:val="22"/>
          <w:szCs w:val="22"/>
        </w:rPr>
      </w:pPr>
      <w:r w:rsidRPr="009F4662">
        <w:rPr>
          <w:bCs/>
          <w:iCs/>
          <w:sz w:val="22"/>
          <w:szCs w:val="22"/>
        </w:rPr>
        <w:t>Η εκτίμηση για τις</w:t>
      </w:r>
      <w:r w:rsidRPr="009F4662">
        <w:rPr>
          <w:bCs/>
          <w:i/>
          <w:iCs/>
          <w:sz w:val="22"/>
          <w:szCs w:val="22"/>
        </w:rPr>
        <w:t xml:space="preserve"> </w:t>
      </w:r>
      <w:r w:rsidRPr="009F4662">
        <w:rPr>
          <w:bCs/>
          <w:iCs/>
          <w:sz w:val="22"/>
          <w:szCs w:val="22"/>
        </w:rPr>
        <w:t>δαπάνες τόκων σε ακαθάριστη δημοσιονομική βάση, ανέρχεται σε 5.850 εκατ. ε</w:t>
      </w:r>
      <w:r w:rsidRPr="009F4662">
        <w:rPr>
          <w:bCs/>
          <w:iCs/>
          <w:sz w:val="22"/>
          <w:szCs w:val="22"/>
        </w:rPr>
        <w:t>υ</w:t>
      </w:r>
      <w:r w:rsidRPr="009F4662">
        <w:rPr>
          <w:bCs/>
          <w:iCs/>
          <w:sz w:val="22"/>
          <w:szCs w:val="22"/>
        </w:rPr>
        <w:t>ρώ, μειωμένη κατά 150 εκατ. ευρώ έναντι του αρχικού στόχου.</w:t>
      </w:r>
    </w:p>
    <w:p w:rsidR="00D04A97" w:rsidRPr="009F4662" w:rsidRDefault="00D04A97" w:rsidP="00D04A97">
      <w:pPr>
        <w:jc w:val="both"/>
        <w:rPr>
          <w:bCs/>
          <w:i/>
          <w:iCs/>
          <w:sz w:val="22"/>
          <w:szCs w:val="22"/>
        </w:rPr>
      </w:pPr>
    </w:p>
    <w:p w:rsidR="00D04A97" w:rsidRPr="00D04A97" w:rsidRDefault="00D04A97" w:rsidP="00D04A97">
      <w:pPr>
        <w:jc w:val="both"/>
        <w:rPr>
          <w:rFonts w:ascii="Arial Narrow" w:hAnsi="Arial Narrow"/>
          <w:b/>
          <w:bCs/>
          <w:i/>
          <w:iCs/>
          <w:sz w:val="22"/>
          <w:szCs w:val="22"/>
          <w:lang w:bidi="en-US"/>
        </w:rPr>
      </w:pPr>
      <w:r w:rsidRPr="00D04A97">
        <w:rPr>
          <w:rFonts w:ascii="Arial Narrow" w:hAnsi="Arial Narrow"/>
          <w:b/>
          <w:bCs/>
          <w:i/>
          <w:iCs/>
          <w:sz w:val="22"/>
          <w:szCs w:val="22"/>
          <w:lang w:bidi="en-US"/>
        </w:rPr>
        <w:t>Λοιπές δαπάνες</w:t>
      </w:r>
    </w:p>
    <w:p w:rsidR="00D04A97" w:rsidRPr="009F4662" w:rsidRDefault="00D04A97" w:rsidP="00D04A97">
      <w:pPr>
        <w:jc w:val="both"/>
        <w:rPr>
          <w:bCs/>
          <w:iCs/>
          <w:sz w:val="22"/>
          <w:szCs w:val="22"/>
        </w:rPr>
      </w:pPr>
    </w:p>
    <w:p w:rsidR="00D04A97" w:rsidRPr="009F4662" w:rsidRDefault="00D04A97" w:rsidP="00D04A97">
      <w:pPr>
        <w:jc w:val="both"/>
        <w:rPr>
          <w:bCs/>
          <w:iCs/>
          <w:sz w:val="22"/>
          <w:szCs w:val="22"/>
        </w:rPr>
      </w:pPr>
      <w:r w:rsidRPr="009F4662">
        <w:rPr>
          <w:bCs/>
          <w:iCs/>
          <w:sz w:val="22"/>
          <w:szCs w:val="22"/>
        </w:rPr>
        <w:t>Οι λοιπές δαπάνες περιλαμβάνουν κυρίως τη δαπάνη για τις επιστροφές στην ΕΕ από ανεκτέλεστα προγράμματα, καθώς και τη δαπάνη για τα πρόστιμα προς την ΕΕ.</w:t>
      </w:r>
    </w:p>
    <w:p w:rsidR="00D04A97" w:rsidRPr="009F4662" w:rsidRDefault="00D04A97" w:rsidP="00D04A97">
      <w:pPr>
        <w:jc w:val="both"/>
        <w:rPr>
          <w:bCs/>
          <w:iCs/>
          <w:sz w:val="22"/>
          <w:szCs w:val="22"/>
        </w:rPr>
      </w:pPr>
      <w:r w:rsidRPr="009F4662">
        <w:rPr>
          <w:bCs/>
          <w:iCs/>
          <w:sz w:val="22"/>
          <w:szCs w:val="22"/>
        </w:rPr>
        <w:t xml:space="preserve"> </w:t>
      </w:r>
    </w:p>
    <w:p w:rsidR="00D04A97" w:rsidRPr="009F4662" w:rsidRDefault="00D04A97" w:rsidP="00D04A97">
      <w:pPr>
        <w:jc w:val="both"/>
        <w:rPr>
          <w:bCs/>
          <w:iCs/>
          <w:sz w:val="22"/>
          <w:szCs w:val="22"/>
        </w:rPr>
      </w:pPr>
      <w:r w:rsidRPr="009F4662">
        <w:rPr>
          <w:bCs/>
          <w:iCs/>
          <w:sz w:val="22"/>
          <w:szCs w:val="22"/>
        </w:rPr>
        <w:t>Η εκτιμώμενη δαπάνη ανέρχεται σε 72 εκατ. ευρώ χωρίς σημαντική απόκλιση από τον στόχο.</w:t>
      </w:r>
    </w:p>
    <w:p w:rsidR="00D04A97" w:rsidRPr="009F4662" w:rsidRDefault="00D04A97" w:rsidP="00D04A97">
      <w:pPr>
        <w:jc w:val="both"/>
        <w:rPr>
          <w:bCs/>
          <w:iCs/>
          <w:sz w:val="22"/>
          <w:szCs w:val="22"/>
        </w:rPr>
      </w:pPr>
    </w:p>
    <w:p w:rsidR="00D04A97" w:rsidRPr="00D04A97" w:rsidRDefault="00D04A97" w:rsidP="00D04A97">
      <w:pPr>
        <w:jc w:val="both"/>
        <w:rPr>
          <w:rFonts w:ascii="Arial Narrow" w:hAnsi="Arial Narrow"/>
          <w:b/>
          <w:bCs/>
          <w:i/>
          <w:iCs/>
          <w:sz w:val="22"/>
          <w:szCs w:val="22"/>
          <w:lang w:bidi="en-US"/>
        </w:rPr>
      </w:pPr>
      <w:r w:rsidRPr="00D04A97">
        <w:rPr>
          <w:rFonts w:ascii="Arial Narrow" w:hAnsi="Arial Narrow"/>
          <w:b/>
          <w:bCs/>
          <w:i/>
          <w:iCs/>
          <w:sz w:val="22"/>
          <w:szCs w:val="22"/>
          <w:lang w:bidi="en-US"/>
        </w:rPr>
        <w:t>Πιστώσεις υπό κατανομή</w:t>
      </w:r>
    </w:p>
    <w:p w:rsidR="00D04A97" w:rsidRPr="009F4662" w:rsidRDefault="00D04A97" w:rsidP="00D04A97">
      <w:pPr>
        <w:jc w:val="both"/>
        <w:rPr>
          <w:bCs/>
          <w:iCs/>
          <w:sz w:val="22"/>
          <w:szCs w:val="22"/>
        </w:rPr>
      </w:pPr>
    </w:p>
    <w:p w:rsidR="00D04A97" w:rsidRPr="009F4662" w:rsidRDefault="00D04A97" w:rsidP="00D04A97">
      <w:pPr>
        <w:jc w:val="both"/>
        <w:rPr>
          <w:bCs/>
          <w:iCs/>
          <w:sz w:val="22"/>
          <w:szCs w:val="22"/>
        </w:rPr>
      </w:pPr>
      <w:r w:rsidRPr="009F4662">
        <w:rPr>
          <w:bCs/>
          <w:iCs/>
          <w:sz w:val="22"/>
          <w:szCs w:val="22"/>
        </w:rPr>
        <w:t>Στην κατηγορία αυτή περιλαμβάνονται κυρίως οι δαπάνες του ΠΔΕ και το τακτικό και ειδικό αποθ</w:t>
      </w:r>
      <w:r w:rsidRPr="009F4662">
        <w:rPr>
          <w:bCs/>
          <w:iCs/>
          <w:sz w:val="22"/>
          <w:szCs w:val="22"/>
        </w:rPr>
        <w:t>ε</w:t>
      </w:r>
      <w:r w:rsidRPr="009F4662">
        <w:rPr>
          <w:bCs/>
          <w:iCs/>
          <w:sz w:val="22"/>
          <w:szCs w:val="22"/>
        </w:rPr>
        <w:t xml:space="preserve">ματικό. </w:t>
      </w:r>
    </w:p>
    <w:p w:rsidR="00D04A97" w:rsidRPr="009F4662" w:rsidRDefault="00D04A97" w:rsidP="00D04A97">
      <w:pPr>
        <w:jc w:val="both"/>
        <w:rPr>
          <w:bCs/>
          <w:iCs/>
          <w:sz w:val="22"/>
          <w:szCs w:val="22"/>
        </w:rPr>
      </w:pPr>
    </w:p>
    <w:p w:rsidR="00D04A97" w:rsidRPr="009F4662" w:rsidRDefault="00D04A97" w:rsidP="00D04A97">
      <w:pPr>
        <w:jc w:val="both"/>
        <w:rPr>
          <w:bCs/>
          <w:iCs/>
          <w:sz w:val="22"/>
          <w:szCs w:val="22"/>
        </w:rPr>
      </w:pPr>
      <w:r w:rsidRPr="009F4662">
        <w:rPr>
          <w:bCs/>
          <w:iCs/>
          <w:sz w:val="22"/>
          <w:szCs w:val="22"/>
        </w:rPr>
        <w:t>Οι συνολικές δαπάνες για την κατηγορία αυτή εκτιμώνται σε 10.783 εκατ. ευρώ, αυξημένες έναντι του στόχου κατά 2.537 εκατ. ευρώ, γεγονός που οφείλεται κυρίως στις εκτιμώμενες αυξημένες πλ</w:t>
      </w:r>
      <w:r w:rsidRPr="009F4662">
        <w:rPr>
          <w:bCs/>
          <w:iCs/>
          <w:sz w:val="22"/>
          <w:szCs w:val="22"/>
        </w:rPr>
        <w:t>η</w:t>
      </w:r>
      <w:r w:rsidRPr="009F4662">
        <w:rPr>
          <w:bCs/>
          <w:iCs/>
          <w:sz w:val="22"/>
          <w:szCs w:val="22"/>
        </w:rPr>
        <w:t>ρωμές του ΠΔΕ κατά 3.671 εκατ. ευρώ σε σχέση με τον στόχο (10.421 εκατ. ευρώ έναντι 6.750 εκατ. ευρώ), λόγω της αντιμετώπισης της πανδημίας με τα εξής μέτρα:</w:t>
      </w:r>
    </w:p>
    <w:p w:rsidR="00D04A97" w:rsidRPr="009F4662" w:rsidRDefault="00D04A97" w:rsidP="00D04A97">
      <w:pPr>
        <w:jc w:val="both"/>
        <w:rPr>
          <w:bCs/>
          <w:iCs/>
          <w:sz w:val="22"/>
          <w:szCs w:val="22"/>
        </w:rPr>
      </w:pP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color w:val="000000"/>
        </w:rPr>
        <w:t>αποζημίωση ειδικού σκοπού</w:t>
      </w:r>
      <w:r w:rsidRPr="009F4662">
        <w:rPr>
          <w:rFonts w:ascii="Times New Roman" w:hAnsi="Times New Roman"/>
        </w:rPr>
        <w:t xml:space="preserve"> 534 ευρώ για αυτοαπασχολούμενους, ελεύθερους επαγγελματίες και εργοδότες (με έως και 20 υπαλλήλους) που επλήγησαν από την κρίση του C</w:t>
      </w:r>
      <w:r w:rsidRPr="009F4662">
        <w:rPr>
          <w:rFonts w:ascii="Times New Roman" w:hAnsi="Times New Roman"/>
          <w:lang w:val="en-US"/>
        </w:rPr>
        <w:t>ovid</w:t>
      </w:r>
      <w:r w:rsidRPr="009F4662">
        <w:rPr>
          <w:rFonts w:ascii="Times New Roman" w:hAnsi="Times New Roman"/>
        </w:rPr>
        <w:t>-19,</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μέρος της επιστρεπτέας προκαταβολής (1 δισ. ευρώ εκ των 5,4 δισ. ευρώ, το υπόλοιπο δίδεται από τον τακτικό προϋπολογισμό και εμφανίζεται στην κατηγορία των μεταβιβάσεων),</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επιδότηση επιτοκίου των επιχειρηματικών δανείων των επιχειρήσεων, οι οποίες ανήκουν σε πληττόμενους κλάδους,</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Ταμείο Εγγυοδοσίας της Ελληνικής Αναπτυξιακής Τράπεζας,</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πρόγραμμα κοινωνικού τουρισμού</w:t>
      </w:r>
      <w:r w:rsidR="003C56D8">
        <w:rPr>
          <w:rFonts w:ascii="Times New Roman" w:hAnsi="Times New Roman"/>
        </w:rPr>
        <w:t>,</w:t>
      </w:r>
      <w:r w:rsidRPr="009F4662">
        <w:rPr>
          <w:rFonts w:ascii="Times New Roman" w:hAnsi="Times New Roman"/>
        </w:rPr>
        <w:t xml:space="preserve"> </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έξοδα διαφήμισης του ΕΟΤ και</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color w:val="000000"/>
        </w:rPr>
      </w:pPr>
      <w:r w:rsidRPr="009F4662">
        <w:rPr>
          <w:rFonts w:ascii="Times New Roman" w:hAnsi="Times New Roman"/>
        </w:rPr>
        <w:t>κεφάλαιο κίνησης</w:t>
      </w:r>
      <w:r w:rsidRPr="009F4662">
        <w:rPr>
          <w:rFonts w:ascii="Times New Roman" w:hAnsi="Times New Roman"/>
          <w:color w:val="000000"/>
        </w:rPr>
        <w:t xml:space="preserve"> στο πλαίσιο του Ταμείου Επιχειρηματικότητας (ΤΕΠΙΧ ΙΙ).</w:t>
      </w:r>
    </w:p>
    <w:p w:rsidR="00D04A97" w:rsidRPr="009F4662" w:rsidRDefault="00D04A97" w:rsidP="00D04A97">
      <w:pPr>
        <w:jc w:val="both"/>
        <w:rPr>
          <w:bCs/>
          <w:iCs/>
          <w:sz w:val="22"/>
          <w:szCs w:val="22"/>
        </w:rPr>
      </w:pPr>
    </w:p>
    <w:p w:rsidR="00D04A97" w:rsidRPr="009F4662" w:rsidRDefault="00D04A97" w:rsidP="00D04A97">
      <w:pPr>
        <w:jc w:val="both"/>
        <w:rPr>
          <w:bCs/>
          <w:iCs/>
          <w:sz w:val="22"/>
          <w:szCs w:val="22"/>
        </w:rPr>
      </w:pPr>
      <w:r w:rsidRPr="009F4662">
        <w:rPr>
          <w:bCs/>
          <w:iCs/>
          <w:sz w:val="22"/>
          <w:szCs w:val="22"/>
        </w:rPr>
        <w:t>Το σύνολο των προαναφερθέντων μέτρων καλύπτεται τόσο από τις πιστώσεις του αρχικού προϋπολ</w:t>
      </w:r>
      <w:r w:rsidRPr="009F4662">
        <w:rPr>
          <w:bCs/>
          <w:iCs/>
          <w:sz w:val="22"/>
          <w:szCs w:val="22"/>
        </w:rPr>
        <w:t>ο</w:t>
      </w:r>
      <w:r w:rsidRPr="009F4662">
        <w:rPr>
          <w:bCs/>
          <w:iCs/>
          <w:sz w:val="22"/>
          <w:szCs w:val="22"/>
        </w:rPr>
        <w:t>γισμού 2020, όσο και από τις επιπλέον πιστώσεις που ψηφί</w:t>
      </w:r>
      <w:r w:rsidR="003C56D8">
        <w:rPr>
          <w:bCs/>
          <w:iCs/>
          <w:sz w:val="22"/>
          <w:szCs w:val="22"/>
        </w:rPr>
        <w:t>στηκαν μέσω συμπληρωματικών προϋπ</w:t>
      </w:r>
      <w:r w:rsidR="003C56D8">
        <w:rPr>
          <w:bCs/>
          <w:iCs/>
          <w:sz w:val="22"/>
          <w:szCs w:val="22"/>
        </w:rPr>
        <w:t>ο</w:t>
      </w:r>
      <w:r w:rsidR="003C56D8">
        <w:rPr>
          <w:bCs/>
          <w:iCs/>
          <w:sz w:val="22"/>
          <w:szCs w:val="22"/>
        </w:rPr>
        <w:t>λογισμών</w:t>
      </w:r>
      <w:r w:rsidRPr="009F4662">
        <w:rPr>
          <w:bCs/>
          <w:iCs/>
          <w:sz w:val="22"/>
          <w:szCs w:val="22"/>
        </w:rPr>
        <w:t>.</w:t>
      </w:r>
    </w:p>
    <w:p w:rsidR="00D04A97" w:rsidRPr="009F4662" w:rsidRDefault="00D04A97" w:rsidP="00D04A97">
      <w:pPr>
        <w:ind w:left="284" w:hanging="284"/>
        <w:jc w:val="both"/>
        <w:rPr>
          <w:bCs/>
          <w:iCs/>
          <w:sz w:val="22"/>
          <w:szCs w:val="22"/>
        </w:rPr>
      </w:pPr>
    </w:p>
    <w:p w:rsidR="00D04A97" w:rsidRPr="009F4662" w:rsidRDefault="00D04A97" w:rsidP="00D04A97">
      <w:pPr>
        <w:jc w:val="both"/>
        <w:rPr>
          <w:bCs/>
          <w:iCs/>
          <w:sz w:val="22"/>
          <w:szCs w:val="22"/>
        </w:rPr>
      </w:pPr>
      <w:r w:rsidRPr="009F4662">
        <w:rPr>
          <w:bCs/>
          <w:iCs/>
          <w:sz w:val="22"/>
          <w:szCs w:val="22"/>
        </w:rPr>
        <w:lastRenderedPageBreak/>
        <w:t>Σημειωτέον ότι οι πιστώσεις από το αποθεματικό (τακτικό και ειδικό) ανακατανέμονται κατά τη διά</w:t>
      </w:r>
      <w:r w:rsidRPr="009F4662">
        <w:rPr>
          <w:bCs/>
          <w:iCs/>
          <w:sz w:val="22"/>
          <w:szCs w:val="22"/>
        </w:rPr>
        <w:t>ρ</w:t>
      </w:r>
      <w:r w:rsidRPr="009F4662">
        <w:rPr>
          <w:bCs/>
          <w:iCs/>
          <w:sz w:val="22"/>
          <w:szCs w:val="22"/>
        </w:rPr>
        <w:t>κεια του έτους, προς ενίσχυση άλλ</w:t>
      </w:r>
      <w:r w:rsidR="003C56D8">
        <w:rPr>
          <w:bCs/>
          <w:iCs/>
          <w:sz w:val="22"/>
          <w:szCs w:val="22"/>
        </w:rPr>
        <w:t>ων κατηγοριών δαπανών. Μέχρι τις</w:t>
      </w:r>
      <w:r w:rsidRPr="009F4662">
        <w:rPr>
          <w:bCs/>
          <w:iCs/>
          <w:sz w:val="22"/>
          <w:szCs w:val="22"/>
        </w:rPr>
        <w:t xml:space="preserve"> 12/10/2020 είχαν μεταφερθεί 823 εκατ. ευρώ, προκειμένου να αντιμετωπισθούν δαπάνες κυρίως για την:</w:t>
      </w:r>
    </w:p>
    <w:p w:rsidR="00D04A97" w:rsidRPr="009F4662" w:rsidRDefault="00D04A97" w:rsidP="00D04A97">
      <w:pPr>
        <w:jc w:val="both"/>
        <w:rPr>
          <w:bCs/>
          <w:iCs/>
          <w:sz w:val="22"/>
          <w:szCs w:val="22"/>
        </w:rPr>
      </w:pPr>
      <w:r w:rsidRPr="009F4662">
        <w:rPr>
          <w:bCs/>
          <w:iCs/>
          <w:sz w:val="22"/>
          <w:szCs w:val="22"/>
        </w:rPr>
        <w:t xml:space="preserve"> </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εκτέλεση των τελεσίδικων και αμετάκλητων δικαστικών αποφάσεων,</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αντιμετώπιση των φυσικών καταστροφών,</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 xml:space="preserve">πληρωμή Υπηρεσιών Κοινής Ωφελείας περιόδου 2007-2011, </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επιχορήγηση προς τον ΕΛΓΑ,</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rPr>
      </w:pPr>
      <w:r w:rsidRPr="009F4662">
        <w:rPr>
          <w:rFonts w:ascii="Times New Roman" w:hAnsi="Times New Roman"/>
        </w:rPr>
        <w:t>κάλυψη μέρους των δαπανών μεταναστευτικών ροών,</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bCs/>
          <w:lang w:bidi="en-US"/>
        </w:rPr>
      </w:pPr>
      <w:r w:rsidRPr="009F4662">
        <w:rPr>
          <w:rFonts w:ascii="Times New Roman" w:hAnsi="Times New Roman"/>
        </w:rPr>
        <w:t>επιχορήγηση</w:t>
      </w:r>
      <w:r w:rsidRPr="009F4662">
        <w:rPr>
          <w:rFonts w:ascii="Times New Roman" w:hAnsi="Times New Roman"/>
          <w:bCs/>
        </w:rPr>
        <w:t xml:space="preserve"> προς την ΛΑΡΚΟ,</w:t>
      </w:r>
    </w:p>
    <w:p w:rsidR="00D04A97" w:rsidRPr="009F4662" w:rsidRDefault="00D04A97" w:rsidP="00D04A97">
      <w:pPr>
        <w:pStyle w:val="af2"/>
        <w:numPr>
          <w:ilvl w:val="0"/>
          <w:numId w:val="8"/>
        </w:numPr>
        <w:spacing w:after="0" w:line="240" w:lineRule="auto"/>
        <w:ind w:left="425" w:hanging="425"/>
        <w:contextualSpacing w:val="0"/>
        <w:jc w:val="both"/>
        <w:rPr>
          <w:rFonts w:ascii="Times New Roman" w:hAnsi="Times New Roman"/>
          <w:bCs/>
          <w:lang w:bidi="en-US"/>
        </w:rPr>
      </w:pPr>
      <w:r w:rsidRPr="009F4662">
        <w:rPr>
          <w:rFonts w:ascii="Times New Roman" w:hAnsi="Times New Roman"/>
          <w:bCs/>
        </w:rPr>
        <w:t>επιχορήγηση του Οργανισμού Συγκοινωνιακού Έργου Θεσσαλονίκης ΑΕ (ΟΣΕΘ ΑΕ).</w:t>
      </w:r>
    </w:p>
    <w:p w:rsidR="00D04A97" w:rsidRPr="009F4662" w:rsidRDefault="00D04A97" w:rsidP="00D04A97">
      <w:pPr>
        <w:pStyle w:val="af2"/>
        <w:spacing w:after="0" w:line="240" w:lineRule="auto"/>
        <w:ind w:left="284"/>
        <w:contextualSpacing w:val="0"/>
        <w:jc w:val="both"/>
        <w:rPr>
          <w:rFonts w:ascii="Times New Roman" w:hAnsi="Times New Roman"/>
          <w:bCs/>
          <w:iCs/>
        </w:rPr>
      </w:pPr>
    </w:p>
    <w:p w:rsidR="00D04A97" w:rsidRPr="00D04A97" w:rsidRDefault="003C56D8" w:rsidP="00D04A97">
      <w:pPr>
        <w:jc w:val="both"/>
        <w:rPr>
          <w:rFonts w:ascii="Arial Narrow" w:hAnsi="Arial Narrow"/>
          <w:b/>
          <w:bCs/>
          <w:i/>
          <w:iCs/>
          <w:sz w:val="22"/>
          <w:szCs w:val="22"/>
          <w:lang w:bidi="en-US"/>
        </w:rPr>
      </w:pPr>
      <w:r>
        <w:rPr>
          <w:rFonts w:ascii="Arial Narrow" w:hAnsi="Arial Narrow"/>
          <w:b/>
          <w:bCs/>
          <w:i/>
          <w:iCs/>
          <w:sz w:val="22"/>
          <w:szCs w:val="22"/>
          <w:lang w:bidi="en-US"/>
        </w:rPr>
        <w:t>Αγορές πάγιων περιουσιακών στοιχείων</w:t>
      </w:r>
    </w:p>
    <w:p w:rsidR="00D04A97" w:rsidRPr="009F4662" w:rsidRDefault="00D04A97" w:rsidP="00D04A97">
      <w:pPr>
        <w:jc w:val="both"/>
        <w:rPr>
          <w:bCs/>
          <w:iCs/>
          <w:sz w:val="22"/>
          <w:szCs w:val="22"/>
        </w:rPr>
      </w:pPr>
    </w:p>
    <w:p w:rsidR="00D04A97" w:rsidRDefault="00D04A97" w:rsidP="00D04A97">
      <w:pPr>
        <w:jc w:val="both"/>
        <w:rPr>
          <w:bCs/>
          <w:iCs/>
          <w:sz w:val="22"/>
          <w:szCs w:val="22"/>
        </w:rPr>
      </w:pPr>
      <w:r w:rsidRPr="009F4662">
        <w:rPr>
          <w:bCs/>
          <w:iCs/>
          <w:sz w:val="22"/>
          <w:szCs w:val="22"/>
        </w:rPr>
        <w:t>Στην κατηγορία αυτή περιλαμβάνονται κυρίως οι εκτιμώμενες δαπάνες αγοράς οπλικών συστημάτων. Οι συνολικές δαπάνες εκτιμώνται σε 612 εκατ. ευρώ και περιλαμβάνουν κυρίως τις φυσικές παραλ</w:t>
      </w:r>
      <w:r w:rsidRPr="009F4662">
        <w:rPr>
          <w:bCs/>
          <w:iCs/>
          <w:sz w:val="22"/>
          <w:szCs w:val="22"/>
        </w:rPr>
        <w:t>α</w:t>
      </w:r>
      <w:r w:rsidRPr="009F4662">
        <w:rPr>
          <w:bCs/>
          <w:iCs/>
          <w:sz w:val="22"/>
          <w:szCs w:val="22"/>
        </w:rPr>
        <w:t>βές εξοπλιστικών προγραμμάτων.</w:t>
      </w:r>
    </w:p>
    <w:p w:rsidR="00361143" w:rsidRPr="009F4662" w:rsidRDefault="00361143" w:rsidP="00D04A97">
      <w:pPr>
        <w:jc w:val="both"/>
        <w:rPr>
          <w:bCs/>
          <w:iCs/>
          <w:sz w:val="22"/>
          <w:szCs w:val="22"/>
        </w:rPr>
      </w:pPr>
    </w:p>
    <w:p w:rsidR="00C4218F" w:rsidRPr="008F5AFA" w:rsidRDefault="00C4218F" w:rsidP="00C4218F">
      <w:pPr>
        <w:jc w:val="both"/>
        <w:rPr>
          <w:rFonts w:ascii="Arial Narrow" w:hAnsi="Arial Narrow"/>
          <w:b/>
          <w:i/>
          <w:sz w:val="22"/>
          <w:szCs w:val="22"/>
        </w:rPr>
      </w:pPr>
      <w:r>
        <w:rPr>
          <w:rFonts w:ascii="Arial Narrow" w:hAnsi="Arial Narrow"/>
          <w:b/>
          <w:i/>
          <w:sz w:val="22"/>
          <w:szCs w:val="22"/>
        </w:rPr>
        <w:t>Δαπάνες Προγράμματος Δημοσίων Επενδύσεων</w:t>
      </w:r>
    </w:p>
    <w:p w:rsidR="00C4218F" w:rsidRDefault="00C4218F">
      <w:pPr>
        <w:rPr>
          <w:sz w:val="22"/>
        </w:rPr>
      </w:pPr>
    </w:p>
    <w:p w:rsidR="00C4218F" w:rsidRPr="00726201" w:rsidRDefault="00C4218F" w:rsidP="00C4218F">
      <w:pPr>
        <w:jc w:val="both"/>
        <w:rPr>
          <w:sz w:val="22"/>
          <w:szCs w:val="22"/>
        </w:rPr>
      </w:pPr>
      <w:r w:rsidRPr="00726201">
        <w:rPr>
          <w:sz w:val="22"/>
          <w:szCs w:val="22"/>
        </w:rPr>
        <w:t xml:space="preserve">Στον Κρατικό Προϋπολογισμό έτους 2020 είχαν προβλεφθεί αρχικά για το Πρόγραμμα Δημοσίων </w:t>
      </w:r>
      <w:r w:rsidRPr="00726201">
        <w:rPr>
          <w:sz w:val="22"/>
          <w:szCs w:val="22"/>
        </w:rPr>
        <w:t>Ε</w:t>
      </w:r>
      <w:r w:rsidRPr="00726201">
        <w:rPr>
          <w:sz w:val="22"/>
          <w:szCs w:val="22"/>
        </w:rPr>
        <w:t xml:space="preserve">πενδύσεων (ΠΔΕ) </w:t>
      </w:r>
      <w:r w:rsidR="00FE24A8">
        <w:rPr>
          <w:sz w:val="22"/>
          <w:szCs w:val="22"/>
        </w:rPr>
        <w:t>πιστώσεις</w:t>
      </w:r>
      <w:r w:rsidRPr="00726201">
        <w:rPr>
          <w:sz w:val="22"/>
          <w:szCs w:val="22"/>
        </w:rPr>
        <w:t xml:space="preserve"> 6.750 εκατ. ευρώ, ήτοι 6.000 εκατ. ευρώ για το σκέλος που συγχρηματ</w:t>
      </w:r>
      <w:r w:rsidRPr="00726201">
        <w:rPr>
          <w:sz w:val="22"/>
          <w:szCs w:val="22"/>
        </w:rPr>
        <w:t>ο</w:t>
      </w:r>
      <w:r w:rsidRPr="00726201">
        <w:rPr>
          <w:sz w:val="22"/>
          <w:szCs w:val="22"/>
        </w:rPr>
        <w:t>δοτείται από πόρους της Ευρωπαϊκής Ένωσης (συγχρηματοδοτούμενο ΠΔΕ) και 750 εκατ. ευρώ για το σκέλος που χρηματοδοτείται από αμιγώς εθνικού</w:t>
      </w:r>
      <w:r w:rsidR="00AD10B3">
        <w:rPr>
          <w:sz w:val="22"/>
          <w:szCs w:val="22"/>
        </w:rPr>
        <w:t>ς</w:t>
      </w:r>
      <w:r w:rsidRPr="00726201">
        <w:rPr>
          <w:sz w:val="22"/>
          <w:szCs w:val="22"/>
        </w:rPr>
        <w:t xml:space="preserve"> πόρους (εθνικό ΠΔΕ).</w:t>
      </w:r>
    </w:p>
    <w:p w:rsidR="00C4218F" w:rsidRDefault="00C4218F" w:rsidP="00C4218F">
      <w:pPr>
        <w:jc w:val="both"/>
        <w:rPr>
          <w:sz w:val="22"/>
          <w:szCs w:val="22"/>
        </w:rPr>
      </w:pPr>
    </w:p>
    <w:p w:rsidR="00C4218F" w:rsidRPr="00726201" w:rsidRDefault="00C4218F" w:rsidP="00C4218F">
      <w:pPr>
        <w:jc w:val="both"/>
        <w:rPr>
          <w:sz w:val="22"/>
          <w:szCs w:val="22"/>
        </w:rPr>
      </w:pPr>
      <w:r w:rsidRPr="00726201">
        <w:rPr>
          <w:sz w:val="22"/>
          <w:szCs w:val="22"/>
        </w:rPr>
        <w:t>Στο πλαίσιο λήψης μέτρων για την αντιμετώπιση των συνεχιζόμενων συνεπειών της πανδημίας του κορωνοϊού (Covid-19), αποφασίστηκε η χρηματοδότηση έκτακτων δράσεων και από τον Προϋπολ</w:t>
      </w:r>
      <w:r w:rsidRPr="00726201">
        <w:rPr>
          <w:sz w:val="22"/>
          <w:szCs w:val="22"/>
        </w:rPr>
        <w:t>ο</w:t>
      </w:r>
      <w:r w:rsidRPr="00726201">
        <w:rPr>
          <w:sz w:val="22"/>
          <w:szCs w:val="22"/>
        </w:rPr>
        <w:t>γισμό Δημοσίων Επενδύσεων. Προκειμένου να καλυφθούν οι αυξημένες ανάγκες χρηματοδότησης, με το άρθρο 9 του ν. 4690/2020 αυξήθηκαν οι πιστώσεις του Προϋπολογισμού Δημοσίων Επενδύσεων τρέχοντος έτους, κατά 1.000 εκατ. ευρώ στο συγχρηματοδοτούμενο σκέλος και κατά 250 εκατ. ευρώ στο εθνικό. Στη συνέχεια και για την ίδια αιτία, με το άρθρο 26 του ν. 4737/2020 ψηφίστηκε εκ νέου συμπληρωματικός Προϋπολογισμός με τον οποίο το συγχρηματοδοτούμενο ΠΔΕ αυξήθηκε κατά 500 εκατ. ευρώ και το εθνικό κατά 1.021 εκατ. ευρώ. Τέλος</w:t>
      </w:r>
      <w:r w:rsidR="00FE24A8">
        <w:rPr>
          <w:sz w:val="22"/>
          <w:szCs w:val="22"/>
        </w:rPr>
        <w:t>,</w:t>
      </w:r>
      <w:r w:rsidRPr="00726201">
        <w:rPr>
          <w:sz w:val="22"/>
          <w:szCs w:val="22"/>
        </w:rPr>
        <w:t xml:space="preserve"> </w:t>
      </w:r>
      <w:r w:rsidR="00E56E04">
        <w:rPr>
          <w:sz w:val="22"/>
          <w:szCs w:val="22"/>
        </w:rPr>
        <w:t>ψηφίστηκε στις 17/11/2020</w:t>
      </w:r>
      <w:r w:rsidRPr="00726201">
        <w:rPr>
          <w:sz w:val="22"/>
          <w:szCs w:val="22"/>
        </w:rPr>
        <w:t xml:space="preserve"> και νέο</w:t>
      </w:r>
      <w:r w:rsidR="00E56E04">
        <w:rPr>
          <w:sz w:val="22"/>
          <w:szCs w:val="22"/>
        </w:rPr>
        <w:t>ς</w:t>
      </w:r>
      <w:r w:rsidRPr="00726201">
        <w:rPr>
          <w:sz w:val="22"/>
          <w:szCs w:val="22"/>
        </w:rPr>
        <w:t xml:space="preserve"> συμπλ</w:t>
      </w:r>
      <w:r w:rsidRPr="00726201">
        <w:rPr>
          <w:sz w:val="22"/>
          <w:szCs w:val="22"/>
        </w:rPr>
        <w:t>η</w:t>
      </w:r>
      <w:r w:rsidRPr="00726201">
        <w:rPr>
          <w:sz w:val="22"/>
          <w:szCs w:val="22"/>
        </w:rPr>
        <w:t>ρωματικ</w:t>
      </w:r>
      <w:r w:rsidR="00E56E04">
        <w:rPr>
          <w:sz w:val="22"/>
          <w:szCs w:val="22"/>
        </w:rPr>
        <w:t>ός</w:t>
      </w:r>
      <w:r w:rsidRPr="00726201">
        <w:rPr>
          <w:sz w:val="22"/>
          <w:szCs w:val="22"/>
        </w:rPr>
        <w:t xml:space="preserve"> προϋπολογισμ</w:t>
      </w:r>
      <w:r w:rsidR="00E56E04">
        <w:rPr>
          <w:sz w:val="22"/>
          <w:szCs w:val="22"/>
        </w:rPr>
        <w:t>ός</w:t>
      </w:r>
      <w:r w:rsidRPr="00726201">
        <w:rPr>
          <w:sz w:val="22"/>
          <w:szCs w:val="22"/>
        </w:rPr>
        <w:t xml:space="preserve"> με τον οποίο αυξάνεται το συγχρηματοδοτούμενο ΠΔΕ κατά 900 εκατ. ευρώ, διαμορφώνοντας το τελικό ποσό του Προϋπολογισμού Δημοσίων Επενδύσεων έτους 2020 σε 10.421 εκατ. ευρώ που αναλύεται σε 8.400 εκατ. ευρώ για το συγχρηματοδοτούμενο σκέλος και 2.021 εκατ. ευρώ για το εθνικό.</w:t>
      </w:r>
    </w:p>
    <w:p w:rsidR="00C4218F" w:rsidRDefault="00C4218F" w:rsidP="00C4218F">
      <w:pPr>
        <w:jc w:val="both"/>
        <w:rPr>
          <w:sz w:val="22"/>
          <w:szCs w:val="22"/>
        </w:rPr>
      </w:pPr>
    </w:p>
    <w:p w:rsidR="00C4218F" w:rsidRPr="00726201" w:rsidRDefault="00C4218F" w:rsidP="00C4218F">
      <w:pPr>
        <w:jc w:val="both"/>
        <w:rPr>
          <w:sz w:val="22"/>
          <w:szCs w:val="22"/>
        </w:rPr>
      </w:pPr>
      <w:r w:rsidRPr="00726201">
        <w:rPr>
          <w:sz w:val="22"/>
          <w:szCs w:val="22"/>
        </w:rPr>
        <w:t xml:space="preserve">Οι </w:t>
      </w:r>
      <w:r w:rsidR="00E56E04">
        <w:rPr>
          <w:sz w:val="22"/>
          <w:szCs w:val="22"/>
        </w:rPr>
        <w:t>δαπάνες</w:t>
      </w:r>
      <w:r w:rsidR="00E56E04" w:rsidRPr="00726201">
        <w:rPr>
          <w:sz w:val="22"/>
          <w:szCs w:val="22"/>
        </w:rPr>
        <w:t xml:space="preserve"> </w:t>
      </w:r>
      <w:r w:rsidRPr="00726201">
        <w:rPr>
          <w:sz w:val="22"/>
          <w:szCs w:val="22"/>
        </w:rPr>
        <w:t xml:space="preserve">του ΠΔΕ το 2020 εκτιμάται ότι θα απορροφήσουν το σύνολο </w:t>
      </w:r>
      <w:r w:rsidR="00FE24A8">
        <w:rPr>
          <w:sz w:val="22"/>
          <w:szCs w:val="22"/>
        </w:rPr>
        <w:t xml:space="preserve">των πιστώσεων </w:t>
      </w:r>
      <w:r w:rsidRPr="00726201">
        <w:rPr>
          <w:sz w:val="22"/>
          <w:szCs w:val="22"/>
        </w:rPr>
        <w:t>του προϋπ</w:t>
      </w:r>
      <w:r w:rsidRPr="00726201">
        <w:rPr>
          <w:sz w:val="22"/>
          <w:szCs w:val="22"/>
        </w:rPr>
        <w:t>ο</w:t>
      </w:r>
      <w:r w:rsidRPr="00726201">
        <w:rPr>
          <w:sz w:val="22"/>
          <w:szCs w:val="22"/>
        </w:rPr>
        <w:t>λογισμού. Σημαντικό μέρος των διατιθέμενων πόρων χρησιμοποιούνται για την υλοποίηση έργων για την αντιμετώπιση των δυσμενών επιπτώσεων της υγειονομικής κρίσης και τη στήριξη της οικονομίας και της κοινωνίας. Βασικοί στόχοι κατά την εκτέλεση του ΠΔΕ 2020 συνεχίζουν να παραμένουν η πλήρης απορρόφηση και αξιοποίηση των διατιθέμενων πόρων, με έμφαση σε εκείνους που προέρχ</w:t>
      </w:r>
      <w:r w:rsidRPr="00726201">
        <w:rPr>
          <w:sz w:val="22"/>
          <w:szCs w:val="22"/>
        </w:rPr>
        <w:t>ο</w:t>
      </w:r>
      <w:r w:rsidRPr="00726201">
        <w:rPr>
          <w:sz w:val="22"/>
          <w:szCs w:val="22"/>
        </w:rPr>
        <w:t>νται από τα συγχρηματοδοτούμενα προγράμματα</w:t>
      </w:r>
      <w:r w:rsidR="00FE24A8">
        <w:rPr>
          <w:sz w:val="22"/>
          <w:szCs w:val="22"/>
        </w:rPr>
        <w:t>,</w:t>
      </w:r>
      <w:r w:rsidRPr="00726201">
        <w:rPr>
          <w:sz w:val="22"/>
          <w:szCs w:val="22"/>
        </w:rPr>
        <w:t xml:space="preserve"> στο πλαίσιο των αναπτυξιακών στόχων και των π</w:t>
      </w:r>
      <w:r w:rsidRPr="00726201">
        <w:rPr>
          <w:sz w:val="22"/>
          <w:szCs w:val="22"/>
        </w:rPr>
        <w:t>α</w:t>
      </w:r>
      <w:r w:rsidRPr="00726201">
        <w:rPr>
          <w:sz w:val="22"/>
          <w:szCs w:val="22"/>
        </w:rPr>
        <w:t>ρεμβάσεων στήριξης της οικονομίας, καθώς και η ενίσχυση των Υπουργείων και των Περιφερειών με χρηματοδοτήσεις από εθνικούς πόρους για έργα και δράσεις που αφορούν είτε σε πολιτικές των φ</w:t>
      </w:r>
      <w:r w:rsidRPr="00726201">
        <w:rPr>
          <w:sz w:val="22"/>
          <w:szCs w:val="22"/>
        </w:rPr>
        <w:t>ο</w:t>
      </w:r>
      <w:r w:rsidRPr="00726201">
        <w:rPr>
          <w:sz w:val="22"/>
          <w:szCs w:val="22"/>
        </w:rPr>
        <w:t>ρέων, είτε στην αντιμετώπιση έκτακτων αναγκών.</w:t>
      </w:r>
    </w:p>
    <w:p w:rsidR="00C12601" w:rsidRDefault="00C12601">
      <w:pPr>
        <w:rPr>
          <w:sz w:val="22"/>
        </w:rPr>
      </w:pPr>
    </w:p>
    <w:p w:rsidR="00445E67" w:rsidRPr="00D11719" w:rsidRDefault="00445E67" w:rsidP="00445E67">
      <w:pPr>
        <w:jc w:val="both"/>
        <w:rPr>
          <w:rFonts w:ascii="Arial Narrow" w:hAnsi="Arial Narrow"/>
          <w:b/>
          <w:bCs/>
          <w:iCs/>
          <w:sz w:val="22"/>
          <w:szCs w:val="22"/>
          <w:lang w:bidi="en-US"/>
        </w:rPr>
      </w:pPr>
      <w:r w:rsidRPr="00D11719">
        <w:rPr>
          <w:rFonts w:ascii="Arial Narrow" w:hAnsi="Arial Narrow"/>
          <w:b/>
          <w:bCs/>
          <w:iCs/>
          <w:sz w:val="22"/>
          <w:szCs w:val="22"/>
          <w:lang w:bidi="en-US"/>
        </w:rPr>
        <w:t>Δαπάνες χρηματοοικονομικών συναλλαγών</w:t>
      </w:r>
    </w:p>
    <w:p w:rsidR="00445E67" w:rsidRDefault="00445E67" w:rsidP="00445E67">
      <w:pPr>
        <w:jc w:val="both"/>
        <w:rPr>
          <w:bCs/>
          <w:iCs/>
          <w:sz w:val="22"/>
          <w:szCs w:val="22"/>
        </w:rPr>
      </w:pPr>
    </w:p>
    <w:p w:rsidR="0043650B" w:rsidRPr="00C344E2" w:rsidRDefault="0043650B" w:rsidP="0043650B">
      <w:pPr>
        <w:jc w:val="both"/>
        <w:rPr>
          <w:bCs/>
          <w:iCs/>
          <w:sz w:val="22"/>
          <w:szCs w:val="22"/>
        </w:rPr>
      </w:pPr>
      <w:r w:rsidRPr="00C344E2">
        <w:rPr>
          <w:bCs/>
          <w:iCs/>
          <w:sz w:val="22"/>
          <w:szCs w:val="22"/>
        </w:rPr>
        <w:t>Οι σημαντικού μεγέθους χρηματοοικονομικές συναλλαγές, οι οποίες δεν επηρεάζουν το ισοζύγιο του κρατικού προϋπολογισμού, ταξινομούνται στις εξής μείζονες κατηγορίες:</w:t>
      </w:r>
    </w:p>
    <w:p w:rsidR="0043650B" w:rsidRPr="00C344E2" w:rsidRDefault="0043650B" w:rsidP="0043650B">
      <w:pPr>
        <w:pStyle w:val="af2"/>
        <w:numPr>
          <w:ilvl w:val="0"/>
          <w:numId w:val="16"/>
        </w:numPr>
        <w:spacing w:after="0" w:line="240" w:lineRule="auto"/>
        <w:ind w:left="284" w:hanging="284"/>
        <w:contextualSpacing w:val="0"/>
        <w:jc w:val="both"/>
        <w:outlineLvl w:val="3"/>
        <w:rPr>
          <w:rFonts w:ascii="Times New Roman" w:hAnsi="Times New Roman"/>
          <w:iCs/>
          <w:szCs w:val="24"/>
        </w:rPr>
      </w:pPr>
      <w:r w:rsidRPr="00C344E2">
        <w:rPr>
          <w:rFonts w:ascii="Times New Roman" w:hAnsi="Times New Roman"/>
          <w:iCs/>
          <w:szCs w:val="24"/>
        </w:rPr>
        <w:lastRenderedPageBreak/>
        <w:t>«Προκαταβολές και λοιπές απαιτήσεις» και «Συμμετοχικοί τίτλοι και μερίδια επενδυτικών κεφ</w:t>
      </w:r>
      <w:r w:rsidRPr="00C344E2">
        <w:rPr>
          <w:rFonts w:ascii="Times New Roman" w:hAnsi="Times New Roman"/>
          <w:iCs/>
          <w:szCs w:val="24"/>
        </w:rPr>
        <w:t>α</w:t>
      </w:r>
      <w:r w:rsidRPr="00C344E2">
        <w:rPr>
          <w:rFonts w:ascii="Times New Roman" w:hAnsi="Times New Roman"/>
          <w:iCs/>
          <w:szCs w:val="24"/>
        </w:rPr>
        <w:t xml:space="preserve">λαίων» μέσω </w:t>
      </w:r>
      <w:r w:rsidR="00361143">
        <w:rPr>
          <w:rFonts w:ascii="Times New Roman" w:hAnsi="Times New Roman"/>
          <w:iCs/>
          <w:szCs w:val="24"/>
        </w:rPr>
        <w:t xml:space="preserve">των οποίων </w:t>
      </w:r>
      <w:r w:rsidRPr="00C344E2">
        <w:rPr>
          <w:rFonts w:ascii="Times New Roman" w:hAnsi="Times New Roman"/>
          <w:iCs/>
          <w:szCs w:val="24"/>
        </w:rPr>
        <w:t>εξυπηρετείται κυρίως η συμμετοχή του Ελληνικού Δημοσίου στις αυξ</w:t>
      </w:r>
      <w:r w:rsidRPr="00C344E2">
        <w:rPr>
          <w:rFonts w:ascii="Times New Roman" w:hAnsi="Times New Roman"/>
          <w:iCs/>
          <w:szCs w:val="24"/>
        </w:rPr>
        <w:t>ή</w:t>
      </w:r>
      <w:r w:rsidRPr="00C344E2">
        <w:rPr>
          <w:rFonts w:ascii="Times New Roman" w:hAnsi="Times New Roman"/>
          <w:iCs/>
          <w:szCs w:val="24"/>
        </w:rPr>
        <w:t>σεις Μετοχικού Κεφαλαίου Εταιρειών.</w:t>
      </w:r>
    </w:p>
    <w:p w:rsidR="0043650B" w:rsidRPr="00C344E2" w:rsidRDefault="0043650B" w:rsidP="0043650B">
      <w:pPr>
        <w:pStyle w:val="af2"/>
        <w:numPr>
          <w:ilvl w:val="0"/>
          <w:numId w:val="16"/>
        </w:numPr>
        <w:spacing w:after="0" w:line="240" w:lineRule="auto"/>
        <w:ind w:left="284" w:hanging="284"/>
        <w:contextualSpacing w:val="0"/>
        <w:jc w:val="both"/>
        <w:outlineLvl w:val="3"/>
        <w:rPr>
          <w:rFonts w:ascii="Times New Roman" w:hAnsi="Times New Roman"/>
          <w:iCs/>
          <w:szCs w:val="24"/>
        </w:rPr>
      </w:pPr>
      <w:r w:rsidRPr="00C344E2">
        <w:rPr>
          <w:rFonts w:ascii="Times New Roman" w:hAnsi="Times New Roman"/>
          <w:iCs/>
          <w:szCs w:val="24"/>
        </w:rPr>
        <w:t>«Χρεωστικοί τίτλοι», «Δάνεια» και «Χρηματοοικονομικά παράγωγα» μέσω των οποίων εξυπηρ</w:t>
      </w:r>
      <w:r w:rsidRPr="00C344E2">
        <w:rPr>
          <w:rFonts w:ascii="Times New Roman" w:hAnsi="Times New Roman"/>
          <w:iCs/>
          <w:szCs w:val="24"/>
        </w:rPr>
        <w:t>ε</w:t>
      </w:r>
      <w:r w:rsidRPr="00C344E2">
        <w:rPr>
          <w:rFonts w:ascii="Times New Roman" w:hAnsi="Times New Roman"/>
          <w:iCs/>
          <w:szCs w:val="24"/>
        </w:rPr>
        <w:t>τείται το δημόσιο χρέος.</w:t>
      </w:r>
    </w:p>
    <w:p w:rsidR="009930A8" w:rsidRDefault="009930A8" w:rsidP="00445E67">
      <w:pPr>
        <w:rPr>
          <w:sz w:val="22"/>
        </w:rPr>
      </w:pPr>
    </w:p>
    <w:p w:rsidR="00361143" w:rsidRDefault="00361143" w:rsidP="00445E67">
      <w:pPr>
        <w:rPr>
          <w:sz w:val="22"/>
        </w:rPr>
      </w:pPr>
      <w:r>
        <w:rPr>
          <w:sz w:val="22"/>
        </w:rPr>
        <w:t>Οι σχετικές δαπάνες των εν λόγω κατηγοριών περιλαμβάνονται στον πίνακα 3.5.</w:t>
      </w:r>
    </w:p>
    <w:p w:rsidR="00191466" w:rsidRDefault="00191466" w:rsidP="00445E67">
      <w:pPr>
        <w:rPr>
          <w:sz w:val="22"/>
        </w:rPr>
      </w:pPr>
    </w:p>
    <w:p w:rsidR="00361143" w:rsidRDefault="00361143" w:rsidP="00445E67">
      <w:pPr>
        <w:rPr>
          <w:sz w:val="22"/>
        </w:rPr>
      </w:pPr>
    </w:p>
    <w:p w:rsidR="00445E67" w:rsidRPr="00451777" w:rsidRDefault="00445E67" w:rsidP="00445E67">
      <w:pPr>
        <w:shd w:val="clear" w:color="auto" w:fill="595959" w:themeFill="text1" w:themeFillTint="A6"/>
        <w:rPr>
          <w:rFonts w:ascii="Arial Narrow" w:hAnsi="Arial Narrow"/>
          <w:b/>
          <w:color w:val="FFFFFF" w:themeColor="background1"/>
          <w:szCs w:val="26"/>
        </w:rPr>
      </w:pPr>
      <w:r w:rsidRPr="00D421AD">
        <w:rPr>
          <w:rFonts w:ascii="Arial Narrow" w:hAnsi="Arial Narrow"/>
          <w:b/>
          <w:color w:val="FFFFFF"/>
          <w:sz w:val="26"/>
          <w:szCs w:val="26"/>
        </w:rPr>
        <w:t>3.</w:t>
      </w:r>
      <w:r w:rsidRPr="00CE4228">
        <w:rPr>
          <w:rFonts w:ascii="Arial Narrow" w:hAnsi="Arial Narrow"/>
          <w:b/>
          <w:szCs w:val="26"/>
        </w:rPr>
        <w:tab/>
      </w:r>
      <w:r w:rsidRPr="0074222A">
        <w:rPr>
          <w:rFonts w:ascii="Arial Narrow" w:hAnsi="Arial Narrow"/>
          <w:b/>
          <w:color w:val="FFFFFF" w:themeColor="background1"/>
          <w:szCs w:val="26"/>
        </w:rPr>
        <w:t>Βασικά μεγέθη Προϋπολογισμού</w:t>
      </w:r>
      <w:r>
        <w:rPr>
          <w:rFonts w:ascii="Arial Narrow" w:hAnsi="Arial Narrow"/>
          <w:b/>
          <w:color w:val="FFFFFF" w:themeColor="background1"/>
          <w:szCs w:val="26"/>
        </w:rPr>
        <w:t xml:space="preserve"> Γενικής Κυβέρνησης 202</w:t>
      </w:r>
      <w:r w:rsidRPr="00451777">
        <w:rPr>
          <w:rFonts w:ascii="Arial Narrow" w:hAnsi="Arial Narrow"/>
          <w:b/>
          <w:color w:val="FFFFFF" w:themeColor="background1"/>
          <w:szCs w:val="26"/>
        </w:rPr>
        <w:t>1</w:t>
      </w:r>
    </w:p>
    <w:p w:rsidR="00C4218F" w:rsidRPr="00C4218F" w:rsidRDefault="00C4218F">
      <w:pPr>
        <w:rPr>
          <w:sz w:val="22"/>
        </w:rPr>
      </w:pPr>
    </w:p>
    <w:p w:rsidR="00445E67" w:rsidRPr="00286D95" w:rsidRDefault="00445E67" w:rsidP="00445E67">
      <w:pPr>
        <w:contextualSpacing/>
        <w:jc w:val="both"/>
        <w:rPr>
          <w:sz w:val="22"/>
          <w:szCs w:val="22"/>
        </w:rPr>
      </w:pPr>
      <w:r w:rsidRPr="00757B77">
        <w:rPr>
          <w:sz w:val="22"/>
          <w:szCs w:val="22"/>
        </w:rPr>
        <w:t xml:space="preserve">Για το έτος 2021, το πρωτογενές αποτέλεσμα της Γενικής Κυβέρνησης σε όρους </w:t>
      </w:r>
      <w:r w:rsidR="005875E8">
        <w:rPr>
          <w:sz w:val="22"/>
          <w:szCs w:val="22"/>
        </w:rPr>
        <w:t>ε</w:t>
      </w:r>
      <w:r w:rsidRPr="00757B77">
        <w:rPr>
          <w:sz w:val="22"/>
          <w:szCs w:val="22"/>
        </w:rPr>
        <w:t xml:space="preserve">νισχυμένης </w:t>
      </w:r>
      <w:r w:rsidR="005875E8">
        <w:rPr>
          <w:sz w:val="22"/>
          <w:szCs w:val="22"/>
        </w:rPr>
        <w:t>ε</w:t>
      </w:r>
      <w:r w:rsidRPr="00757B77">
        <w:rPr>
          <w:sz w:val="22"/>
          <w:szCs w:val="22"/>
        </w:rPr>
        <w:t>π</w:t>
      </w:r>
      <w:r w:rsidRPr="00757B77">
        <w:rPr>
          <w:sz w:val="22"/>
          <w:szCs w:val="22"/>
        </w:rPr>
        <w:t>ο</w:t>
      </w:r>
      <w:r w:rsidRPr="00757B77">
        <w:rPr>
          <w:sz w:val="22"/>
          <w:szCs w:val="22"/>
        </w:rPr>
        <w:t>πτείας, προβλέπεται να διαμορφωθεί σε έλλειμμα ύψους 6.670 εκατ. ευρώ ή 3,88% του ΑΕΠ. Αντ</w:t>
      </w:r>
      <w:r w:rsidRPr="00757B77">
        <w:rPr>
          <w:sz w:val="22"/>
          <w:szCs w:val="22"/>
        </w:rPr>
        <w:t>ί</w:t>
      </w:r>
      <w:r w:rsidRPr="00757B77">
        <w:rPr>
          <w:sz w:val="22"/>
          <w:szCs w:val="22"/>
        </w:rPr>
        <w:t>στοιχα, σε δημοσιονομική βάση το πρωτογενές αποτέλεσμα της Γενικής Κυβέρνησης προβλέπεται να διαμορφωθεί σε έλλειμμα ύψους 6.591 εκατ. ευρώ ή 3,8% του ΑΕΠ.</w:t>
      </w:r>
    </w:p>
    <w:p w:rsidR="005D3EA8" w:rsidRPr="00286D95" w:rsidRDefault="005D3EA8" w:rsidP="00445E67">
      <w:pPr>
        <w:contextualSpacing/>
        <w:jc w:val="both"/>
        <w:rPr>
          <w:sz w:val="22"/>
          <w:szCs w:val="22"/>
        </w:rPr>
      </w:pPr>
    </w:p>
    <w:p w:rsidR="005D3EA8" w:rsidRPr="00757B77" w:rsidRDefault="005D3EA8" w:rsidP="005D3EA8">
      <w:pPr>
        <w:jc w:val="both"/>
        <w:rPr>
          <w:sz w:val="22"/>
          <w:szCs w:val="22"/>
          <w:lang w:eastAsia="en-US"/>
        </w:rPr>
      </w:pPr>
      <w:r>
        <w:rPr>
          <w:sz w:val="22"/>
        </w:rPr>
        <w:t>Το σύνολο των εσόδων Γενικής Κυβέρνησης σε ενοποιημένη βάση αναμένεται να ανέλθει σε 87.660 εκατ. ευρώ το 2021, έναντι 81.426 εκατ. ευρώ το 2020 και 89.827 εκατ. ευρώ το 2019. Το σύνολο των δαπανών Γενικής Κυβέρνησης αναμένεται να ανέλθει σε 99.176 εκατ. ευρώ το 2021, έναντι 97.537 εκατ. ευρώ το 2020 και 87.030 εκατ. ευρώ το 2019.</w:t>
      </w:r>
    </w:p>
    <w:p w:rsidR="005D3EA8" w:rsidRPr="005D3EA8" w:rsidRDefault="005D3EA8" w:rsidP="00445E67">
      <w:pPr>
        <w:contextualSpacing/>
        <w:jc w:val="both"/>
        <w:rPr>
          <w:sz w:val="22"/>
          <w:szCs w:val="22"/>
        </w:rPr>
      </w:pPr>
    </w:p>
    <w:p w:rsidR="001F4AB9" w:rsidRPr="000574DA" w:rsidRDefault="001F4AB9" w:rsidP="001F4AB9">
      <w:pPr>
        <w:tabs>
          <w:tab w:val="left" w:pos="180"/>
        </w:tabs>
        <w:spacing w:line="235" w:lineRule="auto"/>
        <w:jc w:val="both"/>
        <w:rPr>
          <w:sz w:val="22"/>
          <w:highlight w:val="lightGray"/>
        </w:rPr>
      </w:pPr>
    </w:p>
    <w:p w:rsidR="00F94B6C" w:rsidRPr="00757B77" w:rsidRDefault="00F94B6C" w:rsidP="00F94B6C">
      <w:pPr>
        <w:contextualSpacing/>
        <w:jc w:val="both"/>
        <w:rPr>
          <w:sz w:val="22"/>
          <w:szCs w:val="22"/>
        </w:rPr>
      </w:pPr>
      <w:r w:rsidRPr="00757B77">
        <w:rPr>
          <w:sz w:val="22"/>
          <w:szCs w:val="22"/>
        </w:rPr>
        <w:t xml:space="preserve">Τα δημοσιονομικά μεγέθη του έτους 2021, για το οποίο όπως προαναφέρθηκε δεν θα ισχύσει ο στόχος της ενισχυμένης εποπτείας για την επίτευξη πρωτογενούς πλεονάσματος Γενικής Κυβέρνησης ύψους 3,5% του ΑΕΠ, θα επηρεαστούν σημαντικά από την εξέλιξη της πανδημίας </w:t>
      </w:r>
      <w:r w:rsidRPr="00757B77">
        <w:rPr>
          <w:sz w:val="22"/>
          <w:szCs w:val="22"/>
          <w:lang w:val="en-US"/>
        </w:rPr>
        <w:t>Covid</w:t>
      </w:r>
      <w:r w:rsidRPr="00757B77">
        <w:rPr>
          <w:sz w:val="22"/>
          <w:szCs w:val="22"/>
        </w:rPr>
        <w:t xml:space="preserve">-19, καθώς και από το γεγονός ότι ορισμένες από τις παρεμβάσεις λόγω </w:t>
      </w:r>
      <w:r w:rsidRPr="00757B77">
        <w:rPr>
          <w:sz w:val="22"/>
          <w:szCs w:val="22"/>
          <w:lang w:val="en-US"/>
        </w:rPr>
        <w:t>Covid</w:t>
      </w:r>
      <w:r w:rsidRPr="00757B77">
        <w:rPr>
          <w:sz w:val="22"/>
          <w:szCs w:val="22"/>
        </w:rPr>
        <w:t xml:space="preserve">-19 που ξεκίνησαν το έτος 2020, όπως οι μειώσεις των φορολογικών συντελεστών σε διάφορα προϊόντα και υπηρεσίες, η επιδότηση πρώτης κατοικίας για δανειολήπτες που επλήγησαν από την πανδημία και η επιδότηση </w:t>
      </w:r>
      <w:r w:rsidRPr="00757B77">
        <w:rPr>
          <w:rFonts w:cs="Calibri"/>
          <w:color w:val="000000"/>
          <w:sz w:val="22"/>
          <w:szCs w:val="22"/>
        </w:rPr>
        <w:t>για 6 μήνες των ασφ</w:t>
      </w:r>
      <w:r w:rsidRPr="00757B77">
        <w:rPr>
          <w:rFonts w:cs="Calibri"/>
          <w:color w:val="000000"/>
          <w:sz w:val="22"/>
          <w:szCs w:val="22"/>
        </w:rPr>
        <w:t>α</w:t>
      </w:r>
      <w:r w:rsidRPr="00757B77">
        <w:rPr>
          <w:rFonts w:cs="Calibri"/>
          <w:color w:val="000000"/>
          <w:sz w:val="22"/>
          <w:szCs w:val="22"/>
        </w:rPr>
        <w:t xml:space="preserve">λιστικών εισφορών σε 100.000 νέες θέσεις εργασίας, </w:t>
      </w:r>
      <w:r w:rsidRPr="00757B77">
        <w:rPr>
          <w:sz w:val="22"/>
          <w:szCs w:val="22"/>
        </w:rPr>
        <w:t>θα συνεχιστούν.</w:t>
      </w:r>
    </w:p>
    <w:p w:rsidR="002D14AA" w:rsidRDefault="002D14AA" w:rsidP="00F94B6C">
      <w:pPr>
        <w:contextualSpacing/>
        <w:jc w:val="both"/>
        <w:rPr>
          <w:sz w:val="22"/>
          <w:szCs w:val="22"/>
        </w:rPr>
      </w:pPr>
    </w:p>
    <w:p w:rsidR="00F94B6C" w:rsidRPr="00757B77" w:rsidRDefault="00F94B6C" w:rsidP="00F94B6C">
      <w:pPr>
        <w:contextualSpacing/>
        <w:jc w:val="both"/>
        <w:rPr>
          <w:sz w:val="22"/>
          <w:szCs w:val="22"/>
        </w:rPr>
      </w:pPr>
      <w:r w:rsidRPr="00757B77">
        <w:rPr>
          <w:sz w:val="22"/>
          <w:szCs w:val="22"/>
        </w:rPr>
        <w:t>Επίσης, θα ξεκινήσει η υλοποίηση νέων παρεμβάσεων για την αντιμετώπιση των συνεπειών της υγε</w:t>
      </w:r>
      <w:r w:rsidRPr="00757B77">
        <w:rPr>
          <w:sz w:val="22"/>
          <w:szCs w:val="22"/>
        </w:rPr>
        <w:t>ι</w:t>
      </w:r>
      <w:r w:rsidRPr="00757B77">
        <w:rPr>
          <w:sz w:val="22"/>
          <w:szCs w:val="22"/>
        </w:rPr>
        <w:t>ονομικής κρίσης, με βασικό σκοπό την ενίσχυση των επιχειρήσεων και των εργαζόμενων στον ιδιωτ</w:t>
      </w:r>
      <w:r w:rsidRPr="00757B77">
        <w:rPr>
          <w:sz w:val="22"/>
          <w:szCs w:val="22"/>
        </w:rPr>
        <w:t>ι</w:t>
      </w:r>
      <w:r w:rsidRPr="00757B77">
        <w:rPr>
          <w:sz w:val="22"/>
          <w:szCs w:val="22"/>
        </w:rPr>
        <w:t>κό τομέα, ο οποίος έχει πληγεί σημαντικά από αυτήν. Οι κυριότερες από τις νέες αυτές παρεμβάσεις είναι η μείωση κατά τρεις ποσοστιαίες μονάδες των ασφαλιστικών εισφορών των μισθωτών του ιδι</w:t>
      </w:r>
      <w:r w:rsidRPr="00757B77">
        <w:rPr>
          <w:sz w:val="22"/>
          <w:szCs w:val="22"/>
        </w:rPr>
        <w:t>ω</w:t>
      </w:r>
      <w:r w:rsidRPr="00757B77">
        <w:rPr>
          <w:sz w:val="22"/>
          <w:szCs w:val="22"/>
        </w:rPr>
        <w:t>τικού τομέα και η αναστολή καταβολής της Ειδικής Εισφοράς Αλληλεγγύης στους εργαζόμενους του ιδιωτικού τομέα για το έτος 2021.</w:t>
      </w:r>
    </w:p>
    <w:p w:rsidR="00F94B6C" w:rsidRPr="00757B77" w:rsidRDefault="00F94B6C" w:rsidP="00F94B6C">
      <w:pPr>
        <w:contextualSpacing/>
        <w:jc w:val="both"/>
        <w:rPr>
          <w:sz w:val="22"/>
          <w:szCs w:val="22"/>
        </w:rPr>
      </w:pPr>
    </w:p>
    <w:p w:rsidR="00F94B6C" w:rsidRPr="00757B77" w:rsidRDefault="00F94B6C" w:rsidP="00F94B6C">
      <w:pPr>
        <w:contextualSpacing/>
        <w:jc w:val="both"/>
        <w:rPr>
          <w:sz w:val="22"/>
          <w:szCs w:val="22"/>
        </w:rPr>
      </w:pPr>
      <w:r w:rsidRPr="00757B77">
        <w:rPr>
          <w:sz w:val="22"/>
          <w:szCs w:val="22"/>
        </w:rPr>
        <w:t>Εκτός από την αντιμετώπιση της υγειονομικής κρίσης, βασικές προτεραιότητες για το έτος 2021 απ</w:t>
      </w:r>
      <w:r w:rsidRPr="00757B77">
        <w:rPr>
          <w:sz w:val="22"/>
          <w:szCs w:val="22"/>
        </w:rPr>
        <w:t>ο</w:t>
      </w:r>
      <w:r w:rsidRPr="00757B77">
        <w:rPr>
          <w:sz w:val="22"/>
          <w:szCs w:val="22"/>
        </w:rPr>
        <w:t>τελούν:</w:t>
      </w:r>
    </w:p>
    <w:p w:rsidR="00F94B6C" w:rsidRPr="00757B77" w:rsidRDefault="00F94B6C" w:rsidP="00F94B6C">
      <w:pPr>
        <w:contextualSpacing/>
        <w:jc w:val="both"/>
        <w:rPr>
          <w:sz w:val="22"/>
          <w:szCs w:val="22"/>
        </w:rPr>
      </w:pPr>
    </w:p>
    <w:p w:rsidR="00F94B6C" w:rsidRPr="00757B77" w:rsidRDefault="00F94B6C" w:rsidP="00F94B6C">
      <w:pPr>
        <w:pStyle w:val="af2"/>
        <w:numPr>
          <w:ilvl w:val="0"/>
          <w:numId w:val="6"/>
        </w:numPr>
        <w:spacing w:line="240" w:lineRule="auto"/>
        <w:ind w:left="284" w:hanging="284"/>
        <w:jc w:val="both"/>
        <w:rPr>
          <w:rFonts w:ascii="Times New Roman" w:eastAsia="Times New Roman" w:hAnsi="Times New Roman"/>
          <w:lang w:eastAsia="el-GR"/>
        </w:rPr>
      </w:pPr>
      <w:r w:rsidRPr="00757B77">
        <w:rPr>
          <w:rFonts w:ascii="Times New Roman" w:eastAsia="Times New Roman" w:hAnsi="Times New Roman"/>
          <w:lang w:eastAsia="el-GR"/>
        </w:rPr>
        <w:t>η ανάπτυξη της οικονομίας μέσω της αξιοποίησης των ευρωπαϊκών πόρων του Μηχανισμού Αν</w:t>
      </w:r>
      <w:r w:rsidRPr="00757B77">
        <w:rPr>
          <w:rFonts w:ascii="Times New Roman" w:eastAsia="Times New Roman" w:hAnsi="Times New Roman"/>
          <w:lang w:eastAsia="el-GR"/>
        </w:rPr>
        <w:t>ά</w:t>
      </w:r>
      <w:r w:rsidRPr="00757B77">
        <w:rPr>
          <w:rFonts w:ascii="Times New Roman" w:eastAsia="Times New Roman" w:hAnsi="Times New Roman"/>
          <w:lang w:eastAsia="el-GR"/>
        </w:rPr>
        <w:t xml:space="preserve">καμψης και Ανθεκτικότητας (Recovery and Resilience Facility), </w:t>
      </w:r>
    </w:p>
    <w:p w:rsidR="00F94B6C" w:rsidRPr="00757B77" w:rsidRDefault="00F94B6C" w:rsidP="00F94B6C">
      <w:pPr>
        <w:pStyle w:val="af2"/>
        <w:numPr>
          <w:ilvl w:val="0"/>
          <w:numId w:val="6"/>
        </w:numPr>
        <w:spacing w:line="240" w:lineRule="auto"/>
        <w:ind w:left="284" w:hanging="284"/>
        <w:jc w:val="both"/>
        <w:rPr>
          <w:rFonts w:ascii="Times New Roman" w:eastAsia="Times New Roman" w:hAnsi="Times New Roman"/>
          <w:lang w:eastAsia="el-GR"/>
        </w:rPr>
      </w:pPr>
      <w:r w:rsidRPr="00757B77">
        <w:rPr>
          <w:rFonts w:ascii="Times New Roman" w:eastAsia="Times New Roman" w:hAnsi="Times New Roman"/>
          <w:lang w:eastAsia="el-GR"/>
        </w:rPr>
        <w:t xml:space="preserve">η ενίσχυση των ενόπλων δυνάμεων, με την αύξηση των δαπανών και των φυσικών παραλαβών </w:t>
      </w:r>
      <w:r w:rsidRPr="00757B77">
        <w:rPr>
          <w:rFonts w:ascii="Times New Roman" w:eastAsia="Times New Roman" w:hAnsi="Times New Roman"/>
          <w:lang w:eastAsia="el-GR"/>
        </w:rPr>
        <w:t>ε</w:t>
      </w:r>
      <w:r w:rsidRPr="00757B77">
        <w:rPr>
          <w:rFonts w:ascii="Times New Roman" w:eastAsia="Times New Roman" w:hAnsi="Times New Roman"/>
          <w:lang w:eastAsia="el-GR"/>
        </w:rPr>
        <w:t xml:space="preserve">ξοπλιστικών συστημάτων, </w:t>
      </w:r>
    </w:p>
    <w:p w:rsidR="00F94B6C" w:rsidRPr="00757B77" w:rsidRDefault="00F94B6C" w:rsidP="00F94B6C">
      <w:pPr>
        <w:pStyle w:val="af2"/>
        <w:numPr>
          <w:ilvl w:val="0"/>
          <w:numId w:val="6"/>
        </w:numPr>
        <w:spacing w:line="240" w:lineRule="auto"/>
        <w:ind w:left="284" w:hanging="284"/>
        <w:jc w:val="both"/>
        <w:rPr>
          <w:rFonts w:ascii="Times New Roman" w:eastAsia="Times New Roman" w:hAnsi="Times New Roman"/>
          <w:lang w:eastAsia="el-GR"/>
        </w:rPr>
      </w:pPr>
      <w:r w:rsidRPr="00757B77">
        <w:rPr>
          <w:rFonts w:ascii="Times New Roman" w:eastAsia="Times New Roman" w:hAnsi="Times New Roman"/>
          <w:lang w:eastAsia="el-GR"/>
        </w:rPr>
        <w:t>η στήριξη των ευάλωτων κοινωνικών ομάδων, μέσω της αύξησης των καταβαλλόμενων επιδομ</w:t>
      </w:r>
      <w:r w:rsidRPr="00757B77">
        <w:rPr>
          <w:rFonts w:ascii="Times New Roman" w:eastAsia="Times New Roman" w:hAnsi="Times New Roman"/>
          <w:lang w:eastAsia="el-GR"/>
        </w:rPr>
        <w:t>ά</w:t>
      </w:r>
      <w:r w:rsidRPr="00757B77">
        <w:rPr>
          <w:rFonts w:ascii="Times New Roman" w:eastAsia="Times New Roman" w:hAnsi="Times New Roman"/>
          <w:lang w:eastAsia="el-GR"/>
        </w:rPr>
        <w:t>των από τον ΟΠΕΚΑ,</w:t>
      </w:r>
    </w:p>
    <w:p w:rsidR="00F94B6C" w:rsidRPr="00757B77" w:rsidRDefault="00F94B6C" w:rsidP="00F94B6C">
      <w:pPr>
        <w:pStyle w:val="af2"/>
        <w:numPr>
          <w:ilvl w:val="0"/>
          <w:numId w:val="6"/>
        </w:numPr>
        <w:spacing w:line="240" w:lineRule="auto"/>
        <w:ind w:left="284" w:hanging="284"/>
        <w:jc w:val="both"/>
      </w:pPr>
      <w:r w:rsidRPr="00757B77">
        <w:rPr>
          <w:rFonts w:ascii="Times New Roman" w:eastAsia="Times New Roman" w:hAnsi="Times New Roman"/>
          <w:lang w:eastAsia="el-GR"/>
        </w:rPr>
        <w:t xml:space="preserve">η </w:t>
      </w:r>
      <w:r w:rsidR="00361143">
        <w:rPr>
          <w:rFonts w:ascii="Times New Roman" w:eastAsia="Times New Roman" w:hAnsi="Times New Roman"/>
          <w:lang w:eastAsia="el-GR"/>
        </w:rPr>
        <w:t>ενίσχυση του εκπαιδευτικού συστήματος</w:t>
      </w:r>
      <w:r w:rsidR="005875E8">
        <w:rPr>
          <w:rFonts w:ascii="Times New Roman" w:eastAsia="Times New Roman" w:hAnsi="Times New Roman"/>
          <w:lang w:eastAsia="el-GR"/>
        </w:rPr>
        <w:t>,</w:t>
      </w:r>
      <w:r w:rsidR="00361143">
        <w:rPr>
          <w:rFonts w:ascii="Times New Roman" w:eastAsia="Times New Roman" w:hAnsi="Times New Roman"/>
          <w:lang w:eastAsia="el-GR"/>
        </w:rPr>
        <w:t xml:space="preserve"> </w:t>
      </w:r>
      <w:r w:rsidRPr="00757B77">
        <w:rPr>
          <w:rFonts w:ascii="Times New Roman" w:eastAsia="Times New Roman" w:hAnsi="Times New Roman"/>
          <w:lang w:eastAsia="el-GR"/>
        </w:rPr>
        <w:t xml:space="preserve">μέσω της πρόσληψης </w:t>
      </w:r>
      <w:r w:rsidR="00361143">
        <w:rPr>
          <w:rFonts w:ascii="Times New Roman" w:eastAsia="Times New Roman" w:hAnsi="Times New Roman"/>
          <w:lang w:eastAsia="el-GR"/>
        </w:rPr>
        <w:t>σημαντικού</w:t>
      </w:r>
      <w:r w:rsidRPr="00757B77">
        <w:rPr>
          <w:rFonts w:ascii="Times New Roman" w:eastAsia="Times New Roman" w:hAnsi="Times New Roman"/>
          <w:lang w:eastAsia="el-GR"/>
        </w:rPr>
        <w:t xml:space="preserve"> αριθμού μονίμων εκπαιδευτικών,</w:t>
      </w:r>
    </w:p>
    <w:p w:rsidR="00F94B6C" w:rsidRPr="00757B77" w:rsidRDefault="00F94B6C" w:rsidP="00F94B6C">
      <w:pPr>
        <w:pStyle w:val="af2"/>
        <w:numPr>
          <w:ilvl w:val="0"/>
          <w:numId w:val="6"/>
        </w:numPr>
        <w:spacing w:line="240" w:lineRule="auto"/>
        <w:ind w:left="284" w:hanging="284"/>
        <w:jc w:val="both"/>
      </w:pPr>
      <w:r w:rsidRPr="00757B77">
        <w:rPr>
          <w:rFonts w:ascii="Times New Roman" w:eastAsia="Times New Roman" w:hAnsi="Times New Roman"/>
          <w:lang w:eastAsia="el-GR"/>
        </w:rPr>
        <w:t>η αποτελεσματικότερη αντιμετώπιση των μεταναστευτικών ροών, μέσω τη</w:t>
      </w:r>
      <w:r w:rsidR="00407C53">
        <w:rPr>
          <w:rFonts w:ascii="Times New Roman" w:eastAsia="Times New Roman" w:hAnsi="Times New Roman"/>
          <w:lang w:eastAsia="el-GR"/>
        </w:rPr>
        <w:t xml:space="preserve">ς αύξησης των σχετικών δαπανών </w:t>
      </w:r>
      <w:r w:rsidRPr="00757B77">
        <w:rPr>
          <w:rFonts w:ascii="Times New Roman" w:eastAsia="Times New Roman" w:hAnsi="Times New Roman"/>
          <w:lang w:eastAsia="el-GR"/>
        </w:rPr>
        <w:t xml:space="preserve">οι οποίες εξαιρούνται κατά τον υπολογισμό του δημοσιονομικού αποτελέσματος σε </w:t>
      </w:r>
      <w:r w:rsidRPr="00757B77">
        <w:rPr>
          <w:rFonts w:ascii="Times New Roman" w:eastAsia="Times New Roman" w:hAnsi="Times New Roman"/>
          <w:lang w:eastAsia="el-GR"/>
        </w:rPr>
        <w:t>ό</w:t>
      </w:r>
      <w:r w:rsidRPr="00757B77">
        <w:rPr>
          <w:rFonts w:ascii="Times New Roman" w:eastAsia="Times New Roman" w:hAnsi="Times New Roman"/>
          <w:lang w:eastAsia="el-GR"/>
        </w:rPr>
        <w:t xml:space="preserve">ρους ενισχυμένης εποπτείας, </w:t>
      </w:r>
    </w:p>
    <w:p w:rsidR="00F94B6C" w:rsidRPr="00757B77" w:rsidRDefault="00F94B6C" w:rsidP="00F94B6C">
      <w:pPr>
        <w:pStyle w:val="af2"/>
        <w:numPr>
          <w:ilvl w:val="0"/>
          <w:numId w:val="6"/>
        </w:numPr>
        <w:spacing w:line="240" w:lineRule="auto"/>
        <w:ind w:left="284" w:hanging="284"/>
        <w:jc w:val="both"/>
      </w:pPr>
      <w:r w:rsidRPr="00757B77">
        <w:rPr>
          <w:rFonts w:ascii="Times New Roman" w:eastAsia="Times New Roman" w:hAnsi="Times New Roman"/>
          <w:lang w:eastAsia="el-GR"/>
        </w:rPr>
        <w:t xml:space="preserve">η </w:t>
      </w:r>
      <w:r w:rsidR="00407C53">
        <w:rPr>
          <w:rFonts w:ascii="Times New Roman" w:eastAsia="Times New Roman" w:hAnsi="Times New Roman"/>
          <w:lang w:eastAsia="el-GR"/>
        </w:rPr>
        <w:t>θέσπιση του Κώδικα διευθέτησης οφειλών και παροχής δεύτερης ευκαιρίας σε δανειολήπτες</w:t>
      </w:r>
      <w:r w:rsidRPr="00757B77">
        <w:rPr>
          <w:rFonts w:ascii="Times New Roman" w:eastAsia="Times New Roman" w:hAnsi="Times New Roman"/>
          <w:lang w:eastAsia="el-GR"/>
        </w:rPr>
        <w:t>,</w:t>
      </w:r>
    </w:p>
    <w:p w:rsidR="00F94B6C" w:rsidRPr="00757B77" w:rsidRDefault="00F94B6C" w:rsidP="00F94B6C">
      <w:pPr>
        <w:pStyle w:val="af2"/>
        <w:numPr>
          <w:ilvl w:val="0"/>
          <w:numId w:val="6"/>
        </w:numPr>
        <w:spacing w:line="240" w:lineRule="auto"/>
        <w:ind w:left="284" w:hanging="284"/>
        <w:jc w:val="both"/>
      </w:pPr>
      <w:r w:rsidRPr="00757B77">
        <w:rPr>
          <w:rFonts w:ascii="Times New Roman" w:eastAsia="Times New Roman" w:hAnsi="Times New Roman"/>
          <w:lang w:eastAsia="el-GR"/>
        </w:rPr>
        <w:t xml:space="preserve">η ενίσχυση των κατοίκων των μικρών και απομακρυσμένων νησιών με την κατάργηση του ΕΝΦΙΑ, </w:t>
      </w:r>
    </w:p>
    <w:p w:rsidR="00F94B6C" w:rsidRPr="00757B77" w:rsidRDefault="00F94B6C" w:rsidP="00F94B6C">
      <w:pPr>
        <w:pStyle w:val="af2"/>
        <w:numPr>
          <w:ilvl w:val="0"/>
          <w:numId w:val="6"/>
        </w:numPr>
        <w:spacing w:line="240" w:lineRule="auto"/>
        <w:ind w:left="284" w:hanging="284"/>
        <w:jc w:val="both"/>
      </w:pPr>
      <w:r w:rsidRPr="00757B77">
        <w:rPr>
          <w:rFonts w:ascii="Times New Roman" w:eastAsia="Times New Roman" w:hAnsi="Times New Roman"/>
          <w:lang w:eastAsia="el-GR"/>
        </w:rPr>
        <w:lastRenderedPageBreak/>
        <w:t>η συνέχιση της επισκόπησης δαπανών στο σύνολο της Γενικής Κυβέρνησης, προκειμένου να δημ</w:t>
      </w:r>
      <w:r w:rsidRPr="00757B77">
        <w:rPr>
          <w:rFonts w:ascii="Times New Roman" w:eastAsia="Times New Roman" w:hAnsi="Times New Roman"/>
          <w:lang w:eastAsia="el-GR"/>
        </w:rPr>
        <w:t>ι</w:t>
      </w:r>
      <w:r w:rsidRPr="00757B77">
        <w:rPr>
          <w:rFonts w:ascii="Times New Roman" w:eastAsia="Times New Roman" w:hAnsi="Times New Roman"/>
          <w:lang w:eastAsia="el-GR"/>
        </w:rPr>
        <w:t xml:space="preserve">ουργηθεί δημοσιονομικός χώρος για την εφαρμογή δράσεων με προσανατολισμό στην οικονομική ανάπτυξη και </w:t>
      </w:r>
      <w:r w:rsidR="005875E8">
        <w:rPr>
          <w:rFonts w:ascii="Times New Roman" w:eastAsia="Times New Roman" w:hAnsi="Times New Roman"/>
          <w:lang w:eastAsia="el-GR"/>
        </w:rPr>
        <w:t>θετικό πρόσημο στην κοινωνική αποτελεσματικότητα</w:t>
      </w:r>
      <w:r w:rsidRPr="00757B77">
        <w:rPr>
          <w:rFonts w:ascii="Times New Roman" w:eastAsia="Times New Roman" w:hAnsi="Times New Roman"/>
          <w:lang w:eastAsia="el-GR"/>
        </w:rPr>
        <w:t xml:space="preserve"> και</w:t>
      </w:r>
    </w:p>
    <w:p w:rsidR="00361143" w:rsidRDefault="00F94B6C" w:rsidP="00F94B6C">
      <w:pPr>
        <w:pStyle w:val="af2"/>
        <w:numPr>
          <w:ilvl w:val="0"/>
          <w:numId w:val="6"/>
        </w:numPr>
        <w:spacing w:line="240" w:lineRule="auto"/>
        <w:ind w:left="284" w:hanging="284"/>
        <w:jc w:val="both"/>
        <w:rPr>
          <w:rFonts w:ascii="Times New Roman" w:eastAsia="Times New Roman" w:hAnsi="Times New Roman"/>
          <w:lang w:eastAsia="el-GR"/>
        </w:rPr>
      </w:pPr>
      <w:r w:rsidRPr="00757B77">
        <w:rPr>
          <w:rFonts w:ascii="Times New Roman" w:eastAsia="Times New Roman" w:hAnsi="Times New Roman"/>
          <w:lang w:eastAsia="el-GR"/>
        </w:rPr>
        <w:t>η συνέχιση του προγράμματος αποκρατικοποιήσεων.</w:t>
      </w:r>
    </w:p>
    <w:p w:rsidR="009930A8" w:rsidRDefault="009930A8" w:rsidP="009930A8">
      <w:pPr>
        <w:jc w:val="both"/>
      </w:pPr>
    </w:p>
    <w:p w:rsidR="009930A8" w:rsidRDefault="009930A8" w:rsidP="009930A8">
      <w:pPr>
        <w:jc w:val="both"/>
      </w:pPr>
    </w:p>
    <w:p w:rsidR="009930A8" w:rsidRDefault="009930A8" w:rsidP="009930A8">
      <w:pPr>
        <w:jc w:val="both"/>
      </w:pPr>
    </w:p>
    <w:p w:rsidR="009930A8" w:rsidRPr="009930A8" w:rsidRDefault="009930A8" w:rsidP="009930A8">
      <w:pPr>
        <w:jc w:val="both"/>
      </w:pPr>
    </w:p>
    <w:p w:rsidR="00361143" w:rsidRPr="00D421AD" w:rsidRDefault="00361143" w:rsidP="00361143">
      <w:pPr>
        <w:shd w:val="clear" w:color="auto" w:fill="404040" w:themeFill="text1" w:themeFillTint="BF"/>
        <w:jc w:val="both"/>
        <w:rPr>
          <w:rFonts w:ascii="Arial Narrow" w:hAnsi="Arial Narrow"/>
          <w:b/>
          <w:color w:val="FFFFFF"/>
          <w:sz w:val="26"/>
          <w:szCs w:val="26"/>
        </w:rPr>
      </w:pPr>
      <w:r>
        <w:rPr>
          <w:rFonts w:ascii="Arial Narrow" w:hAnsi="Arial Narrow"/>
          <w:b/>
          <w:color w:val="FFFFFF"/>
          <w:sz w:val="26"/>
          <w:szCs w:val="26"/>
        </w:rPr>
        <w:t>4</w:t>
      </w:r>
      <w:r w:rsidRPr="00D421AD">
        <w:rPr>
          <w:rFonts w:ascii="Arial Narrow" w:hAnsi="Arial Narrow"/>
          <w:b/>
          <w:color w:val="FFFFFF"/>
          <w:sz w:val="26"/>
          <w:szCs w:val="26"/>
        </w:rPr>
        <w:t>.</w:t>
      </w:r>
      <w:r w:rsidRPr="00D421AD">
        <w:rPr>
          <w:rFonts w:ascii="Arial Narrow" w:hAnsi="Arial Narrow"/>
          <w:b/>
          <w:color w:val="FFFFFF"/>
          <w:sz w:val="26"/>
          <w:szCs w:val="26"/>
        </w:rPr>
        <w:tab/>
      </w:r>
      <w:r>
        <w:rPr>
          <w:rFonts w:ascii="Arial Narrow" w:hAnsi="Arial Narrow"/>
          <w:b/>
          <w:color w:val="FFFFFF"/>
          <w:sz w:val="26"/>
          <w:szCs w:val="26"/>
        </w:rPr>
        <w:t>Κρατικός Προϋπολογισμός 2021</w:t>
      </w:r>
    </w:p>
    <w:p w:rsidR="00361143" w:rsidRPr="00361143" w:rsidRDefault="00361143" w:rsidP="00361143">
      <w:pPr>
        <w:jc w:val="both"/>
      </w:pPr>
    </w:p>
    <w:p w:rsidR="00F94B6C" w:rsidRPr="00757B77" w:rsidRDefault="00F94B6C" w:rsidP="00F94B6C">
      <w:pPr>
        <w:jc w:val="both"/>
        <w:rPr>
          <w:sz w:val="22"/>
          <w:szCs w:val="22"/>
          <w:lang w:eastAsia="en-US"/>
        </w:rPr>
      </w:pPr>
      <w:r w:rsidRPr="00757B77">
        <w:rPr>
          <w:sz w:val="22"/>
          <w:szCs w:val="22"/>
          <w:lang w:eastAsia="en-US"/>
        </w:rPr>
        <w:t xml:space="preserve">Το έλλειμμα του Κρατικού Προϋπολογισμού για το έτος 2021 </w:t>
      </w:r>
      <w:r w:rsidR="00407C53">
        <w:rPr>
          <w:sz w:val="22"/>
          <w:szCs w:val="22"/>
          <w:lang w:eastAsia="en-US"/>
        </w:rPr>
        <w:t>προβλέπεται</w:t>
      </w:r>
      <w:r w:rsidRPr="00757B77">
        <w:rPr>
          <w:sz w:val="22"/>
          <w:szCs w:val="22"/>
          <w:lang w:eastAsia="en-US"/>
        </w:rPr>
        <w:t xml:space="preserve"> σε 14.715 εκατ. ευρώ</w:t>
      </w:r>
      <w:r w:rsidR="00407C53">
        <w:rPr>
          <w:sz w:val="22"/>
          <w:szCs w:val="22"/>
          <w:lang w:eastAsia="en-US"/>
        </w:rPr>
        <w:t>,</w:t>
      </w:r>
      <w:r w:rsidRPr="00757B77">
        <w:rPr>
          <w:sz w:val="22"/>
          <w:szCs w:val="22"/>
          <w:lang w:eastAsia="en-US"/>
        </w:rPr>
        <w:t xml:space="preserve"> σε δημοσιονομική βάση</w:t>
      </w:r>
      <w:r w:rsidR="00407C53">
        <w:rPr>
          <w:sz w:val="22"/>
          <w:szCs w:val="22"/>
          <w:lang w:eastAsia="en-US"/>
        </w:rPr>
        <w:t>,</w:t>
      </w:r>
      <w:r w:rsidR="00247ED5">
        <w:rPr>
          <w:sz w:val="22"/>
          <w:szCs w:val="22"/>
          <w:lang w:eastAsia="en-US"/>
        </w:rPr>
        <w:t xml:space="preserve"> μειωμένο κατά 5.513</w:t>
      </w:r>
      <w:r w:rsidRPr="00757B77">
        <w:rPr>
          <w:sz w:val="22"/>
          <w:szCs w:val="22"/>
          <w:lang w:eastAsia="en-US"/>
        </w:rPr>
        <w:t xml:space="preserve"> εκατ. ευρώ, σε σχέση με </w:t>
      </w:r>
      <w:r w:rsidRPr="00757B77">
        <w:rPr>
          <w:bCs/>
          <w:sz w:val="22"/>
          <w:szCs w:val="22"/>
        </w:rPr>
        <w:t>την αντίστοιχη εκτίμηση για το 2020</w:t>
      </w:r>
      <w:r w:rsidRPr="00757B77">
        <w:rPr>
          <w:sz w:val="22"/>
          <w:szCs w:val="22"/>
          <w:lang w:eastAsia="en-US"/>
        </w:rPr>
        <w:t xml:space="preserve">. </w:t>
      </w:r>
    </w:p>
    <w:p w:rsidR="00F94B6C" w:rsidRPr="00757B77" w:rsidRDefault="00F94B6C" w:rsidP="00F94B6C">
      <w:pPr>
        <w:jc w:val="both"/>
        <w:rPr>
          <w:sz w:val="22"/>
          <w:szCs w:val="22"/>
          <w:lang w:eastAsia="en-US"/>
        </w:rPr>
      </w:pPr>
    </w:p>
    <w:p w:rsidR="00F94B6C" w:rsidRDefault="00F94B6C" w:rsidP="00F94B6C">
      <w:pPr>
        <w:jc w:val="both"/>
        <w:rPr>
          <w:sz w:val="22"/>
          <w:szCs w:val="22"/>
          <w:lang w:eastAsia="en-US"/>
        </w:rPr>
      </w:pPr>
      <w:r w:rsidRPr="00757B77">
        <w:rPr>
          <w:sz w:val="22"/>
          <w:szCs w:val="22"/>
          <w:lang w:eastAsia="en-US"/>
        </w:rPr>
        <w:t xml:space="preserve">Επίσης, το πρωτογενές αποτέλεσμα του Κρατικού Προϋπολογισμού </w:t>
      </w:r>
      <w:r w:rsidR="00247ED5">
        <w:rPr>
          <w:sz w:val="22"/>
          <w:szCs w:val="22"/>
          <w:lang w:eastAsia="en-US"/>
        </w:rPr>
        <w:t>προβλέπεται</w:t>
      </w:r>
      <w:r w:rsidRPr="00757B77">
        <w:rPr>
          <w:sz w:val="22"/>
          <w:szCs w:val="22"/>
          <w:lang w:eastAsia="en-US"/>
        </w:rPr>
        <w:t>, σε δημοσιονομική βάση, σε έλλειμμα ύψους 9.015 εκατ</w:t>
      </w:r>
      <w:r w:rsidR="00247ED5">
        <w:rPr>
          <w:sz w:val="22"/>
          <w:szCs w:val="22"/>
          <w:lang w:eastAsia="en-US"/>
        </w:rPr>
        <w:t>. ευρώ, μειωμένο κατά 5.378</w:t>
      </w:r>
      <w:r w:rsidRPr="00757B77">
        <w:rPr>
          <w:sz w:val="22"/>
          <w:szCs w:val="22"/>
          <w:lang w:eastAsia="en-US"/>
        </w:rPr>
        <w:t xml:space="preserve"> εκατ. ευρώ, σε σχέση με </w:t>
      </w:r>
      <w:r w:rsidRPr="00757B77">
        <w:rPr>
          <w:bCs/>
          <w:sz w:val="22"/>
          <w:szCs w:val="22"/>
        </w:rPr>
        <w:t>την αντ</w:t>
      </w:r>
      <w:r w:rsidRPr="00757B77">
        <w:rPr>
          <w:bCs/>
          <w:sz w:val="22"/>
          <w:szCs w:val="22"/>
        </w:rPr>
        <w:t>ί</w:t>
      </w:r>
      <w:r w:rsidRPr="00757B77">
        <w:rPr>
          <w:bCs/>
          <w:sz w:val="22"/>
          <w:szCs w:val="22"/>
        </w:rPr>
        <w:t>στοιχη εκτίμηση για το 2020</w:t>
      </w:r>
      <w:r w:rsidRPr="00757B77">
        <w:rPr>
          <w:sz w:val="22"/>
          <w:szCs w:val="22"/>
          <w:lang w:eastAsia="en-US"/>
        </w:rPr>
        <w:t>.</w:t>
      </w:r>
    </w:p>
    <w:p w:rsidR="00CA653E" w:rsidRDefault="00CA653E" w:rsidP="00F94B6C">
      <w:pPr>
        <w:jc w:val="both"/>
        <w:rPr>
          <w:sz w:val="22"/>
          <w:szCs w:val="22"/>
          <w:lang w:eastAsia="en-US"/>
        </w:rPr>
      </w:pPr>
    </w:p>
    <w:p w:rsidR="001F4AB9" w:rsidRPr="00727A31" w:rsidRDefault="001F4AB9" w:rsidP="001F4AB9">
      <w:pPr>
        <w:autoSpaceDE w:val="0"/>
        <w:autoSpaceDN w:val="0"/>
        <w:adjustRightInd w:val="0"/>
        <w:jc w:val="both"/>
        <w:rPr>
          <w:bCs/>
          <w:sz w:val="22"/>
        </w:rPr>
      </w:pPr>
    </w:p>
    <w:p w:rsidR="001F4AB9" w:rsidRPr="003E2BF6" w:rsidRDefault="001F4AB9" w:rsidP="001F4AB9">
      <w:pPr>
        <w:shd w:val="clear" w:color="auto" w:fill="BFBFBF" w:themeFill="background1" w:themeFillShade="BF"/>
        <w:rPr>
          <w:rFonts w:ascii="Arial Narrow" w:hAnsi="Arial Narrow"/>
          <w:b/>
          <w:szCs w:val="26"/>
        </w:rPr>
      </w:pPr>
      <w:r>
        <w:rPr>
          <w:rFonts w:ascii="Arial Narrow" w:hAnsi="Arial Narrow"/>
          <w:b/>
          <w:szCs w:val="26"/>
        </w:rPr>
        <w:t>4.1</w:t>
      </w:r>
      <w:r w:rsidRPr="003E2BF6">
        <w:rPr>
          <w:rFonts w:ascii="Arial Narrow" w:hAnsi="Arial Narrow"/>
          <w:b/>
          <w:szCs w:val="26"/>
        </w:rPr>
        <w:tab/>
      </w:r>
      <w:r>
        <w:rPr>
          <w:rFonts w:ascii="Arial Narrow" w:hAnsi="Arial Narrow"/>
          <w:b/>
          <w:szCs w:val="26"/>
        </w:rPr>
        <w:t>Έσοδα</w:t>
      </w:r>
    </w:p>
    <w:p w:rsidR="001F4AB9" w:rsidRDefault="001F4AB9" w:rsidP="001F4AB9">
      <w:pPr>
        <w:rPr>
          <w:rFonts w:ascii="Arial Narrow" w:hAnsi="Arial Narrow"/>
          <w:b/>
          <w:color w:val="000080"/>
          <w:szCs w:val="22"/>
        </w:rPr>
      </w:pPr>
    </w:p>
    <w:p w:rsidR="001F4AB9" w:rsidRPr="00DE00FB" w:rsidRDefault="001F4AB9" w:rsidP="001F4AB9">
      <w:pPr>
        <w:contextualSpacing/>
        <w:jc w:val="both"/>
        <w:rPr>
          <w:bCs/>
          <w:sz w:val="22"/>
          <w:szCs w:val="22"/>
        </w:rPr>
      </w:pPr>
      <w:r w:rsidRPr="00DE00FB">
        <w:rPr>
          <w:bCs/>
          <w:sz w:val="22"/>
          <w:szCs w:val="22"/>
        </w:rPr>
        <w:t>Τα καθαρά έσοδα του Κρατικού Προϋπολογισμού, σε δημοσιονομική βάση, μετά τη μείωση των επ</w:t>
      </w:r>
      <w:r w:rsidRPr="00DE00FB">
        <w:rPr>
          <w:bCs/>
          <w:sz w:val="22"/>
          <w:szCs w:val="22"/>
        </w:rPr>
        <w:t>ι</w:t>
      </w:r>
      <w:r w:rsidRPr="00DE00FB">
        <w:rPr>
          <w:bCs/>
          <w:sz w:val="22"/>
          <w:szCs w:val="22"/>
        </w:rPr>
        <w:t>στροφών φόρων</w:t>
      </w:r>
      <w:r w:rsidR="00621CF7">
        <w:rPr>
          <w:bCs/>
          <w:sz w:val="22"/>
          <w:szCs w:val="22"/>
        </w:rPr>
        <w:t>,</w:t>
      </w:r>
      <w:r w:rsidRPr="00DE00FB">
        <w:rPr>
          <w:bCs/>
          <w:sz w:val="22"/>
          <w:szCs w:val="22"/>
        </w:rPr>
        <w:t xml:space="preserve"> προβλέπεται να διαμορφωθούν στα 5</w:t>
      </w:r>
      <w:r w:rsidR="00621CF7">
        <w:rPr>
          <w:bCs/>
          <w:sz w:val="22"/>
          <w:szCs w:val="22"/>
        </w:rPr>
        <w:t>2.469</w:t>
      </w:r>
      <w:r w:rsidRPr="00DE00FB">
        <w:rPr>
          <w:bCs/>
          <w:sz w:val="22"/>
          <w:szCs w:val="22"/>
        </w:rPr>
        <w:t xml:space="preserve"> εκατ. ευρώ, </w:t>
      </w:r>
      <w:r w:rsidRPr="00D6790B">
        <w:rPr>
          <w:bCs/>
          <w:sz w:val="22"/>
          <w:szCs w:val="22"/>
        </w:rPr>
        <w:t>αυξη</w:t>
      </w:r>
      <w:r w:rsidRPr="00DE00FB">
        <w:rPr>
          <w:bCs/>
          <w:sz w:val="22"/>
          <w:szCs w:val="22"/>
        </w:rPr>
        <w:t xml:space="preserve">μένα κατά </w:t>
      </w:r>
      <w:r w:rsidR="00621CF7">
        <w:rPr>
          <w:bCs/>
          <w:sz w:val="22"/>
          <w:szCs w:val="22"/>
        </w:rPr>
        <w:t>3.366</w:t>
      </w:r>
      <w:r w:rsidRPr="00DE00FB">
        <w:rPr>
          <w:bCs/>
          <w:sz w:val="22"/>
          <w:szCs w:val="22"/>
        </w:rPr>
        <w:t xml:space="preserve"> </w:t>
      </w:r>
      <w:r>
        <w:rPr>
          <w:bCs/>
          <w:sz w:val="22"/>
          <w:szCs w:val="22"/>
        </w:rPr>
        <w:t xml:space="preserve">εκατ. ευρώ ή </w:t>
      </w:r>
      <w:r w:rsidR="00621CF7">
        <w:rPr>
          <w:bCs/>
          <w:sz w:val="22"/>
          <w:szCs w:val="22"/>
        </w:rPr>
        <w:t>6,9</w:t>
      </w:r>
      <w:r w:rsidRPr="00DE00FB">
        <w:rPr>
          <w:bCs/>
          <w:sz w:val="22"/>
          <w:szCs w:val="22"/>
        </w:rPr>
        <w:t>%, έναντι των εκτιμήσεων του 20</w:t>
      </w:r>
      <w:r w:rsidR="00621CF7">
        <w:rPr>
          <w:bCs/>
          <w:sz w:val="22"/>
          <w:szCs w:val="22"/>
        </w:rPr>
        <w:t>20</w:t>
      </w:r>
      <w:r w:rsidRPr="00DE00FB">
        <w:rPr>
          <w:bCs/>
          <w:sz w:val="22"/>
          <w:szCs w:val="22"/>
        </w:rPr>
        <w:t>.</w:t>
      </w:r>
    </w:p>
    <w:p w:rsidR="001F4AB9" w:rsidRPr="00A07AF3" w:rsidRDefault="001F4AB9" w:rsidP="001F4AB9">
      <w:pPr>
        <w:jc w:val="both"/>
        <w:rPr>
          <w:bCs/>
          <w:sz w:val="22"/>
          <w:szCs w:val="22"/>
        </w:rPr>
      </w:pPr>
    </w:p>
    <w:p w:rsidR="001F4AB9" w:rsidRPr="009835FE" w:rsidRDefault="001F4AB9" w:rsidP="001F4AB9">
      <w:pPr>
        <w:jc w:val="both"/>
        <w:rPr>
          <w:rFonts w:ascii="Arial Narrow" w:hAnsi="Arial Narrow"/>
          <w:b/>
          <w:color w:val="000080"/>
          <w:szCs w:val="22"/>
        </w:rPr>
      </w:pPr>
      <w:r w:rsidRPr="009835FE">
        <w:rPr>
          <w:rFonts w:ascii="Arial Narrow" w:hAnsi="Arial Narrow"/>
          <w:b/>
          <w:color w:val="000080"/>
          <w:szCs w:val="22"/>
        </w:rPr>
        <w:t>Ανάλυση εσόδων κατά μείζονα κατηγορία</w:t>
      </w:r>
      <w:r>
        <w:rPr>
          <w:rFonts w:ascii="Arial Narrow" w:hAnsi="Arial Narrow"/>
          <w:b/>
          <w:color w:val="000080"/>
          <w:szCs w:val="22"/>
        </w:rPr>
        <w:t xml:space="preserve"> (σε δημοσιονομική βάση)</w:t>
      </w:r>
    </w:p>
    <w:p w:rsidR="001F4AB9" w:rsidRDefault="001F4AB9" w:rsidP="001F4AB9">
      <w:pPr>
        <w:jc w:val="both"/>
        <w:rPr>
          <w:bCs/>
          <w:sz w:val="22"/>
          <w:szCs w:val="22"/>
        </w:rPr>
      </w:pPr>
    </w:p>
    <w:p w:rsidR="001F4AB9" w:rsidRPr="00FF2134" w:rsidRDefault="001F4AB9" w:rsidP="001F4AB9">
      <w:pPr>
        <w:jc w:val="both"/>
        <w:rPr>
          <w:rFonts w:ascii="Arial Narrow" w:hAnsi="Arial Narrow"/>
          <w:b/>
          <w:bCs/>
          <w:sz w:val="22"/>
          <w:szCs w:val="22"/>
        </w:rPr>
      </w:pPr>
      <w:r w:rsidRPr="00FF2134">
        <w:rPr>
          <w:rFonts w:ascii="Arial Narrow" w:hAnsi="Arial Narrow"/>
          <w:b/>
          <w:bCs/>
          <w:sz w:val="22"/>
          <w:szCs w:val="22"/>
        </w:rPr>
        <w:t>Έσοδα μη χρηματοοικονομικών συναλλαγών</w:t>
      </w:r>
    </w:p>
    <w:p w:rsidR="001F4AB9" w:rsidRDefault="001F4AB9" w:rsidP="001F4AB9">
      <w:pPr>
        <w:jc w:val="both"/>
        <w:rPr>
          <w:rFonts w:ascii="Arial Narrow" w:hAnsi="Arial Narrow"/>
          <w:b/>
          <w:bCs/>
          <w:i/>
          <w:sz w:val="22"/>
          <w:szCs w:val="22"/>
        </w:rPr>
      </w:pPr>
    </w:p>
    <w:p w:rsidR="001F4AB9" w:rsidRDefault="001F4AB9" w:rsidP="001F4AB9">
      <w:pPr>
        <w:jc w:val="both"/>
        <w:rPr>
          <w:rFonts w:ascii="Arial Narrow" w:hAnsi="Arial Narrow"/>
          <w:b/>
          <w:bCs/>
          <w:i/>
          <w:sz w:val="22"/>
          <w:szCs w:val="22"/>
        </w:rPr>
      </w:pPr>
      <w:r w:rsidRPr="00A07AF3">
        <w:rPr>
          <w:rFonts w:ascii="Arial Narrow" w:hAnsi="Arial Narrow"/>
          <w:b/>
          <w:bCs/>
          <w:i/>
          <w:sz w:val="22"/>
          <w:szCs w:val="22"/>
        </w:rPr>
        <w:t>Φόροι</w:t>
      </w:r>
    </w:p>
    <w:p w:rsidR="00247ED5" w:rsidRDefault="00247ED5" w:rsidP="001F4AB9">
      <w:pPr>
        <w:jc w:val="both"/>
        <w:rPr>
          <w:rFonts w:ascii="Arial Narrow" w:hAnsi="Arial Narrow"/>
          <w:b/>
          <w:bCs/>
          <w:i/>
          <w:sz w:val="22"/>
          <w:szCs w:val="22"/>
        </w:rPr>
      </w:pPr>
    </w:p>
    <w:p w:rsidR="00133594" w:rsidRPr="00DE00FB" w:rsidRDefault="00133594" w:rsidP="00133594">
      <w:pPr>
        <w:pStyle w:val="af2"/>
        <w:numPr>
          <w:ilvl w:val="0"/>
          <w:numId w:val="8"/>
        </w:numPr>
        <w:spacing w:after="0" w:line="240" w:lineRule="auto"/>
        <w:ind w:left="284" w:hanging="284"/>
        <w:contextualSpacing w:val="0"/>
        <w:jc w:val="both"/>
        <w:rPr>
          <w:rFonts w:ascii="Times New Roman" w:hAnsi="Times New Roman"/>
          <w:b/>
          <w:i/>
        </w:rPr>
      </w:pPr>
      <w:r w:rsidRPr="00DE00FB">
        <w:rPr>
          <w:rFonts w:ascii="Times New Roman" w:hAnsi="Times New Roman"/>
          <w:b/>
          <w:i/>
        </w:rPr>
        <w:t>Φόροι επί αγαθών και υπηρεσιών</w:t>
      </w:r>
    </w:p>
    <w:p w:rsidR="00133594" w:rsidRPr="00DE00FB" w:rsidRDefault="00133594" w:rsidP="00133594">
      <w:pPr>
        <w:jc w:val="both"/>
        <w:rPr>
          <w:sz w:val="22"/>
          <w:szCs w:val="22"/>
        </w:rPr>
      </w:pPr>
    </w:p>
    <w:p w:rsidR="00133594" w:rsidRDefault="00133594" w:rsidP="00133594">
      <w:pPr>
        <w:ind w:right="-2"/>
        <w:contextualSpacing/>
        <w:jc w:val="both"/>
        <w:rPr>
          <w:sz w:val="22"/>
          <w:szCs w:val="22"/>
        </w:rPr>
      </w:pPr>
      <w:r w:rsidRPr="00DE00FB">
        <w:rPr>
          <w:sz w:val="22"/>
          <w:szCs w:val="22"/>
        </w:rPr>
        <w:t xml:space="preserve">Από φόρους επί αγαθών και υπηρεσιών, προβλέπεται ότι θα εισπραχθούν έσοδα ύψους </w:t>
      </w:r>
      <w:r>
        <w:rPr>
          <w:sz w:val="22"/>
          <w:szCs w:val="22"/>
        </w:rPr>
        <w:t>26.401</w:t>
      </w:r>
      <w:r w:rsidRPr="00DE00FB">
        <w:rPr>
          <w:sz w:val="22"/>
          <w:szCs w:val="22"/>
        </w:rPr>
        <w:t xml:space="preserve"> εκατ. ευρώ, αυξημένα κατά </w:t>
      </w:r>
      <w:r>
        <w:rPr>
          <w:sz w:val="22"/>
          <w:szCs w:val="22"/>
        </w:rPr>
        <w:t>2.430</w:t>
      </w:r>
      <w:r w:rsidRPr="00DE00FB">
        <w:rPr>
          <w:sz w:val="22"/>
          <w:szCs w:val="22"/>
        </w:rPr>
        <w:t xml:space="preserve"> εκατ. ευρώ ή </w:t>
      </w:r>
      <w:r>
        <w:rPr>
          <w:sz w:val="22"/>
          <w:szCs w:val="22"/>
        </w:rPr>
        <w:t>10,1</w:t>
      </w:r>
      <w:r w:rsidRPr="00DE00FB">
        <w:rPr>
          <w:sz w:val="22"/>
          <w:szCs w:val="22"/>
        </w:rPr>
        <w:t>% έναντι των εκτιμήσεων του 20</w:t>
      </w:r>
      <w:r>
        <w:rPr>
          <w:sz w:val="22"/>
          <w:szCs w:val="22"/>
        </w:rPr>
        <w:t>20</w:t>
      </w:r>
      <w:r w:rsidRPr="00DE00FB">
        <w:rPr>
          <w:sz w:val="22"/>
          <w:szCs w:val="22"/>
        </w:rPr>
        <w:t>. Ειδικότερα:</w:t>
      </w:r>
    </w:p>
    <w:p w:rsidR="00133594" w:rsidRPr="00DE00FB" w:rsidRDefault="00133594" w:rsidP="00133594">
      <w:pPr>
        <w:ind w:right="-2"/>
        <w:contextualSpacing/>
        <w:jc w:val="both"/>
        <w:rPr>
          <w:sz w:val="22"/>
          <w:szCs w:val="22"/>
        </w:rPr>
      </w:pPr>
    </w:p>
    <w:p w:rsidR="00133594" w:rsidRPr="00133594" w:rsidRDefault="00133594" w:rsidP="00133594">
      <w:pPr>
        <w:tabs>
          <w:tab w:val="left" w:pos="284"/>
        </w:tabs>
        <w:ind w:left="284" w:right="-2" w:hanging="284"/>
        <w:jc w:val="both"/>
        <w:rPr>
          <w:sz w:val="22"/>
        </w:rPr>
      </w:pPr>
      <w:r>
        <w:rPr>
          <w:sz w:val="22"/>
        </w:rPr>
        <w:t>-</w:t>
      </w:r>
      <w:r>
        <w:rPr>
          <w:sz w:val="22"/>
        </w:rPr>
        <w:tab/>
      </w:r>
      <w:r w:rsidRPr="00133594">
        <w:rPr>
          <w:sz w:val="22"/>
        </w:rPr>
        <w:t>Τα έσοδα από ΦΠΑ αναμένεται να ανέλθουν στα 17.466 εκατ. ευρώ, αυξημένα κατά 2.465 εκατ. ευρώ ή 16,4% έναντι των εκτιμήσεων του 2020.</w:t>
      </w:r>
    </w:p>
    <w:p w:rsidR="00133594" w:rsidRPr="00EE3A38" w:rsidRDefault="00133594" w:rsidP="00133594">
      <w:pPr>
        <w:tabs>
          <w:tab w:val="left" w:pos="284"/>
        </w:tabs>
        <w:ind w:left="284" w:hanging="284"/>
        <w:contextualSpacing/>
        <w:jc w:val="both"/>
        <w:rPr>
          <w:bCs/>
          <w:sz w:val="22"/>
          <w:szCs w:val="22"/>
        </w:rPr>
      </w:pPr>
      <w:r>
        <w:rPr>
          <w:bCs/>
          <w:sz w:val="22"/>
          <w:szCs w:val="22"/>
        </w:rPr>
        <w:t>-</w:t>
      </w:r>
      <w:r>
        <w:rPr>
          <w:bCs/>
          <w:sz w:val="22"/>
          <w:szCs w:val="22"/>
        </w:rPr>
        <w:tab/>
      </w:r>
      <w:r w:rsidRPr="00EE3A38">
        <w:rPr>
          <w:bCs/>
          <w:sz w:val="22"/>
          <w:szCs w:val="22"/>
        </w:rPr>
        <w:t xml:space="preserve">Οι φόροι κατανάλωσης προβλέπονται στα </w:t>
      </w:r>
      <w:r>
        <w:rPr>
          <w:bCs/>
          <w:sz w:val="22"/>
          <w:szCs w:val="22"/>
        </w:rPr>
        <w:t>6.601</w:t>
      </w:r>
      <w:r w:rsidRPr="00EE3A38">
        <w:rPr>
          <w:bCs/>
          <w:sz w:val="22"/>
          <w:szCs w:val="22"/>
        </w:rPr>
        <w:t xml:space="preserve"> εκατ. ευρώ και είναι </w:t>
      </w:r>
      <w:r>
        <w:rPr>
          <w:bCs/>
          <w:sz w:val="22"/>
          <w:szCs w:val="22"/>
        </w:rPr>
        <w:t xml:space="preserve">αυξημένοι κατά 139 </w:t>
      </w:r>
      <w:r w:rsidRPr="00EE3A38">
        <w:rPr>
          <w:bCs/>
          <w:sz w:val="22"/>
          <w:szCs w:val="22"/>
        </w:rPr>
        <w:t xml:space="preserve">εκατ. ευρώ </w:t>
      </w:r>
      <w:r>
        <w:rPr>
          <w:bCs/>
          <w:sz w:val="22"/>
          <w:szCs w:val="22"/>
        </w:rPr>
        <w:t xml:space="preserve">ή 2,1% </w:t>
      </w:r>
      <w:r w:rsidRPr="00EE3A38">
        <w:rPr>
          <w:sz w:val="22"/>
          <w:szCs w:val="22"/>
        </w:rPr>
        <w:t>έναντι των εκτιμήσεων του 20</w:t>
      </w:r>
      <w:r>
        <w:rPr>
          <w:sz w:val="22"/>
          <w:szCs w:val="22"/>
        </w:rPr>
        <w:t>20</w:t>
      </w:r>
      <w:r w:rsidRPr="00EE3A38">
        <w:rPr>
          <w:bCs/>
          <w:sz w:val="22"/>
          <w:szCs w:val="22"/>
        </w:rPr>
        <w:t>.</w:t>
      </w:r>
    </w:p>
    <w:p w:rsidR="00133594" w:rsidRDefault="00133594" w:rsidP="00133594">
      <w:pPr>
        <w:ind w:right="-2"/>
        <w:contextualSpacing/>
        <w:jc w:val="both"/>
        <w:rPr>
          <w:szCs w:val="22"/>
        </w:rPr>
      </w:pPr>
    </w:p>
    <w:p w:rsidR="00133594" w:rsidRPr="00516BB9" w:rsidRDefault="00133594" w:rsidP="00133594">
      <w:pPr>
        <w:pStyle w:val="af2"/>
        <w:numPr>
          <w:ilvl w:val="0"/>
          <w:numId w:val="8"/>
        </w:numPr>
        <w:spacing w:after="0" w:line="240" w:lineRule="auto"/>
        <w:ind w:left="284" w:hanging="284"/>
        <w:contextualSpacing w:val="0"/>
        <w:jc w:val="both"/>
        <w:rPr>
          <w:rFonts w:ascii="Times New Roman" w:hAnsi="Times New Roman"/>
          <w:b/>
          <w:i/>
        </w:rPr>
      </w:pPr>
      <w:r>
        <w:rPr>
          <w:rFonts w:ascii="Times New Roman" w:hAnsi="Times New Roman"/>
          <w:b/>
          <w:i/>
        </w:rPr>
        <w:t>Φόροι και δασμοί επί εισαγωγών</w:t>
      </w:r>
    </w:p>
    <w:p w:rsidR="00133594" w:rsidRPr="00516BB9" w:rsidRDefault="00133594" w:rsidP="00133594">
      <w:pPr>
        <w:pStyle w:val="af2"/>
        <w:spacing w:after="0" w:line="240" w:lineRule="auto"/>
        <w:ind w:left="284"/>
        <w:contextualSpacing w:val="0"/>
        <w:jc w:val="both"/>
        <w:rPr>
          <w:rFonts w:ascii="Times New Roman" w:hAnsi="Times New Roman"/>
          <w:b/>
          <w:i/>
        </w:rPr>
      </w:pPr>
    </w:p>
    <w:p w:rsidR="00133594" w:rsidRDefault="00133594" w:rsidP="00133594">
      <w:pPr>
        <w:jc w:val="both"/>
        <w:rPr>
          <w:bCs/>
          <w:sz w:val="22"/>
          <w:szCs w:val="22"/>
        </w:rPr>
      </w:pPr>
      <w:r w:rsidRPr="00A07AF3">
        <w:rPr>
          <w:bCs/>
          <w:sz w:val="22"/>
          <w:szCs w:val="22"/>
        </w:rPr>
        <w:t xml:space="preserve">Από φόρους </w:t>
      </w:r>
      <w:r>
        <w:rPr>
          <w:bCs/>
          <w:sz w:val="22"/>
          <w:szCs w:val="22"/>
        </w:rPr>
        <w:t xml:space="preserve">και δασμούς επί εισαγωγών προβλέπονται έσοδα 286 εκατ. ευρώ, αυξημένα κατά 46 </w:t>
      </w:r>
      <w:r>
        <w:rPr>
          <w:bCs/>
          <w:sz w:val="22"/>
          <w:szCs w:val="22"/>
        </w:rPr>
        <w:t>ε</w:t>
      </w:r>
      <w:r>
        <w:rPr>
          <w:bCs/>
          <w:sz w:val="22"/>
          <w:szCs w:val="22"/>
        </w:rPr>
        <w:t xml:space="preserve">κατ. ευρώ </w:t>
      </w:r>
      <w:r w:rsidRPr="00EE3A38">
        <w:rPr>
          <w:sz w:val="22"/>
          <w:szCs w:val="22"/>
        </w:rPr>
        <w:t>έναντι των εκτιμήσεων του 20</w:t>
      </w:r>
      <w:r>
        <w:rPr>
          <w:sz w:val="22"/>
          <w:szCs w:val="22"/>
        </w:rPr>
        <w:t>20</w:t>
      </w:r>
      <w:r>
        <w:rPr>
          <w:bCs/>
          <w:sz w:val="22"/>
          <w:szCs w:val="22"/>
        </w:rPr>
        <w:t>.</w:t>
      </w:r>
    </w:p>
    <w:p w:rsidR="00133594" w:rsidRPr="00A07AF3" w:rsidRDefault="00133594" w:rsidP="00133594">
      <w:pPr>
        <w:jc w:val="both"/>
        <w:rPr>
          <w:bCs/>
          <w:sz w:val="22"/>
          <w:szCs w:val="22"/>
        </w:rPr>
      </w:pPr>
    </w:p>
    <w:p w:rsidR="00133594" w:rsidRPr="00516BB9" w:rsidRDefault="00133594" w:rsidP="00133594">
      <w:pPr>
        <w:pStyle w:val="af2"/>
        <w:numPr>
          <w:ilvl w:val="0"/>
          <w:numId w:val="8"/>
        </w:numPr>
        <w:spacing w:after="0" w:line="240" w:lineRule="auto"/>
        <w:ind w:left="284" w:hanging="284"/>
        <w:contextualSpacing w:val="0"/>
        <w:jc w:val="both"/>
        <w:rPr>
          <w:rFonts w:ascii="Times New Roman" w:hAnsi="Times New Roman"/>
          <w:b/>
          <w:i/>
        </w:rPr>
      </w:pPr>
      <w:r w:rsidRPr="00516BB9">
        <w:rPr>
          <w:rFonts w:ascii="Times New Roman" w:hAnsi="Times New Roman"/>
          <w:b/>
          <w:i/>
        </w:rPr>
        <w:t>Τακτικοί φόροι ακίνητης περιουσίας</w:t>
      </w:r>
    </w:p>
    <w:p w:rsidR="00133594" w:rsidRPr="00516BB9" w:rsidRDefault="00133594" w:rsidP="00133594">
      <w:pPr>
        <w:pStyle w:val="af2"/>
        <w:spacing w:after="0" w:line="240" w:lineRule="auto"/>
        <w:ind w:left="284"/>
        <w:contextualSpacing w:val="0"/>
        <w:jc w:val="both"/>
        <w:rPr>
          <w:rFonts w:ascii="Times New Roman" w:hAnsi="Times New Roman"/>
          <w:b/>
          <w:i/>
        </w:rPr>
      </w:pPr>
    </w:p>
    <w:p w:rsidR="00133594" w:rsidRDefault="00133594" w:rsidP="00133594">
      <w:pPr>
        <w:jc w:val="both"/>
        <w:rPr>
          <w:bCs/>
          <w:sz w:val="22"/>
          <w:szCs w:val="22"/>
        </w:rPr>
      </w:pPr>
      <w:r w:rsidRPr="00A07AF3">
        <w:rPr>
          <w:bCs/>
          <w:sz w:val="22"/>
          <w:szCs w:val="22"/>
        </w:rPr>
        <w:t>Από τους τακτικούς φόρους ακίνητης περιουσίας, αναμένεται να εισπραχθούν έσοδα ύψους 2.</w:t>
      </w:r>
      <w:r>
        <w:rPr>
          <w:bCs/>
          <w:sz w:val="22"/>
          <w:szCs w:val="22"/>
        </w:rPr>
        <w:t>667</w:t>
      </w:r>
      <w:r w:rsidRPr="00A07AF3">
        <w:rPr>
          <w:bCs/>
          <w:sz w:val="22"/>
          <w:szCs w:val="22"/>
        </w:rPr>
        <w:t xml:space="preserve"> </w:t>
      </w:r>
      <w:r w:rsidRPr="00A07AF3">
        <w:rPr>
          <w:bCs/>
          <w:sz w:val="22"/>
          <w:szCs w:val="22"/>
        </w:rPr>
        <w:t>ε</w:t>
      </w:r>
      <w:r w:rsidRPr="00A07AF3">
        <w:rPr>
          <w:bCs/>
          <w:sz w:val="22"/>
          <w:szCs w:val="22"/>
        </w:rPr>
        <w:t>κατ. ευρώ,</w:t>
      </w:r>
      <w:r>
        <w:rPr>
          <w:bCs/>
          <w:sz w:val="22"/>
          <w:szCs w:val="22"/>
        </w:rPr>
        <w:t xml:space="preserve"> μειωμένα κατά 9</w:t>
      </w:r>
      <w:r w:rsidRPr="00A07AF3">
        <w:rPr>
          <w:bCs/>
          <w:sz w:val="22"/>
          <w:szCs w:val="22"/>
        </w:rPr>
        <w:t xml:space="preserve"> εκατ. ευρώ </w:t>
      </w:r>
      <w:r w:rsidRPr="00EE3A38">
        <w:rPr>
          <w:sz w:val="22"/>
          <w:szCs w:val="22"/>
        </w:rPr>
        <w:t>έναντι των εκτιμήσεων του 20</w:t>
      </w:r>
      <w:r>
        <w:rPr>
          <w:sz w:val="22"/>
          <w:szCs w:val="22"/>
        </w:rPr>
        <w:t>20</w:t>
      </w:r>
      <w:r>
        <w:rPr>
          <w:bCs/>
          <w:sz w:val="22"/>
          <w:szCs w:val="22"/>
        </w:rPr>
        <w:t>.</w:t>
      </w:r>
    </w:p>
    <w:p w:rsidR="00133594" w:rsidRDefault="00133594" w:rsidP="00133594">
      <w:pPr>
        <w:jc w:val="both"/>
        <w:rPr>
          <w:b/>
          <w:bCs/>
          <w:i/>
          <w:sz w:val="22"/>
          <w:szCs w:val="22"/>
        </w:rPr>
      </w:pPr>
    </w:p>
    <w:p w:rsidR="00133594" w:rsidRPr="00516BB9" w:rsidRDefault="00133594" w:rsidP="00133594">
      <w:pPr>
        <w:pStyle w:val="af2"/>
        <w:numPr>
          <w:ilvl w:val="0"/>
          <w:numId w:val="8"/>
        </w:numPr>
        <w:spacing w:after="0" w:line="240" w:lineRule="auto"/>
        <w:ind w:left="284" w:hanging="284"/>
        <w:contextualSpacing w:val="0"/>
        <w:jc w:val="both"/>
        <w:rPr>
          <w:rFonts w:ascii="Times New Roman" w:hAnsi="Times New Roman"/>
          <w:b/>
          <w:i/>
        </w:rPr>
      </w:pPr>
      <w:r w:rsidRPr="00516BB9">
        <w:rPr>
          <w:rFonts w:ascii="Times New Roman" w:hAnsi="Times New Roman"/>
          <w:b/>
          <w:i/>
        </w:rPr>
        <w:t>Λοιποί φόροι παραγωγής</w:t>
      </w:r>
    </w:p>
    <w:p w:rsidR="00133594" w:rsidRPr="00A07AF3" w:rsidRDefault="00133594" w:rsidP="00133594">
      <w:pPr>
        <w:jc w:val="both"/>
        <w:rPr>
          <w:bCs/>
          <w:sz w:val="22"/>
          <w:szCs w:val="22"/>
        </w:rPr>
      </w:pPr>
    </w:p>
    <w:p w:rsidR="00133594" w:rsidRPr="00A07AF3" w:rsidRDefault="00133594" w:rsidP="00133594">
      <w:pPr>
        <w:jc w:val="both"/>
        <w:rPr>
          <w:bCs/>
          <w:sz w:val="22"/>
          <w:szCs w:val="22"/>
        </w:rPr>
      </w:pPr>
      <w:r w:rsidRPr="00A07AF3">
        <w:rPr>
          <w:bCs/>
          <w:sz w:val="22"/>
          <w:szCs w:val="22"/>
        </w:rPr>
        <w:lastRenderedPageBreak/>
        <w:t xml:space="preserve">Από τους λοιπούς φόρους παραγωγής προβλέπεται ότι θα εισπραχθούν </w:t>
      </w:r>
      <w:r>
        <w:rPr>
          <w:bCs/>
          <w:sz w:val="22"/>
          <w:szCs w:val="22"/>
        </w:rPr>
        <w:t>1.109</w:t>
      </w:r>
      <w:r w:rsidRPr="00A07AF3">
        <w:rPr>
          <w:bCs/>
          <w:sz w:val="22"/>
          <w:szCs w:val="22"/>
        </w:rPr>
        <w:t xml:space="preserve"> εκατ. ευρώ, </w:t>
      </w:r>
      <w:r>
        <w:rPr>
          <w:bCs/>
          <w:sz w:val="22"/>
          <w:szCs w:val="22"/>
        </w:rPr>
        <w:t xml:space="preserve">μειωμένα κατά 59 εκατ. ευρώ </w:t>
      </w:r>
      <w:r w:rsidRPr="00EE3A38">
        <w:rPr>
          <w:sz w:val="22"/>
          <w:szCs w:val="22"/>
        </w:rPr>
        <w:t>έναντι των εκτιμήσεων του 20</w:t>
      </w:r>
      <w:r>
        <w:rPr>
          <w:sz w:val="22"/>
          <w:szCs w:val="22"/>
        </w:rPr>
        <w:t>20</w:t>
      </w:r>
      <w:r w:rsidRPr="00A07AF3">
        <w:rPr>
          <w:bCs/>
          <w:sz w:val="22"/>
          <w:szCs w:val="22"/>
        </w:rPr>
        <w:t xml:space="preserve">. </w:t>
      </w:r>
    </w:p>
    <w:p w:rsidR="00133594" w:rsidRPr="00A07AF3" w:rsidRDefault="00133594" w:rsidP="00133594">
      <w:pPr>
        <w:jc w:val="both"/>
        <w:rPr>
          <w:bCs/>
          <w:sz w:val="22"/>
          <w:szCs w:val="22"/>
        </w:rPr>
      </w:pPr>
    </w:p>
    <w:p w:rsidR="00133594" w:rsidRPr="00516BB9" w:rsidRDefault="00133594" w:rsidP="00133594">
      <w:pPr>
        <w:pStyle w:val="af2"/>
        <w:numPr>
          <w:ilvl w:val="0"/>
          <w:numId w:val="8"/>
        </w:numPr>
        <w:spacing w:after="0" w:line="240" w:lineRule="auto"/>
        <w:ind w:left="284" w:hanging="284"/>
        <w:contextualSpacing w:val="0"/>
        <w:jc w:val="both"/>
        <w:rPr>
          <w:rFonts w:ascii="Times New Roman" w:hAnsi="Times New Roman"/>
          <w:b/>
          <w:i/>
        </w:rPr>
      </w:pPr>
      <w:r w:rsidRPr="00516BB9">
        <w:rPr>
          <w:rFonts w:ascii="Times New Roman" w:hAnsi="Times New Roman"/>
          <w:b/>
          <w:i/>
        </w:rPr>
        <w:t>Φόρος εισοδήματος</w:t>
      </w:r>
    </w:p>
    <w:p w:rsidR="00133594" w:rsidRPr="00A07AF3" w:rsidRDefault="00133594" w:rsidP="00133594">
      <w:pPr>
        <w:jc w:val="both"/>
        <w:rPr>
          <w:b/>
          <w:bCs/>
          <w:i/>
          <w:sz w:val="22"/>
          <w:szCs w:val="22"/>
        </w:rPr>
      </w:pPr>
    </w:p>
    <w:p w:rsidR="00133594" w:rsidRPr="00A07AF3" w:rsidRDefault="00133594" w:rsidP="00133594">
      <w:pPr>
        <w:jc w:val="both"/>
        <w:rPr>
          <w:bCs/>
          <w:sz w:val="22"/>
          <w:szCs w:val="22"/>
        </w:rPr>
      </w:pPr>
      <w:r w:rsidRPr="00A07AF3">
        <w:rPr>
          <w:bCs/>
          <w:sz w:val="22"/>
          <w:szCs w:val="22"/>
        </w:rPr>
        <w:t>Από το</w:t>
      </w:r>
      <w:r>
        <w:rPr>
          <w:bCs/>
          <w:sz w:val="22"/>
          <w:szCs w:val="22"/>
        </w:rPr>
        <w:t>ν</w:t>
      </w:r>
      <w:r w:rsidRPr="00A07AF3">
        <w:rPr>
          <w:bCs/>
          <w:sz w:val="22"/>
          <w:szCs w:val="22"/>
        </w:rPr>
        <w:t xml:space="preserve"> φόρο εισοδήματος αναμένεται να εισπραχθούν έσοδα ύψους </w:t>
      </w:r>
      <w:r>
        <w:rPr>
          <w:bCs/>
          <w:sz w:val="22"/>
          <w:szCs w:val="22"/>
        </w:rPr>
        <w:t>14.741</w:t>
      </w:r>
      <w:r w:rsidRPr="00A07AF3">
        <w:rPr>
          <w:bCs/>
          <w:sz w:val="22"/>
          <w:szCs w:val="22"/>
        </w:rPr>
        <w:t xml:space="preserve"> εκατ. ευρώ, </w:t>
      </w:r>
      <w:r>
        <w:rPr>
          <w:bCs/>
          <w:sz w:val="22"/>
          <w:szCs w:val="22"/>
        </w:rPr>
        <w:t>αυξημένα</w:t>
      </w:r>
      <w:r w:rsidRPr="00A07AF3">
        <w:rPr>
          <w:bCs/>
          <w:sz w:val="22"/>
          <w:szCs w:val="22"/>
        </w:rPr>
        <w:t xml:space="preserve"> κατά </w:t>
      </w:r>
      <w:r>
        <w:rPr>
          <w:bCs/>
          <w:sz w:val="22"/>
          <w:szCs w:val="22"/>
        </w:rPr>
        <w:t>1.065</w:t>
      </w:r>
      <w:r w:rsidRPr="00A07AF3">
        <w:rPr>
          <w:bCs/>
          <w:sz w:val="22"/>
          <w:szCs w:val="22"/>
        </w:rPr>
        <w:t xml:space="preserve"> εκατ. ευρώ ή </w:t>
      </w:r>
      <w:r>
        <w:rPr>
          <w:bCs/>
          <w:sz w:val="22"/>
          <w:szCs w:val="22"/>
        </w:rPr>
        <w:t>7,8%</w:t>
      </w:r>
      <w:r w:rsidRPr="00A07AF3">
        <w:rPr>
          <w:bCs/>
          <w:sz w:val="22"/>
          <w:szCs w:val="22"/>
        </w:rPr>
        <w:t xml:space="preserve"> </w:t>
      </w:r>
      <w:r w:rsidRPr="00EE3A38">
        <w:rPr>
          <w:sz w:val="22"/>
          <w:szCs w:val="22"/>
        </w:rPr>
        <w:t>έναντι των εκτιμήσεων του 20</w:t>
      </w:r>
      <w:r>
        <w:rPr>
          <w:sz w:val="22"/>
          <w:szCs w:val="22"/>
        </w:rPr>
        <w:t>20</w:t>
      </w:r>
      <w:r w:rsidRPr="00A07AF3">
        <w:rPr>
          <w:bCs/>
          <w:sz w:val="22"/>
          <w:szCs w:val="22"/>
        </w:rPr>
        <w:t>. Ειδικότερα:</w:t>
      </w:r>
    </w:p>
    <w:p w:rsidR="00133594" w:rsidRDefault="00133594" w:rsidP="00133594">
      <w:pPr>
        <w:jc w:val="both"/>
        <w:rPr>
          <w:bCs/>
          <w:sz w:val="22"/>
          <w:szCs w:val="22"/>
        </w:rPr>
      </w:pPr>
    </w:p>
    <w:p w:rsidR="00133594" w:rsidRPr="00C206C7" w:rsidRDefault="00133594" w:rsidP="00133594">
      <w:pPr>
        <w:ind w:left="284" w:hanging="284"/>
        <w:contextualSpacing/>
        <w:jc w:val="both"/>
        <w:rPr>
          <w:bCs/>
          <w:sz w:val="22"/>
          <w:szCs w:val="22"/>
        </w:rPr>
      </w:pPr>
      <w:r>
        <w:rPr>
          <w:bCs/>
          <w:sz w:val="22"/>
          <w:szCs w:val="22"/>
        </w:rPr>
        <w:t>-</w:t>
      </w:r>
      <w:r>
        <w:rPr>
          <w:bCs/>
          <w:sz w:val="22"/>
          <w:szCs w:val="22"/>
        </w:rPr>
        <w:tab/>
      </w:r>
      <w:r w:rsidR="00F94599">
        <w:rPr>
          <w:bCs/>
          <w:sz w:val="22"/>
          <w:szCs w:val="22"/>
        </w:rPr>
        <w:t>ο</w:t>
      </w:r>
      <w:r w:rsidRPr="00A07AF3">
        <w:rPr>
          <w:bCs/>
          <w:sz w:val="22"/>
          <w:szCs w:val="22"/>
        </w:rPr>
        <w:t xml:space="preserve"> φόρος εισοδήματος φυσικών προσώπων προβλέπεται να διαμορφωθεί στα </w:t>
      </w:r>
      <w:r>
        <w:rPr>
          <w:bCs/>
          <w:sz w:val="22"/>
          <w:szCs w:val="22"/>
        </w:rPr>
        <w:t>10.193</w:t>
      </w:r>
      <w:r w:rsidRPr="00A07AF3">
        <w:rPr>
          <w:bCs/>
          <w:sz w:val="22"/>
          <w:szCs w:val="22"/>
        </w:rPr>
        <w:t xml:space="preserve"> εκατ. ευρώ</w:t>
      </w:r>
      <w:r>
        <w:rPr>
          <w:bCs/>
          <w:sz w:val="22"/>
          <w:szCs w:val="22"/>
        </w:rPr>
        <w:t>,</w:t>
      </w:r>
      <w:r w:rsidRPr="00A07AF3">
        <w:rPr>
          <w:bCs/>
          <w:sz w:val="22"/>
          <w:szCs w:val="22"/>
        </w:rPr>
        <w:t xml:space="preserve"> αυξη</w:t>
      </w:r>
      <w:r>
        <w:rPr>
          <w:bCs/>
          <w:sz w:val="22"/>
          <w:szCs w:val="22"/>
        </w:rPr>
        <w:t>μένος κατά 163</w:t>
      </w:r>
      <w:r w:rsidRPr="00A07AF3">
        <w:rPr>
          <w:bCs/>
          <w:sz w:val="22"/>
          <w:szCs w:val="22"/>
        </w:rPr>
        <w:t xml:space="preserve"> εκατ. ευρώ </w:t>
      </w:r>
      <w:r w:rsidRPr="00EE3A38">
        <w:rPr>
          <w:sz w:val="22"/>
          <w:szCs w:val="22"/>
        </w:rPr>
        <w:t>έναντι των εκτιμήσεων του 20</w:t>
      </w:r>
      <w:r>
        <w:rPr>
          <w:sz w:val="22"/>
          <w:szCs w:val="22"/>
        </w:rPr>
        <w:t>20</w:t>
      </w:r>
      <w:r w:rsidRPr="00A07AF3">
        <w:rPr>
          <w:bCs/>
          <w:sz w:val="22"/>
          <w:szCs w:val="22"/>
        </w:rPr>
        <w:t xml:space="preserve">, </w:t>
      </w:r>
      <w:r w:rsidRPr="00C206C7">
        <w:rPr>
          <w:bCs/>
          <w:sz w:val="22"/>
          <w:szCs w:val="22"/>
        </w:rPr>
        <w:t>και</w:t>
      </w:r>
    </w:p>
    <w:p w:rsidR="00133594" w:rsidRDefault="00133594" w:rsidP="00133594">
      <w:pPr>
        <w:ind w:left="284" w:hanging="284"/>
        <w:contextualSpacing/>
        <w:jc w:val="both"/>
        <w:rPr>
          <w:bCs/>
          <w:sz w:val="22"/>
          <w:szCs w:val="22"/>
        </w:rPr>
      </w:pPr>
      <w:r>
        <w:rPr>
          <w:bCs/>
          <w:sz w:val="22"/>
          <w:szCs w:val="22"/>
        </w:rPr>
        <w:t>-</w:t>
      </w:r>
      <w:r>
        <w:rPr>
          <w:bCs/>
          <w:sz w:val="22"/>
          <w:szCs w:val="22"/>
        </w:rPr>
        <w:tab/>
        <w:t>ο</w:t>
      </w:r>
      <w:r w:rsidRPr="00A07AF3">
        <w:rPr>
          <w:bCs/>
          <w:sz w:val="22"/>
          <w:szCs w:val="22"/>
        </w:rPr>
        <w:t xml:space="preserve"> φόρος εισοδήματος νομικών προσώπων προβλέπεται να παρουσιάσει </w:t>
      </w:r>
      <w:r>
        <w:rPr>
          <w:bCs/>
          <w:sz w:val="22"/>
          <w:szCs w:val="22"/>
        </w:rPr>
        <w:t>αύξηση</w:t>
      </w:r>
      <w:r w:rsidRPr="00A07AF3">
        <w:rPr>
          <w:bCs/>
          <w:sz w:val="22"/>
          <w:szCs w:val="22"/>
        </w:rPr>
        <w:t xml:space="preserve"> κατά </w:t>
      </w:r>
      <w:r>
        <w:rPr>
          <w:bCs/>
          <w:sz w:val="22"/>
          <w:szCs w:val="22"/>
        </w:rPr>
        <w:t>830</w:t>
      </w:r>
      <w:r w:rsidRPr="00A07AF3">
        <w:rPr>
          <w:bCs/>
          <w:sz w:val="22"/>
          <w:szCs w:val="22"/>
        </w:rPr>
        <w:t xml:space="preserve"> εκατ. ε</w:t>
      </w:r>
      <w:r w:rsidRPr="00A07AF3">
        <w:rPr>
          <w:bCs/>
          <w:sz w:val="22"/>
          <w:szCs w:val="22"/>
        </w:rPr>
        <w:t>υ</w:t>
      </w:r>
      <w:r w:rsidRPr="00A07AF3">
        <w:rPr>
          <w:bCs/>
          <w:sz w:val="22"/>
          <w:szCs w:val="22"/>
        </w:rPr>
        <w:t xml:space="preserve">ρώ </w:t>
      </w:r>
      <w:r w:rsidRPr="00EE3A38">
        <w:rPr>
          <w:sz w:val="22"/>
          <w:szCs w:val="22"/>
        </w:rPr>
        <w:t>έναντι των εκτιμήσεων του 20</w:t>
      </w:r>
      <w:r>
        <w:rPr>
          <w:sz w:val="22"/>
          <w:szCs w:val="22"/>
        </w:rPr>
        <w:t xml:space="preserve">20 </w:t>
      </w:r>
      <w:r w:rsidRPr="00A07AF3">
        <w:rPr>
          <w:bCs/>
          <w:sz w:val="22"/>
          <w:szCs w:val="22"/>
        </w:rPr>
        <w:t xml:space="preserve">και να διαμορφωθεί στα </w:t>
      </w:r>
      <w:r>
        <w:rPr>
          <w:bCs/>
          <w:sz w:val="22"/>
          <w:szCs w:val="22"/>
        </w:rPr>
        <w:t>3.416 εκατ. ευρώ.</w:t>
      </w:r>
    </w:p>
    <w:p w:rsidR="000E1D0C" w:rsidRDefault="000E1D0C" w:rsidP="00133594">
      <w:pPr>
        <w:ind w:left="284" w:hanging="284"/>
        <w:contextualSpacing/>
        <w:jc w:val="both"/>
        <w:rPr>
          <w:bCs/>
          <w:sz w:val="22"/>
          <w:szCs w:val="22"/>
        </w:rPr>
      </w:pPr>
    </w:p>
    <w:p w:rsidR="00133594" w:rsidRPr="00516BB9" w:rsidRDefault="00133594" w:rsidP="00133594">
      <w:pPr>
        <w:pStyle w:val="af2"/>
        <w:numPr>
          <w:ilvl w:val="0"/>
          <w:numId w:val="8"/>
        </w:numPr>
        <w:spacing w:after="0" w:line="240" w:lineRule="auto"/>
        <w:ind w:left="284" w:hanging="284"/>
        <w:contextualSpacing w:val="0"/>
        <w:jc w:val="both"/>
        <w:rPr>
          <w:rFonts w:ascii="Times New Roman" w:hAnsi="Times New Roman"/>
          <w:b/>
          <w:i/>
        </w:rPr>
      </w:pPr>
      <w:r w:rsidRPr="00516BB9">
        <w:rPr>
          <w:rFonts w:ascii="Times New Roman" w:hAnsi="Times New Roman"/>
          <w:b/>
          <w:i/>
        </w:rPr>
        <w:t>Φόροι</w:t>
      </w:r>
      <w:r>
        <w:rPr>
          <w:rFonts w:ascii="Times New Roman" w:hAnsi="Times New Roman"/>
          <w:b/>
          <w:i/>
        </w:rPr>
        <w:t xml:space="preserve"> κεφαλαίου</w:t>
      </w:r>
    </w:p>
    <w:p w:rsidR="00133594" w:rsidRPr="00A07AF3" w:rsidRDefault="00133594" w:rsidP="00133594">
      <w:pPr>
        <w:jc w:val="both"/>
        <w:rPr>
          <w:b/>
          <w:bCs/>
          <w:i/>
          <w:sz w:val="22"/>
          <w:szCs w:val="22"/>
        </w:rPr>
      </w:pPr>
    </w:p>
    <w:p w:rsidR="00133594" w:rsidRPr="00A07AF3" w:rsidRDefault="00133594" w:rsidP="00133594">
      <w:pPr>
        <w:jc w:val="both"/>
        <w:rPr>
          <w:bCs/>
          <w:sz w:val="22"/>
          <w:szCs w:val="22"/>
        </w:rPr>
      </w:pPr>
      <w:r>
        <w:rPr>
          <w:bCs/>
          <w:sz w:val="22"/>
          <w:szCs w:val="22"/>
        </w:rPr>
        <w:t xml:space="preserve">Οι φόροι κεφαλαίου προβλέπεται να ανέλθουν σε 214 εκατ. ευρώ, αυξημένοι κατά 39 εκατ. ευρώ </w:t>
      </w:r>
      <w:r w:rsidRPr="00EE3A38">
        <w:rPr>
          <w:sz w:val="22"/>
          <w:szCs w:val="22"/>
        </w:rPr>
        <w:t>έν</w:t>
      </w:r>
      <w:r w:rsidRPr="00EE3A38">
        <w:rPr>
          <w:sz w:val="22"/>
          <w:szCs w:val="22"/>
        </w:rPr>
        <w:t>α</w:t>
      </w:r>
      <w:r w:rsidRPr="00EE3A38">
        <w:rPr>
          <w:sz w:val="22"/>
          <w:szCs w:val="22"/>
        </w:rPr>
        <w:t>ντι των εκτιμήσεων του 20</w:t>
      </w:r>
      <w:r>
        <w:rPr>
          <w:sz w:val="22"/>
          <w:szCs w:val="22"/>
        </w:rPr>
        <w:t>20</w:t>
      </w:r>
      <w:r>
        <w:rPr>
          <w:bCs/>
          <w:sz w:val="22"/>
          <w:szCs w:val="22"/>
        </w:rPr>
        <w:t>.</w:t>
      </w:r>
    </w:p>
    <w:p w:rsidR="00133594" w:rsidRPr="00A07AF3" w:rsidRDefault="00133594" w:rsidP="00133594">
      <w:pPr>
        <w:jc w:val="both"/>
        <w:rPr>
          <w:bCs/>
          <w:sz w:val="22"/>
          <w:szCs w:val="22"/>
        </w:rPr>
      </w:pPr>
    </w:p>
    <w:p w:rsidR="00133594" w:rsidRPr="00516BB9" w:rsidRDefault="00133594" w:rsidP="00133594">
      <w:pPr>
        <w:pStyle w:val="af2"/>
        <w:numPr>
          <w:ilvl w:val="0"/>
          <w:numId w:val="8"/>
        </w:numPr>
        <w:spacing w:after="0" w:line="240" w:lineRule="auto"/>
        <w:ind w:left="284" w:hanging="284"/>
        <w:contextualSpacing w:val="0"/>
        <w:jc w:val="both"/>
        <w:rPr>
          <w:rFonts w:ascii="Times New Roman" w:hAnsi="Times New Roman"/>
          <w:b/>
          <w:i/>
        </w:rPr>
      </w:pPr>
      <w:r w:rsidRPr="00516BB9">
        <w:rPr>
          <w:rFonts w:ascii="Times New Roman" w:hAnsi="Times New Roman"/>
          <w:b/>
          <w:i/>
        </w:rPr>
        <w:t>Λοιποί τρέχοντες φόροι</w:t>
      </w:r>
    </w:p>
    <w:p w:rsidR="00133594" w:rsidRPr="00A07AF3" w:rsidRDefault="00133594" w:rsidP="00133594">
      <w:pPr>
        <w:jc w:val="both"/>
        <w:rPr>
          <w:b/>
          <w:bCs/>
          <w:i/>
          <w:sz w:val="22"/>
          <w:szCs w:val="22"/>
        </w:rPr>
      </w:pPr>
    </w:p>
    <w:p w:rsidR="00133594" w:rsidRDefault="00133594" w:rsidP="00133594">
      <w:pPr>
        <w:jc w:val="both"/>
        <w:rPr>
          <w:sz w:val="22"/>
          <w:szCs w:val="22"/>
        </w:rPr>
      </w:pPr>
      <w:r w:rsidRPr="00A07AF3">
        <w:rPr>
          <w:bCs/>
          <w:sz w:val="22"/>
          <w:szCs w:val="22"/>
        </w:rPr>
        <w:t>Τα έσοδα από τους λοιπούς τρέχοντες φόρους προβλέπεται να ανέλθουν στο ποσό των 2.</w:t>
      </w:r>
      <w:r>
        <w:rPr>
          <w:bCs/>
          <w:sz w:val="22"/>
          <w:szCs w:val="22"/>
        </w:rPr>
        <w:t>419</w:t>
      </w:r>
      <w:r w:rsidRPr="00A07AF3">
        <w:rPr>
          <w:bCs/>
          <w:sz w:val="22"/>
          <w:szCs w:val="22"/>
        </w:rPr>
        <w:t xml:space="preserve"> εκατ. ευρ</w:t>
      </w:r>
      <w:r>
        <w:rPr>
          <w:bCs/>
          <w:sz w:val="22"/>
          <w:szCs w:val="22"/>
        </w:rPr>
        <w:t>ώ, αυξημένα κατά 60 εκατ. ευρώ</w:t>
      </w:r>
      <w:r w:rsidRPr="00A07AF3">
        <w:rPr>
          <w:bCs/>
          <w:sz w:val="22"/>
          <w:szCs w:val="22"/>
        </w:rPr>
        <w:t xml:space="preserve"> </w:t>
      </w:r>
      <w:r w:rsidRPr="00EE3A38">
        <w:rPr>
          <w:sz w:val="22"/>
          <w:szCs w:val="22"/>
        </w:rPr>
        <w:t>έναντι των εκτιμήσεων του 20</w:t>
      </w:r>
      <w:r>
        <w:rPr>
          <w:sz w:val="22"/>
          <w:szCs w:val="22"/>
        </w:rPr>
        <w:t>20.</w:t>
      </w:r>
    </w:p>
    <w:p w:rsidR="00133594" w:rsidRPr="00A07AF3" w:rsidRDefault="00133594" w:rsidP="00133594">
      <w:pPr>
        <w:jc w:val="both"/>
        <w:rPr>
          <w:b/>
          <w:bCs/>
          <w:i/>
          <w:sz w:val="22"/>
          <w:szCs w:val="22"/>
        </w:rPr>
      </w:pPr>
    </w:p>
    <w:p w:rsidR="00133594" w:rsidRPr="00A07AF3" w:rsidRDefault="00133594" w:rsidP="00133594">
      <w:pPr>
        <w:jc w:val="both"/>
        <w:rPr>
          <w:rFonts w:ascii="Arial Narrow" w:hAnsi="Arial Narrow"/>
          <w:b/>
          <w:bCs/>
          <w:i/>
          <w:sz w:val="22"/>
          <w:szCs w:val="22"/>
        </w:rPr>
      </w:pPr>
      <w:r>
        <w:rPr>
          <w:rFonts w:ascii="Arial Narrow" w:hAnsi="Arial Narrow"/>
          <w:b/>
          <w:bCs/>
          <w:i/>
          <w:sz w:val="22"/>
          <w:szCs w:val="22"/>
        </w:rPr>
        <w:t>Κοινωνικές εισφορές</w:t>
      </w:r>
    </w:p>
    <w:p w:rsidR="00133594" w:rsidRPr="00A07AF3" w:rsidRDefault="00133594" w:rsidP="00133594">
      <w:pPr>
        <w:jc w:val="both"/>
        <w:rPr>
          <w:bCs/>
          <w:sz w:val="22"/>
          <w:szCs w:val="22"/>
        </w:rPr>
      </w:pPr>
    </w:p>
    <w:p w:rsidR="00133594" w:rsidRDefault="00133594" w:rsidP="00133594">
      <w:pPr>
        <w:jc w:val="both"/>
        <w:rPr>
          <w:bCs/>
          <w:sz w:val="22"/>
          <w:szCs w:val="22"/>
        </w:rPr>
      </w:pPr>
      <w:r w:rsidRPr="00A07AF3">
        <w:rPr>
          <w:bCs/>
          <w:sz w:val="22"/>
          <w:szCs w:val="22"/>
        </w:rPr>
        <w:t xml:space="preserve">Τα έσοδα από </w:t>
      </w:r>
      <w:r>
        <w:rPr>
          <w:bCs/>
          <w:sz w:val="22"/>
          <w:szCs w:val="22"/>
        </w:rPr>
        <w:t>κοινωνικές εισφορές προβλέπεται να διαμορφωθούν στα 54 εκατ. ευρώ, μη παρουσι</w:t>
      </w:r>
      <w:r>
        <w:rPr>
          <w:bCs/>
          <w:sz w:val="22"/>
          <w:szCs w:val="22"/>
        </w:rPr>
        <w:t>ά</w:t>
      </w:r>
      <w:r>
        <w:rPr>
          <w:bCs/>
          <w:sz w:val="22"/>
          <w:szCs w:val="22"/>
        </w:rPr>
        <w:t xml:space="preserve">ζοντας μεταβολή </w:t>
      </w:r>
      <w:r w:rsidRPr="00EE3A38">
        <w:rPr>
          <w:sz w:val="22"/>
          <w:szCs w:val="22"/>
        </w:rPr>
        <w:t>έναντι των εκτιμήσεων του 20</w:t>
      </w:r>
      <w:r>
        <w:rPr>
          <w:sz w:val="22"/>
          <w:szCs w:val="22"/>
        </w:rPr>
        <w:t>20</w:t>
      </w:r>
      <w:r>
        <w:rPr>
          <w:bCs/>
          <w:sz w:val="22"/>
          <w:szCs w:val="22"/>
        </w:rPr>
        <w:t>.</w:t>
      </w:r>
    </w:p>
    <w:p w:rsidR="00133594" w:rsidRDefault="00133594" w:rsidP="00133594">
      <w:pPr>
        <w:jc w:val="both"/>
        <w:rPr>
          <w:rFonts w:ascii="Arial Narrow" w:hAnsi="Arial Narrow"/>
          <w:b/>
          <w:bCs/>
          <w:i/>
          <w:sz w:val="22"/>
          <w:szCs w:val="22"/>
        </w:rPr>
      </w:pPr>
    </w:p>
    <w:p w:rsidR="00133594" w:rsidRPr="00A07AF3" w:rsidRDefault="00133594" w:rsidP="00133594">
      <w:pPr>
        <w:jc w:val="both"/>
        <w:rPr>
          <w:rFonts w:ascii="Arial Narrow" w:hAnsi="Arial Narrow"/>
          <w:b/>
          <w:bCs/>
          <w:i/>
          <w:sz w:val="22"/>
          <w:szCs w:val="22"/>
        </w:rPr>
      </w:pPr>
      <w:r w:rsidRPr="00A07AF3">
        <w:rPr>
          <w:rFonts w:ascii="Arial Narrow" w:hAnsi="Arial Narrow"/>
          <w:b/>
          <w:bCs/>
          <w:i/>
          <w:sz w:val="22"/>
          <w:szCs w:val="22"/>
        </w:rPr>
        <w:t>Μεταβιβάσεις</w:t>
      </w:r>
    </w:p>
    <w:p w:rsidR="00133594" w:rsidRPr="00A07AF3" w:rsidRDefault="00133594" w:rsidP="00133594">
      <w:pPr>
        <w:jc w:val="both"/>
        <w:rPr>
          <w:bCs/>
          <w:sz w:val="22"/>
          <w:szCs w:val="22"/>
        </w:rPr>
      </w:pPr>
    </w:p>
    <w:p w:rsidR="00133594" w:rsidRDefault="00133594" w:rsidP="00133594">
      <w:pPr>
        <w:jc w:val="both"/>
        <w:rPr>
          <w:bCs/>
          <w:sz w:val="22"/>
          <w:szCs w:val="22"/>
        </w:rPr>
      </w:pPr>
      <w:r w:rsidRPr="00A07AF3">
        <w:rPr>
          <w:bCs/>
          <w:sz w:val="22"/>
          <w:szCs w:val="22"/>
        </w:rPr>
        <w:t xml:space="preserve">Τα έσοδα από μεταβιβάσεις αναμένεται να ανέλθουν στα </w:t>
      </w:r>
      <w:r>
        <w:rPr>
          <w:bCs/>
          <w:sz w:val="22"/>
          <w:szCs w:val="22"/>
        </w:rPr>
        <w:t>6.842 εκατ. ευρώ, αυξημένα κατά 11</w:t>
      </w:r>
      <w:r w:rsidRPr="00A07AF3">
        <w:rPr>
          <w:bCs/>
          <w:sz w:val="22"/>
          <w:szCs w:val="22"/>
        </w:rPr>
        <w:t xml:space="preserve"> εκατ. ευρώ </w:t>
      </w:r>
      <w:r w:rsidR="00CF6BC9">
        <w:rPr>
          <w:sz w:val="22"/>
          <w:szCs w:val="22"/>
        </w:rPr>
        <w:t>έναντι των εκτιμήσεων του 2020</w:t>
      </w:r>
      <w:r>
        <w:rPr>
          <w:bCs/>
          <w:sz w:val="22"/>
          <w:szCs w:val="22"/>
        </w:rPr>
        <w:t>. Εξ αυτών:</w:t>
      </w:r>
    </w:p>
    <w:p w:rsidR="00121867" w:rsidRDefault="00121867" w:rsidP="00133594">
      <w:pPr>
        <w:jc w:val="both"/>
        <w:rPr>
          <w:bCs/>
          <w:sz w:val="22"/>
          <w:szCs w:val="22"/>
        </w:rPr>
      </w:pPr>
    </w:p>
    <w:p w:rsidR="00121867" w:rsidRDefault="00121867" w:rsidP="00121867">
      <w:pPr>
        <w:tabs>
          <w:tab w:val="left" w:pos="284"/>
        </w:tabs>
        <w:jc w:val="both"/>
        <w:rPr>
          <w:bCs/>
          <w:sz w:val="22"/>
          <w:szCs w:val="22"/>
        </w:rPr>
      </w:pPr>
      <w:r>
        <w:rPr>
          <w:bCs/>
          <w:sz w:val="22"/>
          <w:szCs w:val="22"/>
        </w:rPr>
        <w:t>-</w:t>
      </w:r>
      <w:r>
        <w:rPr>
          <w:bCs/>
          <w:sz w:val="22"/>
          <w:szCs w:val="22"/>
        </w:rPr>
        <w:tab/>
      </w:r>
      <w:r w:rsidR="00133594">
        <w:rPr>
          <w:bCs/>
          <w:sz w:val="22"/>
          <w:szCs w:val="22"/>
        </w:rPr>
        <w:t>ποσό 3.922 εκατ. ευρώ αφορά έσοδα ΠΔΕ,</w:t>
      </w:r>
    </w:p>
    <w:p w:rsidR="00121867" w:rsidRDefault="00121867" w:rsidP="00121867">
      <w:pPr>
        <w:tabs>
          <w:tab w:val="left" w:pos="284"/>
        </w:tabs>
        <w:jc w:val="both"/>
        <w:rPr>
          <w:bCs/>
          <w:sz w:val="22"/>
          <w:szCs w:val="22"/>
        </w:rPr>
      </w:pPr>
      <w:r>
        <w:rPr>
          <w:bCs/>
          <w:sz w:val="22"/>
          <w:szCs w:val="22"/>
        </w:rPr>
        <w:t>-</w:t>
      </w:r>
      <w:r>
        <w:rPr>
          <w:bCs/>
          <w:sz w:val="22"/>
          <w:szCs w:val="22"/>
        </w:rPr>
        <w:tab/>
      </w:r>
      <w:r w:rsidR="00133594">
        <w:rPr>
          <w:bCs/>
          <w:sz w:val="22"/>
          <w:szCs w:val="22"/>
        </w:rPr>
        <w:t>ποσό 2.635 εκατ. ευρώ θα προέλθει από το Ταμείο Ανάκαμψης και Σταθερότητας, και</w:t>
      </w:r>
    </w:p>
    <w:p w:rsidR="00133594" w:rsidRDefault="00121867" w:rsidP="00121867">
      <w:pPr>
        <w:tabs>
          <w:tab w:val="left" w:pos="284"/>
        </w:tabs>
        <w:ind w:left="284" w:hanging="284"/>
        <w:jc w:val="both"/>
        <w:rPr>
          <w:bCs/>
          <w:sz w:val="22"/>
          <w:szCs w:val="22"/>
        </w:rPr>
      </w:pPr>
      <w:r>
        <w:rPr>
          <w:bCs/>
          <w:sz w:val="22"/>
          <w:szCs w:val="22"/>
        </w:rPr>
        <w:t>-</w:t>
      </w:r>
      <w:r>
        <w:rPr>
          <w:bCs/>
          <w:sz w:val="22"/>
          <w:szCs w:val="22"/>
        </w:rPr>
        <w:tab/>
      </w:r>
      <w:r w:rsidR="00133594">
        <w:rPr>
          <w:bCs/>
          <w:sz w:val="22"/>
          <w:szCs w:val="22"/>
        </w:rPr>
        <w:t>ποσό 163</w:t>
      </w:r>
      <w:r w:rsidR="00133594" w:rsidRPr="00A07AF3">
        <w:rPr>
          <w:bCs/>
          <w:sz w:val="22"/>
          <w:szCs w:val="22"/>
        </w:rPr>
        <w:t xml:space="preserve"> εκατ. ευρώ θα προέλθει από τη μεταφορά αποδόσεων </w:t>
      </w:r>
      <w:r w:rsidR="00133594">
        <w:rPr>
          <w:bCs/>
          <w:sz w:val="22"/>
          <w:szCs w:val="22"/>
        </w:rPr>
        <w:t xml:space="preserve">από την Τράπεζα της </w:t>
      </w:r>
      <w:r>
        <w:rPr>
          <w:bCs/>
          <w:sz w:val="22"/>
          <w:szCs w:val="22"/>
        </w:rPr>
        <w:t>Ελλάδος</w:t>
      </w:r>
      <w:r w:rsidR="00133594">
        <w:rPr>
          <w:bCs/>
          <w:sz w:val="22"/>
          <w:szCs w:val="22"/>
        </w:rPr>
        <w:t xml:space="preserve">, </w:t>
      </w:r>
      <w:r w:rsidR="00133594" w:rsidRPr="00A07AF3">
        <w:rPr>
          <w:bCs/>
          <w:sz w:val="22"/>
          <w:szCs w:val="22"/>
        </w:rPr>
        <w:t>λ</w:t>
      </w:r>
      <w:r w:rsidR="00133594" w:rsidRPr="00A07AF3">
        <w:rPr>
          <w:bCs/>
          <w:sz w:val="22"/>
          <w:szCs w:val="22"/>
        </w:rPr>
        <w:t>ό</w:t>
      </w:r>
      <w:r w:rsidR="00133594" w:rsidRPr="00A07AF3">
        <w:rPr>
          <w:bCs/>
          <w:sz w:val="22"/>
          <w:szCs w:val="22"/>
        </w:rPr>
        <w:t>γω της διακράτησης ομολόγων του Ελληνικού Δημοσίου στα χαρτοφυλάκια των Κεντρικών Τρ</w:t>
      </w:r>
      <w:r w:rsidR="00133594" w:rsidRPr="00A07AF3">
        <w:rPr>
          <w:bCs/>
          <w:sz w:val="22"/>
          <w:szCs w:val="22"/>
        </w:rPr>
        <w:t>α</w:t>
      </w:r>
      <w:r w:rsidR="00133594" w:rsidRPr="00A07AF3">
        <w:rPr>
          <w:bCs/>
          <w:sz w:val="22"/>
          <w:szCs w:val="22"/>
        </w:rPr>
        <w:t>πεζών του Ευρωσυστήματος (ANFAs), καθώς και από το Π</w:t>
      </w:r>
      <w:r w:rsidR="00133594">
        <w:rPr>
          <w:bCs/>
          <w:sz w:val="22"/>
          <w:szCs w:val="22"/>
        </w:rPr>
        <w:t>ρόγραμμα Αγοράς Ομολόγων (SMPs)</w:t>
      </w:r>
      <w:r w:rsidR="00133594" w:rsidRPr="00A07AF3">
        <w:rPr>
          <w:bCs/>
          <w:sz w:val="22"/>
          <w:szCs w:val="22"/>
        </w:rPr>
        <w:t xml:space="preserve"> της Ευρωπ</w:t>
      </w:r>
      <w:r w:rsidR="00133594">
        <w:rPr>
          <w:bCs/>
          <w:sz w:val="22"/>
          <w:szCs w:val="22"/>
        </w:rPr>
        <w:t>αϊκής Κεντρικής Τράπεζας (ΕΚΤ), ενώ δεν έχουν</w:t>
      </w:r>
      <w:r w:rsidR="00133594" w:rsidRPr="00DE00FB">
        <w:rPr>
          <w:bCs/>
          <w:sz w:val="22"/>
          <w:szCs w:val="22"/>
        </w:rPr>
        <w:t xml:space="preserve"> συμπεριληφθεί τα ποσά που αναμέν</w:t>
      </w:r>
      <w:r w:rsidR="00133594" w:rsidRPr="00DE00FB">
        <w:rPr>
          <w:bCs/>
          <w:sz w:val="22"/>
          <w:szCs w:val="22"/>
        </w:rPr>
        <w:t>ο</w:t>
      </w:r>
      <w:r w:rsidR="00133594" w:rsidRPr="00DE00FB">
        <w:rPr>
          <w:bCs/>
          <w:sz w:val="22"/>
          <w:szCs w:val="22"/>
        </w:rPr>
        <w:t>νται από ANFAs και</w:t>
      </w:r>
      <w:r w:rsidR="00133594">
        <w:rPr>
          <w:bCs/>
          <w:sz w:val="22"/>
          <w:szCs w:val="22"/>
        </w:rPr>
        <w:t xml:space="preserve"> </w:t>
      </w:r>
      <w:r w:rsidR="00133594" w:rsidRPr="00DE00FB">
        <w:rPr>
          <w:bCs/>
          <w:sz w:val="22"/>
          <w:szCs w:val="22"/>
        </w:rPr>
        <w:t>SMPs από τον ESM, τα οποία εντάσσονται κατ’ έτος στον προϋπολογισμό αφού εισπραχθούν</w:t>
      </w:r>
      <w:r w:rsidR="00133594">
        <w:rPr>
          <w:bCs/>
          <w:sz w:val="22"/>
          <w:szCs w:val="22"/>
        </w:rPr>
        <w:t>.</w:t>
      </w:r>
      <w:r w:rsidR="00133594" w:rsidRPr="00DE00FB">
        <w:rPr>
          <w:bCs/>
          <w:sz w:val="22"/>
          <w:szCs w:val="22"/>
        </w:rPr>
        <w:t xml:space="preserve"> </w:t>
      </w:r>
    </w:p>
    <w:p w:rsidR="00133594" w:rsidRPr="00A07AF3" w:rsidRDefault="00133594" w:rsidP="00133594">
      <w:pPr>
        <w:jc w:val="both"/>
        <w:rPr>
          <w:bCs/>
          <w:sz w:val="22"/>
          <w:szCs w:val="22"/>
        </w:rPr>
      </w:pPr>
    </w:p>
    <w:p w:rsidR="00133594" w:rsidRPr="00A07AF3" w:rsidRDefault="00133594" w:rsidP="00133594">
      <w:pPr>
        <w:jc w:val="both"/>
        <w:rPr>
          <w:rFonts w:ascii="Arial Narrow" w:hAnsi="Arial Narrow"/>
          <w:b/>
          <w:bCs/>
          <w:i/>
          <w:sz w:val="22"/>
          <w:szCs w:val="22"/>
        </w:rPr>
      </w:pPr>
      <w:r w:rsidRPr="00A07AF3">
        <w:rPr>
          <w:rFonts w:ascii="Arial Narrow" w:hAnsi="Arial Narrow"/>
          <w:b/>
          <w:bCs/>
          <w:i/>
          <w:sz w:val="22"/>
          <w:szCs w:val="22"/>
        </w:rPr>
        <w:t>Πωλήσεις αγαθών και υπηρεσιών</w:t>
      </w:r>
    </w:p>
    <w:p w:rsidR="00133594" w:rsidRPr="00A07AF3" w:rsidRDefault="00133594" w:rsidP="00133594">
      <w:pPr>
        <w:jc w:val="both"/>
        <w:rPr>
          <w:bCs/>
          <w:sz w:val="22"/>
          <w:szCs w:val="22"/>
        </w:rPr>
      </w:pPr>
    </w:p>
    <w:p w:rsidR="00133594" w:rsidRPr="00A07AF3" w:rsidRDefault="00133594" w:rsidP="00133594">
      <w:pPr>
        <w:jc w:val="both"/>
        <w:rPr>
          <w:bCs/>
          <w:sz w:val="22"/>
          <w:szCs w:val="22"/>
        </w:rPr>
      </w:pPr>
      <w:r>
        <w:rPr>
          <w:bCs/>
          <w:sz w:val="22"/>
          <w:szCs w:val="22"/>
        </w:rPr>
        <w:t>Από τις πωλήσεις αγαθών και</w:t>
      </w:r>
      <w:r w:rsidRPr="00A07AF3">
        <w:rPr>
          <w:bCs/>
          <w:sz w:val="22"/>
          <w:szCs w:val="22"/>
        </w:rPr>
        <w:t xml:space="preserve"> υπηρεσιών προβλέπεται να εισπραχ</w:t>
      </w:r>
      <w:r>
        <w:rPr>
          <w:bCs/>
          <w:sz w:val="22"/>
          <w:szCs w:val="22"/>
        </w:rPr>
        <w:t>θούν έσοδα ύψους 656 εκατ. ευρώ,</w:t>
      </w:r>
      <w:r w:rsidRPr="00A07AF3">
        <w:rPr>
          <w:bCs/>
          <w:sz w:val="22"/>
          <w:szCs w:val="22"/>
        </w:rPr>
        <w:t xml:space="preserve"> </w:t>
      </w:r>
      <w:r>
        <w:rPr>
          <w:bCs/>
          <w:sz w:val="22"/>
          <w:szCs w:val="22"/>
        </w:rPr>
        <w:t xml:space="preserve">αυξημένα κατά 86 εκατ. ευρώ </w:t>
      </w:r>
      <w:r w:rsidRPr="00EE3A38">
        <w:rPr>
          <w:sz w:val="22"/>
          <w:szCs w:val="22"/>
        </w:rPr>
        <w:t>έναντι των εκτιμήσεων του 20</w:t>
      </w:r>
      <w:r>
        <w:rPr>
          <w:sz w:val="22"/>
          <w:szCs w:val="22"/>
        </w:rPr>
        <w:t>20</w:t>
      </w:r>
      <w:r w:rsidRPr="00A07AF3">
        <w:rPr>
          <w:bCs/>
          <w:sz w:val="22"/>
          <w:szCs w:val="22"/>
        </w:rPr>
        <w:t xml:space="preserve">. </w:t>
      </w:r>
    </w:p>
    <w:p w:rsidR="00133594" w:rsidRPr="00A07AF3" w:rsidRDefault="00133594" w:rsidP="00133594">
      <w:pPr>
        <w:jc w:val="both"/>
        <w:rPr>
          <w:bCs/>
          <w:sz w:val="22"/>
          <w:szCs w:val="22"/>
        </w:rPr>
      </w:pPr>
    </w:p>
    <w:p w:rsidR="00133594" w:rsidRPr="00A07AF3" w:rsidRDefault="00133594" w:rsidP="00133594">
      <w:pPr>
        <w:jc w:val="both"/>
        <w:rPr>
          <w:rFonts w:ascii="Arial Narrow" w:hAnsi="Arial Narrow"/>
          <w:b/>
          <w:bCs/>
          <w:i/>
          <w:sz w:val="22"/>
          <w:szCs w:val="22"/>
        </w:rPr>
      </w:pPr>
      <w:r w:rsidRPr="00A07AF3">
        <w:rPr>
          <w:rFonts w:ascii="Arial Narrow" w:hAnsi="Arial Narrow"/>
          <w:b/>
          <w:bCs/>
          <w:i/>
          <w:sz w:val="22"/>
          <w:szCs w:val="22"/>
        </w:rPr>
        <w:t>Λοιπά τρέχοντα έσοδα</w:t>
      </w:r>
    </w:p>
    <w:p w:rsidR="00133594" w:rsidRPr="00A07AF3" w:rsidRDefault="00133594" w:rsidP="00133594">
      <w:pPr>
        <w:jc w:val="both"/>
        <w:rPr>
          <w:bCs/>
          <w:sz w:val="22"/>
          <w:szCs w:val="22"/>
        </w:rPr>
      </w:pPr>
    </w:p>
    <w:p w:rsidR="00133594" w:rsidRPr="00A07AF3" w:rsidRDefault="00133594" w:rsidP="00133594">
      <w:pPr>
        <w:contextualSpacing/>
        <w:jc w:val="both"/>
        <w:rPr>
          <w:bCs/>
          <w:sz w:val="22"/>
          <w:szCs w:val="22"/>
        </w:rPr>
      </w:pPr>
      <w:r w:rsidRPr="00A07AF3">
        <w:rPr>
          <w:bCs/>
          <w:sz w:val="22"/>
          <w:szCs w:val="22"/>
        </w:rPr>
        <w:t xml:space="preserve">Τα λοιπά τρέχοντα έσοδα προβλέπεται να διαμορφωθούν στα </w:t>
      </w:r>
      <w:r>
        <w:rPr>
          <w:bCs/>
          <w:sz w:val="22"/>
          <w:szCs w:val="22"/>
        </w:rPr>
        <w:t>2.007</w:t>
      </w:r>
      <w:r w:rsidRPr="00A07AF3">
        <w:rPr>
          <w:bCs/>
          <w:sz w:val="22"/>
          <w:szCs w:val="22"/>
        </w:rPr>
        <w:t xml:space="preserve"> εκατ. ευρώ, </w:t>
      </w:r>
      <w:r>
        <w:rPr>
          <w:bCs/>
          <w:sz w:val="22"/>
          <w:szCs w:val="22"/>
        </w:rPr>
        <w:t xml:space="preserve">μειωμένα κατά 712 εκατ. ευρώ </w:t>
      </w:r>
      <w:r w:rsidRPr="00EE3A38">
        <w:rPr>
          <w:sz w:val="22"/>
          <w:szCs w:val="22"/>
        </w:rPr>
        <w:t>έναντι των εκτιμήσεων του 20</w:t>
      </w:r>
      <w:r>
        <w:rPr>
          <w:sz w:val="22"/>
          <w:szCs w:val="22"/>
        </w:rPr>
        <w:t xml:space="preserve">20, </w:t>
      </w:r>
      <w:r w:rsidR="00FE24A8">
        <w:rPr>
          <w:sz w:val="22"/>
          <w:szCs w:val="22"/>
        </w:rPr>
        <w:t xml:space="preserve">κυρίως </w:t>
      </w:r>
      <w:r w:rsidRPr="00DE00FB">
        <w:rPr>
          <w:bCs/>
          <w:sz w:val="22"/>
          <w:szCs w:val="22"/>
        </w:rPr>
        <w:t>λόγω πρόβλεψης μειωμένων εσόδων από μερ</w:t>
      </w:r>
      <w:r w:rsidRPr="00DE00FB">
        <w:rPr>
          <w:bCs/>
          <w:sz w:val="22"/>
          <w:szCs w:val="22"/>
        </w:rPr>
        <w:t>ί</w:t>
      </w:r>
      <w:r w:rsidRPr="00DE00FB">
        <w:rPr>
          <w:bCs/>
          <w:sz w:val="22"/>
          <w:szCs w:val="22"/>
        </w:rPr>
        <w:t>σματα</w:t>
      </w:r>
      <w:r>
        <w:rPr>
          <w:bCs/>
          <w:sz w:val="22"/>
          <w:szCs w:val="22"/>
        </w:rPr>
        <w:t xml:space="preserve"> κατά 227 εκατ. ευρώ</w:t>
      </w:r>
      <w:r w:rsidRPr="00DE00FB">
        <w:rPr>
          <w:bCs/>
          <w:sz w:val="22"/>
          <w:szCs w:val="22"/>
        </w:rPr>
        <w:t xml:space="preserve">, </w:t>
      </w:r>
      <w:r>
        <w:rPr>
          <w:bCs/>
          <w:sz w:val="22"/>
          <w:szCs w:val="22"/>
        </w:rPr>
        <w:t>καθώς και μειωμένων εσόδων</w:t>
      </w:r>
      <w:r w:rsidRPr="00DE00FB">
        <w:rPr>
          <w:bCs/>
          <w:sz w:val="22"/>
          <w:szCs w:val="22"/>
        </w:rPr>
        <w:t xml:space="preserve"> </w:t>
      </w:r>
      <w:r>
        <w:rPr>
          <w:bCs/>
          <w:sz w:val="22"/>
          <w:szCs w:val="22"/>
        </w:rPr>
        <w:t xml:space="preserve">στο εθνικό σκέλος του ΠΔΕ κατά 450 </w:t>
      </w:r>
      <w:r>
        <w:rPr>
          <w:bCs/>
          <w:sz w:val="22"/>
          <w:szCs w:val="22"/>
        </w:rPr>
        <w:t>ε</w:t>
      </w:r>
      <w:r>
        <w:rPr>
          <w:bCs/>
          <w:sz w:val="22"/>
          <w:szCs w:val="22"/>
        </w:rPr>
        <w:t>κατ. ευρώ</w:t>
      </w:r>
      <w:r w:rsidRPr="00DB7E5B">
        <w:rPr>
          <w:bCs/>
          <w:sz w:val="22"/>
          <w:szCs w:val="22"/>
        </w:rPr>
        <w:t>.</w:t>
      </w:r>
      <w:r w:rsidRPr="00A07AF3">
        <w:rPr>
          <w:bCs/>
          <w:sz w:val="22"/>
          <w:szCs w:val="22"/>
        </w:rPr>
        <w:t xml:space="preserve"> </w:t>
      </w:r>
    </w:p>
    <w:p w:rsidR="00133594" w:rsidRPr="00A07AF3" w:rsidRDefault="00133594" w:rsidP="00133594">
      <w:pPr>
        <w:jc w:val="both"/>
        <w:rPr>
          <w:bCs/>
          <w:sz w:val="22"/>
          <w:szCs w:val="22"/>
        </w:rPr>
      </w:pPr>
    </w:p>
    <w:p w:rsidR="00133594" w:rsidRPr="00A07AF3" w:rsidRDefault="00133594" w:rsidP="00133594">
      <w:pPr>
        <w:jc w:val="both"/>
        <w:rPr>
          <w:rFonts w:ascii="Arial Narrow" w:hAnsi="Arial Narrow"/>
          <w:b/>
          <w:bCs/>
          <w:i/>
          <w:sz w:val="22"/>
          <w:szCs w:val="22"/>
        </w:rPr>
      </w:pPr>
      <w:r>
        <w:rPr>
          <w:rFonts w:ascii="Arial Narrow" w:hAnsi="Arial Narrow"/>
          <w:b/>
          <w:bCs/>
          <w:i/>
          <w:sz w:val="22"/>
          <w:szCs w:val="22"/>
        </w:rPr>
        <w:t>Πωλήσεις παγίων περιουσιακών στοιχείων</w:t>
      </w:r>
    </w:p>
    <w:p w:rsidR="00133594" w:rsidRPr="00A07AF3" w:rsidRDefault="00133594" w:rsidP="00133594">
      <w:pPr>
        <w:jc w:val="both"/>
        <w:rPr>
          <w:bCs/>
          <w:sz w:val="22"/>
          <w:szCs w:val="22"/>
        </w:rPr>
      </w:pPr>
    </w:p>
    <w:p w:rsidR="00133594" w:rsidRDefault="00133594" w:rsidP="00133594">
      <w:pPr>
        <w:jc w:val="both"/>
        <w:rPr>
          <w:bCs/>
          <w:sz w:val="22"/>
          <w:szCs w:val="22"/>
        </w:rPr>
      </w:pPr>
      <w:r w:rsidRPr="00A07AF3">
        <w:rPr>
          <w:bCs/>
          <w:sz w:val="22"/>
          <w:szCs w:val="22"/>
        </w:rPr>
        <w:t xml:space="preserve">Προβλέπονται έσοδα </w:t>
      </w:r>
      <w:r>
        <w:rPr>
          <w:bCs/>
          <w:sz w:val="22"/>
          <w:szCs w:val="22"/>
        </w:rPr>
        <w:t>330</w:t>
      </w:r>
      <w:r w:rsidRPr="00A07AF3">
        <w:rPr>
          <w:bCs/>
          <w:sz w:val="22"/>
          <w:szCs w:val="22"/>
        </w:rPr>
        <w:t xml:space="preserve"> εκατ. ευρώ </w:t>
      </w:r>
      <w:r>
        <w:rPr>
          <w:bCs/>
          <w:sz w:val="22"/>
          <w:szCs w:val="22"/>
        </w:rPr>
        <w:t>αυξη</w:t>
      </w:r>
      <w:r w:rsidRPr="00A07AF3">
        <w:rPr>
          <w:bCs/>
          <w:sz w:val="22"/>
          <w:szCs w:val="22"/>
        </w:rPr>
        <w:t xml:space="preserve">μένα κατά </w:t>
      </w:r>
      <w:r>
        <w:rPr>
          <w:bCs/>
          <w:sz w:val="22"/>
          <w:szCs w:val="22"/>
        </w:rPr>
        <w:t>305</w:t>
      </w:r>
      <w:r w:rsidRPr="00A07AF3">
        <w:rPr>
          <w:bCs/>
          <w:sz w:val="22"/>
          <w:szCs w:val="22"/>
        </w:rPr>
        <w:t xml:space="preserve"> εκατ. ευρώ </w:t>
      </w:r>
      <w:r w:rsidRPr="00EE3A38">
        <w:rPr>
          <w:sz w:val="22"/>
          <w:szCs w:val="22"/>
        </w:rPr>
        <w:t>έναντι των εκτιμήσεων του 20</w:t>
      </w:r>
      <w:r>
        <w:rPr>
          <w:sz w:val="22"/>
          <w:szCs w:val="22"/>
        </w:rPr>
        <w:t>20</w:t>
      </w:r>
      <w:r>
        <w:rPr>
          <w:bCs/>
          <w:sz w:val="22"/>
          <w:szCs w:val="22"/>
        </w:rPr>
        <w:t>, κυρίως λόγω της είσπραξης το έτος 2021 αντί για το 2020 του αντιτίμου από την αξιοποίηση</w:t>
      </w:r>
      <w:r w:rsidRPr="00A07AF3">
        <w:rPr>
          <w:bCs/>
          <w:sz w:val="22"/>
          <w:szCs w:val="22"/>
        </w:rPr>
        <w:t xml:space="preserve"> της έκτασης του </w:t>
      </w:r>
      <w:r>
        <w:rPr>
          <w:bCs/>
          <w:sz w:val="22"/>
          <w:szCs w:val="22"/>
        </w:rPr>
        <w:t>πρώην Διεθνούς Αεροδρομίου του Ελληνικού.</w:t>
      </w:r>
    </w:p>
    <w:p w:rsidR="00191466" w:rsidRDefault="00191466" w:rsidP="00133594">
      <w:pPr>
        <w:jc w:val="both"/>
        <w:rPr>
          <w:bCs/>
          <w:sz w:val="22"/>
          <w:szCs w:val="22"/>
        </w:rPr>
      </w:pPr>
    </w:p>
    <w:p w:rsidR="009930A8" w:rsidRDefault="009930A8" w:rsidP="00133594">
      <w:pPr>
        <w:jc w:val="both"/>
        <w:rPr>
          <w:bCs/>
          <w:sz w:val="22"/>
          <w:szCs w:val="22"/>
        </w:rPr>
      </w:pPr>
    </w:p>
    <w:p w:rsidR="009930A8" w:rsidRDefault="009930A8" w:rsidP="00133594">
      <w:pPr>
        <w:jc w:val="both"/>
        <w:rPr>
          <w:bCs/>
          <w:sz w:val="22"/>
          <w:szCs w:val="22"/>
        </w:rPr>
      </w:pPr>
    </w:p>
    <w:p w:rsidR="009930A8" w:rsidRPr="00A07AF3" w:rsidRDefault="009930A8" w:rsidP="00133594">
      <w:pPr>
        <w:jc w:val="both"/>
        <w:rPr>
          <w:bCs/>
          <w:sz w:val="22"/>
          <w:szCs w:val="22"/>
        </w:rPr>
      </w:pPr>
    </w:p>
    <w:p w:rsidR="00133594" w:rsidRPr="00A07AF3" w:rsidRDefault="00133594" w:rsidP="00133594">
      <w:pPr>
        <w:jc w:val="both"/>
        <w:rPr>
          <w:rFonts w:ascii="Arial Narrow" w:hAnsi="Arial Narrow"/>
          <w:b/>
          <w:bCs/>
          <w:i/>
          <w:sz w:val="22"/>
          <w:szCs w:val="22"/>
        </w:rPr>
      </w:pPr>
      <w:r w:rsidRPr="00A07AF3">
        <w:rPr>
          <w:rFonts w:ascii="Arial Narrow" w:hAnsi="Arial Narrow"/>
          <w:b/>
          <w:bCs/>
          <w:i/>
          <w:sz w:val="22"/>
          <w:szCs w:val="22"/>
        </w:rPr>
        <w:t xml:space="preserve">Επιστροφές </w:t>
      </w:r>
      <w:r w:rsidR="00FE24A8">
        <w:rPr>
          <w:rFonts w:ascii="Arial Narrow" w:hAnsi="Arial Narrow"/>
          <w:b/>
          <w:bCs/>
          <w:i/>
          <w:sz w:val="22"/>
          <w:szCs w:val="22"/>
        </w:rPr>
        <w:t>εσόδων</w:t>
      </w:r>
    </w:p>
    <w:p w:rsidR="00133594" w:rsidRPr="00A07AF3" w:rsidRDefault="00133594" w:rsidP="00133594">
      <w:pPr>
        <w:jc w:val="both"/>
        <w:rPr>
          <w:bCs/>
          <w:sz w:val="22"/>
          <w:szCs w:val="22"/>
        </w:rPr>
      </w:pPr>
    </w:p>
    <w:p w:rsidR="00133594" w:rsidRDefault="00133594" w:rsidP="00133594">
      <w:pPr>
        <w:jc w:val="both"/>
        <w:rPr>
          <w:sz w:val="22"/>
          <w:szCs w:val="22"/>
        </w:rPr>
      </w:pPr>
      <w:r w:rsidRPr="00A07AF3">
        <w:rPr>
          <w:bCs/>
          <w:sz w:val="22"/>
          <w:szCs w:val="22"/>
        </w:rPr>
        <w:t xml:space="preserve">Οι επιστροφές αχρεωστήτως εισπραχθέντων εσόδων προβλέπεται να διαμορφωθούν στα </w:t>
      </w:r>
      <w:r>
        <w:rPr>
          <w:bCs/>
          <w:sz w:val="22"/>
          <w:szCs w:val="22"/>
        </w:rPr>
        <w:t>5.256</w:t>
      </w:r>
      <w:r w:rsidRPr="00A07AF3">
        <w:rPr>
          <w:bCs/>
          <w:sz w:val="22"/>
          <w:szCs w:val="22"/>
        </w:rPr>
        <w:t xml:space="preserve"> εκατ. ευρώ, </w:t>
      </w:r>
      <w:r>
        <w:rPr>
          <w:bCs/>
          <w:sz w:val="22"/>
          <w:szCs w:val="22"/>
        </w:rPr>
        <w:t>μειω</w:t>
      </w:r>
      <w:r w:rsidRPr="00A07AF3">
        <w:rPr>
          <w:bCs/>
          <w:sz w:val="22"/>
          <w:szCs w:val="22"/>
        </w:rPr>
        <w:t xml:space="preserve">μένες κατά </w:t>
      </w:r>
      <w:r>
        <w:rPr>
          <w:bCs/>
          <w:sz w:val="22"/>
          <w:szCs w:val="22"/>
        </w:rPr>
        <w:t>104</w:t>
      </w:r>
      <w:r w:rsidRPr="00A07AF3">
        <w:rPr>
          <w:bCs/>
          <w:sz w:val="22"/>
          <w:szCs w:val="22"/>
        </w:rPr>
        <w:t xml:space="preserve"> εκατ. ευρώ ή </w:t>
      </w:r>
      <w:r>
        <w:rPr>
          <w:bCs/>
          <w:sz w:val="22"/>
          <w:szCs w:val="22"/>
        </w:rPr>
        <w:t>1,9</w:t>
      </w:r>
      <w:r w:rsidRPr="00A07AF3">
        <w:rPr>
          <w:bCs/>
          <w:sz w:val="22"/>
          <w:szCs w:val="22"/>
        </w:rPr>
        <w:t>%</w:t>
      </w:r>
      <w:r>
        <w:rPr>
          <w:bCs/>
          <w:sz w:val="22"/>
          <w:szCs w:val="22"/>
        </w:rPr>
        <w:t>,</w:t>
      </w:r>
      <w:r w:rsidRPr="00A07AF3">
        <w:rPr>
          <w:bCs/>
          <w:sz w:val="22"/>
          <w:szCs w:val="22"/>
        </w:rPr>
        <w:t xml:space="preserve"> έναντι</w:t>
      </w:r>
      <w:r w:rsidRPr="00EE3A38">
        <w:rPr>
          <w:sz w:val="22"/>
          <w:szCs w:val="22"/>
        </w:rPr>
        <w:t xml:space="preserve"> των εκτιμήσεων του 20</w:t>
      </w:r>
      <w:r>
        <w:rPr>
          <w:sz w:val="22"/>
          <w:szCs w:val="22"/>
        </w:rPr>
        <w:t>20.</w:t>
      </w:r>
    </w:p>
    <w:p w:rsidR="000E1D0C" w:rsidRDefault="000E1D0C" w:rsidP="00133594">
      <w:pPr>
        <w:jc w:val="both"/>
        <w:rPr>
          <w:bCs/>
          <w:sz w:val="22"/>
          <w:szCs w:val="22"/>
        </w:rPr>
      </w:pPr>
    </w:p>
    <w:p w:rsidR="00133594" w:rsidRPr="00A07AF3" w:rsidRDefault="00133594" w:rsidP="00133594">
      <w:pPr>
        <w:jc w:val="both"/>
        <w:rPr>
          <w:rFonts w:ascii="Arial Narrow" w:hAnsi="Arial Narrow"/>
          <w:b/>
          <w:bCs/>
          <w:i/>
          <w:sz w:val="22"/>
          <w:szCs w:val="22"/>
        </w:rPr>
      </w:pPr>
      <w:r w:rsidRPr="00A07AF3">
        <w:rPr>
          <w:rFonts w:ascii="Arial Narrow" w:hAnsi="Arial Narrow"/>
          <w:b/>
          <w:bCs/>
          <w:i/>
          <w:sz w:val="22"/>
          <w:szCs w:val="22"/>
        </w:rPr>
        <w:t>Έσοδα Προγράμματος Δημοσίων Επενδύσεων</w:t>
      </w:r>
    </w:p>
    <w:p w:rsidR="00133594" w:rsidRPr="00A07AF3" w:rsidRDefault="00133594" w:rsidP="00133594">
      <w:pPr>
        <w:jc w:val="both"/>
        <w:rPr>
          <w:bCs/>
          <w:sz w:val="22"/>
          <w:szCs w:val="22"/>
        </w:rPr>
      </w:pPr>
    </w:p>
    <w:p w:rsidR="00133594" w:rsidRDefault="00133594" w:rsidP="00133594">
      <w:pPr>
        <w:jc w:val="both"/>
        <w:rPr>
          <w:bCs/>
          <w:sz w:val="22"/>
          <w:szCs w:val="22"/>
        </w:rPr>
      </w:pPr>
      <w:r w:rsidRPr="00A07AF3">
        <w:rPr>
          <w:bCs/>
          <w:sz w:val="22"/>
          <w:szCs w:val="22"/>
        </w:rPr>
        <w:t xml:space="preserve">Τα έσοδα του ΠΔΕ σε </w:t>
      </w:r>
      <w:r>
        <w:rPr>
          <w:bCs/>
          <w:sz w:val="22"/>
          <w:szCs w:val="22"/>
        </w:rPr>
        <w:t>δημοσιονομική βάση προβλέπεται να ανέλθουν σε 4.092 εκατ. ευρώ, μειωμένα κατά 2.138 εκατ. ευρώ</w:t>
      </w:r>
      <w:r w:rsidR="00760502">
        <w:rPr>
          <w:bCs/>
          <w:sz w:val="22"/>
          <w:szCs w:val="22"/>
        </w:rPr>
        <w:t>,</w:t>
      </w:r>
      <w:r>
        <w:rPr>
          <w:bCs/>
          <w:sz w:val="22"/>
          <w:szCs w:val="22"/>
        </w:rPr>
        <w:t xml:space="preserve"> </w:t>
      </w:r>
      <w:r w:rsidRPr="00EE3A38">
        <w:rPr>
          <w:sz w:val="22"/>
          <w:szCs w:val="22"/>
        </w:rPr>
        <w:t>έναντι των εκτιμήσεων του 20</w:t>
      </w:r>
      <w:r>
        <w:rPr>
          <w:sz w:val="22"/>
          <w:szCs w:val="22"/>
        </w:rPr>
        <w:t xml:space="preserve">20. Σε </w:t>
      </w:r>
      <w:r>
        <w:rPr>
          <w:bCs/>
          <w:sz w:val="22"/>
          <w:szCs w:val="22"/>
        </w:rPr>
        <w:t>ταμειακή βάση προβλέπον</w:t>
      </w:r>
      <w:r w:rsidRPr="00A07AF3">
        <w:rPr>
          <w:bCs/>
          <w:sz w:val="22"/>
          <w:szCs w:val="22"/>
        </w:rPr>
        <w:t xml:space="preserve">ται στο ποσό των </w:t>
      </w:r>
      <w:r>
        <w:rPr>
          <w:bCs/>
          <w:sz w:val="22"/>
          <w:szCs w:val="22"/>
        </w:rPr>
        <w:t>4.192</w:t>
      </w:r>
      <w:r w:rsidRPr="00A07AF3">
        <w:rPr>
          <w:bCs/>
          <w:sz w:val="22"/>
          <w:szCs w:val="22"/>
        </w:rPr>
        <w:t xml:space="preserve"> εκατ. </w:t>
      </w:r>
      <w:r>
        <w:rPr>
          <w:bCs/>
          <w:sz w:val="22"/>
          <w:szCs w:val="22"/>
        </w:rPr>
        <w:t>ευρώ, μειωμένα κατά 1.274</w:t>
      </w:r>
      <w:r w:rsidRPr="00A07AF3">
        <w:rPr>
          <w:bCs/>
          <w:sz w:val="22"/>
          <w:szCs w:val="22"/>
        </w:rPr>
        <w:t xml:space="preserve"> εκατ. ευρώ</w:t>
      </w:r>
      <w:r w:rsidR="00760502">
        <w:rPr>
          <w:bCs/>
          <w:sz w:val="22"/>
          <w:szCs w:val="22"/>
        </w:rPr>
        <w:t>,</w:t>
      </w:r>
      <w:r w:rsidRPr="00A07AF3">
        <w:rPr>
          <w:bCs/>
          <w:sz w:val="22"/>
          <w:szCs w:val="22"/>
        </w:rPr>
        <w:t xml:space="preserve"> </w:t>
      </w:r>
      <w:r w:rsidRPr="00EE3A38">
        <w:rPr>
          <w:sz w:val="22"/>
          <w:szCs w:val="22"/>
        </w:rPr>
        <w:t>έναντι των εκτιμήσεων του 20</w:t>
      </w:r>
      <w:r>
        <w:rPr>
          <w:sz w:val="22"/>
          <w:szCs w:val="22"/>
        </w:rPr>
        <w:t>20</w:t>
      </w:r>
      <w:r>
        <w:rPr>
          <w:bCs/>
          <w:sz w:val="22"/>
          <w:szCs w:val="22"/>
        </w:rPr>
        <w:t>.</w:t>
      </w:r>
    </w:p>
    <w:p w:rsidR="00133594" w:rsidRPr="00A07AF3" w:rsidRDefault="00133594" w:rsidP="00133594">
      <w:pPr>
        <w:jc w:val="both"/>
        <w:rPr>
          <w:bCs/>
          <w:sz w:val="22"/>
          <w:szCs w:val="22"/>
        </w:rPr>
      </w:pPr>
    </w:p>
    <w:p w:rsidR="00133594" w:rsidRPr="00A07AF3" w:rsidRDefault="00C52A2F" w:rsidP="00133594">
      <w:pPr>
        <w:jc w:val="both"/>
        <w:rPr>
          <w:bCs/>
          <w:sz w:val="22"/>
          <w:szCs w:val="22"/>
        </w:rPr>
      </w:pPr>
      <w:r>
        <w:rPr>
          <w:bCs/>
          <w:sz w:val="22"/>
          <w:szCs w:val="22"/>
        </w:rPr>
        <w:t>Βασική πηγή εσόδων για τη</w:t>
      </w:r>
      <w:r w:rsidR="00133594" w:rsidRPr="00A07AF3">
        <w:rPr>
          <w:bCs/>
          <w:sz w:val="22"/>
          <w:szCs w:val="22"/>
        </w:rPr>
        <w:t xml:space="preserve"> χρηματοδότηση των έργων του ΠΔΕ αποτελούν οι εισροές από την Ε</w:t>
      </w:r>
      <w:r w:rsidR="00133594" w:rsidRPr="00A07AF3">
        <w:rPr>
          <w:bCs/>
          <w:sz w:val="22"/>
          <w:szCs w:val="22"/>
        </w:rPr>
        <w:t>υ</w:t>
      </w:r>
      <w:r w:rsidR="00133594" w:rsidRPr="00A07AF3">
        <w:rPr>
          <w:bCs/>
          <w:sz w:val="22"/>
          <w:szCs w:val="22"/>
        </w:rPr>
        <w:t>ρωπαϊκή Ένωση και ειδικότερα από το Ευρωπαϊκό Ταμείο Περιφερειακής Ανάπτυξης (ΕΤΠΑ), το Ευρωπαϊκό Γεωργικό Ταμείο Εγγυήσεων (ΕΓΤΕ), το Ευρωπαϊκό Κοινωνικό Ταμείο (ΕΚΤ), το Ταμείο Συνοχής, το Ευρωπαϊκό Γεωργικό Ταμείο Αγροτικής Ανάπτυξης (ΕΓΤΑΑ), το Ευρωπαϊκό Ταμείο Θάλασσας και Αλιείας</w:t>
      </w:r>
      <w:r w:rsidR="00133594">
        <w:rPr>
          <w:bCs/>
          <w:sz w:val="22"/>
          <w:szCs w:val="22"/>
        </w:rPr>
        <w:t xml:space="preserve"> (ΕΤΘΑ)</w:t>
      </w:r>
      <w:r w:rsidR="00133594" w:rsidRPr="00A07AF3">
        <w:rPr>
          <w:bCs/>
          <w:sz w:val="22"/>
          <w:szCs w:val="22"/>
        </w:rPr>
        <w:t>, καθώς και τα ταμεία για τη μετανάστευση.</w:t>
      </w:r>
    </w:p>
    <w:p w:rsidR="00133594" w:rsidRPr="00A07AF3" w:rsidRDefault="00133594" w:rsidP="00133594">
      <w:pPr>
        <w:jc w:val="both"/>
        <w:rPr>
          <w:bCs/>
          <w:sz w:val="22"/>
          <w:szCs w:val="22"/>
        </w:rPr>
      </w:pPr>
    </w:p>
    <w:p w:rsidR="00133594" w:rsidRDefault="00133594" w:rsidP="00133594">
      <w:pPr>
        <w:jc w:val="both"/>
        <w:rPr>
          <w:bCs/>
          <w:sz w:val="22"/>
          <w:szCs w:val="22"/>
        </w:rPr>
      </w:pPr>
      <w:r>
        <w:rPr>
          <w:bCs/>
          <w:sz w:val="22"/>
          <w:szCs w:val="22"/>
        </w:rPr>
        <w:t>Τα έσοδα</w:t>
      </w:r>
      <w:r w:rsidRPr="00A07AF3">
        <w:rPr>
          <w:bCs/>
          <w:sz w:val="22"/>
          <w:szCs w:val="22"/>
        </w:rPr>
        <w:t xml:space="preserve"> του ΠΔΕ κατά ταμείο για τα έτη 20</w:t>
      </w:r>
      <w:r>
        <w:rPr>
          <w:bCs/>
          <w:sz w:val="22"/>
          <w:szCs w:val="22"/>
        </w:rPr>
        <w:t>19, 2020 και 2021</w:t>
      </w:r>
      <w:r w:rsidRPr="00A07AF3">
        <w:rPr>
          <w:bCs/>
          <w:sz w:val="22"/>
          <w:szCs w:val="22"/>
        </w:rPr>
        <w:t xml:space="preserve"> με τα αντίστοιχα ποσά παρουσιάζ</w:t>
      </w:r>
      <w:r w:rsidRPr="00A07AF3">
        <w:rPr>
          <w:bCs/>
          <w:sz w:val="22"/>
          <w:szCs w:val="22"/>
        </w:rPr>
        <w:t>ο</w:t>
      </w:r>
      <w:r w:rsidRPr="00A07AF3">
        <w:rPr>
          <w:bCs/>
          <w:sz w:val="22"/>
          <w:szCs w:val="22"/>
        </w:rPr>
        <w:t xml:space="preserve">νται στον </w:t>
      </w:r>
      <w:r w:rsidRPr="00456420">
        <w:rPr>
          <w:bCs/>
          <w:sz w:val="22"/>
          <w:szCs w:val="22"/>
        </w:rPr>
        <w:t xml:space="preserve">πίνακα </w:t>
      </w:r>
      <w:r w:rsidR="009930A8">
        <w:rPr>
          <w:bCs/>
          <w:sz w:val="22"/>
          <w:szCs w:val="22"/>
        </w:rPr>
        <w:t>3.7</w:t>
      </w:r>
    </w:p>
    <w:p w:rsidR="00133594" w:rsidRPr="00A07AF3" w:rsidRDefault="00133594" w:rsidP="00133594">
      <w:pPr>
        <w:jc w:val="both"/>
        <w:rPr>
          <w:bCs/>
          <w:sz w:val="22"/>
          <w:szCs w:val="22"/>
        </w:rPr>
      </w:pPr>
    </w:p>
    <w:tbl>
      <w:tblPr>
        <w:tblW w:w="7905" w:type="dxa"/>
        <w:jc w:val="center"/>
        <w:tblBorders>
          <w:top w:val="single" w:sz="6" w:space="0" w:color="auto"/>
          <w:left w:val="single" w:sz="6" w:space="0" w:color="auto"/>
          <w:bottom w:val="single" w:sz="6" w:space="0" w:color="auto"/>
          <w:right w:val="single" w:sz="6" w:space="0" w:color="auto"/>
        </w:tblBorders>
        <w:tblLook w:val="04A0"/>
      </w:tblPr>
      <w:tblGrid>
        <w:gridCol w:w="3976"/>
        <w:gridCol w:w="1346"/>
        <w:gridCol w:w="1307"/>
        <w:gridCol w:w="1276"/>
      </w:tblGrid>
      <w:tr w:rsidR="00133594" w:rsidRPr="00AE1E60" w:rsidTr="0054537C">
        <w:trPr>
          <w:trHeight w:val="675"/>
          <w:jc w:val="center"/>
        </w:trPr>
        <w:tc>
          <w:tcPr>
            <w:tcW w:w="7905" w:type="dxa"/>
            <w:gridSpan w:val="4"/>
            <w:tcBorders>
              <w:right w:val="single" w:sz="6" w:space="0" w:color="auto"/>
            </w:tcBorders>
            <w:shd w:val="clear" w:color="000000" w:fill="404040"/>
            <w:vAlign w:val="bottom"/>
            <w:hideMark/>
          </w:tcPr>
          <w:p w:rsidR="00133594" w:rsidRPr="00AE1E60" w:rsidRDefault="00133594" w:rsidP="0054537C">
            <w:pPr>
              <w:jc w:val="center"/>
              <w:rPr>
                <w:rFonts w:ascii="Arial Narrow" w:hAnsi="Arial Narrow"/>
                <w:b/>
                <w:bCs/>
                <w:color w:val="FFFFFF"/>
              </w:rPr>
            </w:pPr>
            <w:r w:rsidRPr="00AE1E60">
              <w:rPr>
                <w:rFonts w:ascii="Arial Narrow" w:hAnsi="Arial Narrow"/>
                <w:b/>
                <w:bCs/>
                <w:color w:val="FFFFFF"/>
                <w:szCs w:val="22"/>
              </w:rPr>
              <w:t xml:space="preserve">Πίνακας </w:t>
            </w:r>
            <w:r w:rsidR="009930A8">
              <w:rPr>
                <w:rFonts w:ascii="Arial Narrow" w:hAnsi="Arial Narrow"/>
                <w:b/>
                <w:bCs/>
                <w:color w:val="FFFFFF"/>
                <w:szCs w:val="22"/>
              </w:rPr>
              <w:t xml:space="preserve">3.7  </w:t>
            </w:r>
            <w:r>
              <w:rPr>
                <w:rFonts w:ascii="Arial Narrow" w:hAnsi="Arial Narrow"/>
                <w:b/>
                <w:bCs/>
                <w:color w:val="FFFFFF"/>
                <w:szCs w:val="22"/>
              </w:rPr>
              <w:t xml:space="preserve">Έσοδα </w:t>
            </w:r>
            <w:r w:rsidRPr="00AE1E60">
              <w:rPr>
                <w:rFonts w:ascii="Arial Narrow" w:hAnsi="Arial Narrow"/>
                <w:b/>
                <w:bCs/>
                <w:color w:val="FFFFFF"/>
                <w:szCs w:val="22"/>
              </w:rPr>
              <w:t>ΠΔΕ</w:t>
            </w:r>
          </w:p>
          <w:p w:rsidR="00133594" w:rsidRPr="00AE1E60" w:rsidRDefault="00133594" w:rsidP="0054537C">
            <w:pPr>
              <w:jc w:val="center"/>
              <w:rPr>
                <w:rFonts w:ascii="Arial Narrow" w:hAnsi="Arial Narrow"/>
                <w:b/>
                <w:bCs/>
                <w:color w:val="FFFFFF"/>
              </w:rPr>
            </w:pPr>
            <w:r w:rsidRPr="00AE1E60">
              <w:rPr>
                <w:rFonts w:ascii="Arial Narrow" w:hAnsi="Arial Narrow"/>
                <w:b/>
                <w:bCs/>
                <w:color w:val="FFFFFF"/>
                <w:szCs w:val="22"/>
              </w:rPr>
              <w:t>(σε εκατ. ευρώ)</w:t>
            </w:r>
          </w:p>
        </w:tc>
      </w:tr>
      <w:tr w:rsidR="00133594" w:rsidRPr="00AE1E60" w:rsidTr="0054537C">
        <w:trPr>
          <w:trHeight w:val="113"/>
          <w:jc w:val="center"/>
        </w:trPr>
        <w:tc>
          <w:tcPr>
            <w:tcW w:w="7905" w:type="dxa"/>
            <w:gridSpan w:val="4"/>
            <w:tcBorders>
              <w:bottom w:val="single" w:sz="6" w:space="0" w:color="auto"/>
              <w:right w:val="single" w:sz="6" w:space="0" w:color="auto"/>
            </w:tcBorders>
            <w:shd w:val="clear" w:color="auto" w:fill="auto"/>
            <w:vAlign w:val="bottom"/>
            <w:hideMark/>
          </w:tcPr>
          <w:p w:rsidR="00133594" w:rsidRPr="00AE1E60" w:rsidRDefault="00133594" w:rsidP="0054537C">
            <w:pPr>
              <w:jc w:val="center"/>
              <w:rPr>
                <w:rFonts w:ascii="Arial Narrow" w:hAnsi="Arial Narrow"/>
                <w:b/>
                <w:bCs/>
                <w:color w:val="000000"/>
                <w:sz w:val="12"/>
                <w:szCs w:val="12"/>
              </w:rPr>
            </w:pPr>
            <w:r w:rsidRPr="00AE1E60">
              <w:rPr>
                <w:rFonts w:ascii="Arial Narrow" w:hAnsi="Arial Narrow"/>
                <w:b/>
                <w:bCs/>
                <w:color w:val="000000"/>
                <w:sz w:val="12"/>
                <w:szCs w:val="12"/>
              </w:rPr>
              <w:t> </w:t>
            </w:r>
          </w:p>
        </w:tc>
      </w:tr>
      <w:tr w:rsidR="00133594" w:rsidRPr="00AE1E60" w:rsidTr="0054537C">
        <w:trPr>
          <w:trHeight w:val="20"/>
          <w:jc w:val="center"/>
        </w:trPr>
        <w:tc>
          <w:tcPr>
            <w:tcW w:w="3976" w:type="dxa"/>
            <w:vMerge w:val="restart"/>
            <w:tcBorders>
              <w:top w:val="single" w:sz="6" w:space="0" w:color="auto"/>
              <w:bottom w:val="single" w:sz="6" w:space="0" w:color="auto"/>
              <w:right w:val="single" w:sz="6" w:space="0" w:color="auto"/>
            </w:tcBorders>
            <w:shd w:val="clear" w:color="auto" w:fill="auto"/>
            <w:vAlign w:val="center"/>
            <w:hideMark/>
          </w:tcPr>
          <w:p w:rsidR="00133594" w:rsidRPr="00AE1E60" w:rsidRDefault="00133594" w:rsidP="000E1D0C">
            <w:pPr>
              <w:spacing w:before="60" w:after="60"/>
              <w:jc w:val="center"/>
              <w:rPr>
                <w:rFonts w:ascii="Arial Narrow" w:hAnsi="Arial Narrow"/>
                <w:b/>
                <w:bCs/>
                <w:color w:val="000000"/>
                <w:sz w:val="16"/>
                <w:szCs w:val="16"/>
              </w:rPr>
            </w:pPr>
            <w:r w:rsidRPr="00AE1E60">
              <w:rPr>
                <w:rFonts w:ascii="Arial Narrow" w:hAnsi="Arial Narrow"/>
                <w:b/>
                <w:bCs/>
                <w:color w:val="000000"/>
                <w:sz w:val="16"/>
                <w:szCs w:val="16"/>
              </w:rPr>
              <w:t>Πηγές εσόδων</w:t>
            </w:r>
          </w:p>
        </w:tc>
        <w:tc>
          <w:tcPr>
            <w:tcW w:w="134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133594" w:rsidRPr="00AE1E60" w:rsidRDefault="00133594" w:rsidP="000E1D0C">
            <w:pPr>
              <w:spacing w:before="60" w:after="60"/>
              <w:jc w:val="center"/>
              <w:rPr>
                <w:rFonts w:ascii="Arial Narrow" w:hAnsi="Arial Narrow"/>
                <w:b/>
                <w:bCs/>
                <w:color w:val="000000"/>
                <w:sz w:val="16"/>
                <w:szCs w:val="16"/>
              </w:rPr>
            </w:pPr>
            <w:r>
              <w:rPr>
                <w:rFonts w:ascii="Arial Narrow" w:hAnsi="Arial Narrow"/>
                <w:b/>
                <w:bCs/>
                <w:color w:val="000000"/>
                <w:sz w:val="16"/>
                <w:szCs w:val="16"/>
              </w:rPr>
              <w:t>2019</w:t>
            </w:r>
          </w:p>
        </w:tc>
        <w:tc>
          <w:tcPr>
            <w:tcW w:w="1307"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133594" w:rsidRPr="00AE1E60" w:rsidRDefault="00133594" w:rsidP="000E1D0C">
            <w:pPr>
              <w:spacing w:before="60" w:after="60"/>
              <w:jc w:val="center"/>
              <w:rPr>
                <w:rFonts w:ascii="Arial Narrow" w:hAnsi="Arial Narrow"/>
                <w:b/>
                <w:bCs/>
                <w:sz w:val="16"/>
                <w:szCs w:val="16"/>
              </w:rPr>
            </w:pPr>
            <w:r w:rsidRPr="00AE1E60">
              <w:rPr>
                <w:rFonts w:ascii="Arial Narrow" w:hAnsi="Arial Narrow"/>
                <w:b/>
                <w:bCs/>
                <w:sz w:val="16"/>
                <w:szCs w:val="16"/>
              </w:rPr>
              <w:t>20</w:t>
            </w:r>
            <w:r>
              <w:rPr>
                <w:rFonts w:ascii="Arial Narrow" w:hAnsi="Arial Narrow"/>
                <w:b/>
                <w:bCs/>
                <w:sz w:val="16"/>
                <w:szCs w:val="16"/>
              </w:rPr>
              <w:t>20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133594" w:rsidRPr="00AE1E60" w:rsidRDefault="00133594" w:rsidP="000E1D0C">
            <w:pPr>
              <w:spacing w:before="60" w:after="60"/>
              <w:jc w:val="center"/>
              <w:rPr>
                <w:rFonts w:ascii="Arial Narrow" w:hAnsi="Arial Narrow"/>
                <w:b/>
                <w:bCs/>
                <w:color w:val="000000"/>
                <w:sz w:val="16"/>
                <w:szCs w:val="16"/>
              </w:rPr>
            </w:pPr>
            <w:r>
              <w:rPr>
                <w:rFonts w:ascii="Arial Narrow" w:hAnsi="Arial Narrow"/>
                <w:b/>
                <w:bCs/>
                <w:color w:val="000000"/>
                <w:sz w:val="16"/>
                <w:szCs w:val="16"/>
              </w:rPr>
              <w:t>2021</w:t>
            </w:r>
          </w:p>
        </w:tc>
      </w:tr>
      <w:tr w:rsidR="00133594" w:rsidRPr="00AE1E60" w:rsidTr="0054537C">
        <w:trPr>
          <w:trHeight w:val="20"/>
          <w:jc w:val="center"/>
        </w:trPr>
        <w:tc>
          <w:tcPr>
            <w:tcW w:w="3976" w:type="dxa"/>
            <w:vMerge/>
            <w:tcBorders>
              <w:top w:val="single" w:sz="6" w:space="0" w:color="auto"/>
              <w:bottom w:val="single" w:sz="6" w:space="0" w:color="auto"/>
              <w:right w:val="single" w:sz="6" w:space="0" w:color="auto"/>
            </w:tcBorders>
            <w:vAlign w:val="center"/>
            <w:hideMark/>
          </w:tcPr>
          <w:p w:rsidR="00133594" w:rsidRPr="00AE1E60" w:rsidRDefault="00133594" w:rsidP="000E1D0C">
            <w:pPr>
              <w:spacing w:before="60" w:after="60"/>
              <w:rPr>
                <w:rFonts w:ascii="Arial Narrow" w:hAnsi="Arial Narrow"/>
                <w:b/>
                <w:bCs/>
                <w:color w:val="000000"/>
                <w:sz w:val="16"/>
                <w:szCs w:val="16"/>
              </w:rPr>
            </w:pPr>
          </w:p>
        </w:tc>
        <w:tc>
          <w:tcPr>
            <w:tcW w:w="134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133594" w:rsidRPr="00AE1E60" w:rsidRDefault="00133594" w:rsidP="000E1D0C">
            <w:pPr>
              <w:spacing w:before="60" w:after="60"/>
              <w:jc w:val="center"/>
              <w:rPr>
                <w:rFonts w:ascii="Arial Narrow" w:hAnsi="Arial Narrow"/>
                <w:b/>
                <w:bCs/>
                <w:color w:val="000000"/>
                <w:sz w:val="16"/>
                <w:szCs w:val="16"/>
              </w:rPr>
            </w:pPr>
            <w:r w:rsidRPr="00AE1E60">
              <w:rPr>
                <w:rFonts w:ascii="Arial Narrow" w:hAnsi="Arial Narrow"/>
                <w:b/>
                <w:bCs/>
                <w:color w:val="000000"/>
                <w:sz w:val="16"/>
                <w:szCs w:val="16"/>
              </w:rPr>
              <w:t>Πραγματ/σεις</w:t>
            </w:r>
          </w:p>
        </w:tc>
        <w:tc>
          <w:tcPr>
            <w:tcW w:w="1307"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133594" w:rsidRPr="00AE1E60" w:rsidRDefault="00133594" w:rsidP="000E1D0C">
            <w:pPr>
              <w:spacing w:before="60" w:after="60"/>
              <w:jc w:val="center"/>
              <w:rPr>
                <w:rFonts w:ascii="Arial Narrow" w:hAnsi="Arial Narrow"/>
                <w:b/>
                <w:bCs/>
                <w:sz w:val="16"/>
                <w:szCs w:val="16"/>
              </w:rPr>
            </w:pPr>
            <w:r w:rsidRPr="00AE1E60">
              <w:rPr>
                <w:rFonts w:ascii="Arial Narrow" w:hAnsi="Arial Narrow"/>
                <w:b/>
                <w:bCs/>
                <w:sz w:val="16"/>
                <w:szCs w:val="16"/>
              </w:rPr>
              <w:t>Εκτιμήσεις</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133594" w:rsidRPr="00AE1E60" w:rsidRDefault="00133594" w:rsidP="000E1D0C">
            <w:pPr>
              <w:spacing w:before="60" w:after="60"/>
              <w:jc w:val="center"/>
              <w:rPr>
                <w:rFonts w:ascii="Arial Narrow" w:hAnsi="Arial Narrow"/>
                <w:b/>
                <w:bCs/>
                <w:color w:val="000000"/>
                <w:sz w:val="16"/>
                <w:szCs w:val="16"/>
              </w:rPr>
            </w:pPr>
            <w:r w:rsidRPr="00AE1E60">
              <w:rPr>
                <w:rFonts w:ascii="Arial Narrow" w:hAnsi="Arial Narrow"/>
                <w:b/>
                <w:bCs/>
                <w:color w:val="000000"/>
                <w:sz w:val="16"/>
                <w:szCs w:val="16"/>
              </w:rPr>
              <w:t>Προβλέψεις</w:t>
            </w:r>
          </w:p>
        </w:tc>
      </w:tr>
      <w:tr w:rsidR="00133594" w:rsidRPr="00174516" w:rsidTr="0054537C">
        <w:trPr>
          <w:trHeight w:val="20"/>
          <w:jc w:val="center"/>
        </w:trPr>
        <w:tc>
          <w:tcPr>
            <w:tcW w:w="3976" w:type="dxa"/>
            <w:tcBorders>
              <w:top w:val="single" w:sz="6" w:space="0" w:color="auto"/>
            </w:tcBorders>
            <w:shd w:val="clear" w:color="auto" w:fill="auto"/>
            <w:hideMark/>
          </w:tcPr>
          <w:p w:rsidR="00133594" w:rsidRPr="00174516" w:rsidRDefault="00133594" w:rsidP="009930A8">
            <w:pPr>
              <w:jc w:val="right"/>
              <w:rPr>
                <w:rFonts w:ascii="Arial Narrow" w:hAnsi="Arial Narrow"/>
                <w:color w:val="000000"/>
                <w:sz w:val="12"/>
                <w:szCs w:val="16"/>
              </w:rPr>
            </w:pPr>
            <w:r w:rsidRPr="00174516">
              <w:rPr>
                <w:rFonts w:ascii="Arial Narrow" w:hAnsi="Arial Narrow"/>
                <w:color w:val="000000"/>
                <w:sz w:val="12"/>
                <w:szCs w:val="16"/>
              </w:rPr>
              <w:t> </w:t>
            </w:r>
          </w:p>
        </w:tc>
        <w:tc>
          <w:tcPr>
            <w:tcW w:w="1346" w:type="dxa"/>
            <w:tcBorders>
              <w:top w:val="single" w:sz="6" w:space="0" w:color="auto"/>
            </w:tcBorders>
            <w:shd w:val="clear" w:color="auto" w:fill="auto"/>
            <w:hideMark/>
          </w:tcPr>
          <w:p w:rsidR="00133594" w:rsidRPr="00174516" w:rsidRDefault="00133594" w:rsidP="009930A8">
            <w:pPr>
              <w:jc w:val="right"/>
              <w:rPr>
                <w:rFonts w:ascii="Arial Narrow" w:hAnsi="Arial Narrow"/>
                <w:color w:val="000000"/>
                <w:sz w:val="12"/>
                <w:szCs w:val="16"/>
              </w:rPr>
            </w:pPr>
          </w:p>
        </w:tc>
        <w:tc>
          <w:tcPr>
            <w:tcW w:w="1307" w:type="dxa"/>
            <w:tcBorders>
              <w:top w:val="single" w:sz="6" w:space="0" w:color="auto"/>
            </w:tcBorders>
            <w:shd w:val="clear" w:color="auto" w:fill="auto"/>
            <w:hideMark/>
          </w:tcPr>
          <w:p w:rsidR="00133594" w:rsidRPr="00174516" w:rsidRDefault="00133594" w:rsidP="009930A8">
            <w:pPr>
              <w:jc w:val="right"/>
              <w:rPr>
                <w:rFonts w:ascii="Arial Narrow" w:hAnsi="Arial Narrow"/>
                <w:sz w:val="12"/>
                <w:szCs w:val="16"/>
              </w:rPr>
            </w:pPr>
          </w:p>
        </w:tc>
        <w:tc>
          <w:tcPr>
            <w:tcW w:w="1276" w:type="dxa"/>
            <w:tcBorders>
              <w:top w:val="single" w:sz="6" w:space="0" w:color="auto"/>
            </w:tcBorders>
            <w:shd w:val="clear" w:color="auto" w:fill="auto"/>
            <w:hideMark/>
          </w:tcPr>
          <w:p w:rsidR="00133594" w:rsidRPr="00174516" w:rsidRDefault="00133594" w:rsidP="009930A8">
            <w:pPr>
              <w:jc w:val="right"/>
              <w:rPr>
                <w:rFonts w:ascii="Arial Narrow" w:hAnsi="Arial Narrow"/>
                <w:color w:val="000000"/>
                <w:sz w:val="12"/>
                <w:szCs w:val="16"/>
              </w:rPr>
            </w:pPr>
          </w:p>
        </w:tc>
      </w:tr>
      <w:tr w:rsidR="00133594" w:rsidRPr="00AE1E60" w:rsidTr="0054537C">
        <w:trPr>
          <w:trHeight w:val="20"/>
          <w:jc w:val="center"/>
        </w:trPr>
        <w:tc>
          <w:tcPr>
            <w:tcW w:w="3976" w:type="dxa"/>
            <w:shd w:val="clear" w:color="auto" w:fill="auto"/>
            <w:hideMark/>
          </w:tcPr>
          <w:p w:rsidR="00133594" w:rsidRPr="00AE1E60" w:rsidRDefault="00133594" w:rsidP="000E1D0C">
            <w:pPr>
              <w:spacing w:before="60" w:after="60"/>
              <w:rPr>
                <w:rFonts w:ascii="Arial Narrow" w:hAnsi="Arial Narrow"/>
                <w:b/>
                <w:bCs/>
                <w:color w:val="000000"/>
                <w:sz w:val="16"/>
                <w:szCs w:val="16"/>
              </w:rPr>
            </w:pPr>
            <w:r w:rsidRPr="00AE1E60">
              <w:rPr>
                <w:rFonts w:ascii="Arial Narrow" w:hAnsi="Arial Narrow"/>
                <w:b/>
                <w:bCs/>
                <w:color w:val="000000"/>
                <w:sz w:val="16"/>
                <w:szCs w:val="16"/>
              </w:rPr>
              <w:t>Ίδια έσοδα</w:t>
            </w:r>
          </w:p>
        </w:tc>
        <w:tc>
          <w:tcPr>
            <w:tcW w:w="1346" w:type="dxa"/>
            <w:shd w:val="clear" w:color="auto" w:fill="auto"/>
            <w:vAlign w:val="bottom"/>
            <w:hideMark/>
          </w:tcPr>
          <w:p w:rsidR="00133594" w:rsidRPr="00D256A8" w:rsidRDefault="00133594" w:rsidP="000E1D0C">
            <w:pPr>
              <w:tabs>
                <w:tab w:val="decimal" w:pos="720"/>
              </w:tabs>
              <w:spacing w:before="60" w:after="60"/>
              <w:jc w:val="both"/>
              <w:rPr>
                <w:rFonts w:ascii="Arial Narrow" w:hAnsi="Arial Narrow"/>
                <w:b/>
                <w:bCs/>
                <w:color w:val="000000"/>
                <w:sz w:val="16"/>
                <w:szCs w:val="16"/>
                <w:lang w:val="en-US"/>
              </w:rPr>
            </w:pPr>
            <w:r>
              <w:rPr>
                <w:rFonts w:ascii="Arial Narrow" w:hAnsi="Arial Narrow"/>
                <w:b/>
                <w:bCs/>
                <w:color w:val="000000"/>
                <w:sz w:val="16"/>
                <w:szCs w:val="16"/>
                <w:lang w:val="en-US"/>
              </w:rPr>
              <w:t>475</w:t>
            </w:r>
          </w:p>
        </w:tc>
        <w:tc>
          <w:tcPr>
            <w:tcW w:w="1307" w:type="dxa"/>
            <w:shd w:val="clear" w:color="auto" w:fill="auto"/>
            <w:vAlign w:val="bottom"/>
            <w:hideMark/>
          </w:tcPr>
          <w:p w:rsidR="00133594" w:rsidRPr="00D256A8" w:rsidRDefault="00133594" w:rsidP="000E1D0C">
            <w:pPr>
              <w:tabs>
                <w:tab w:val="decimal" w:pos="650"/>
              </w:tabs>
              <w:spacing w:before="60" w:after="60"/>
              <w:jc w:val="both"/>
              <w:rPr>
                <w:rFonts w:ascii="Arial Narrow" w:hAnsi="Arial Narrow"/>
                <w:b/>
                <w:bCs/>
                <w:sz w:val="16"/>
                <w:szCs w:val="16"/>
                <w:lang w:val="en-US"/>
              </w:rPr>
            </w:pPr>
            <w:r>
              <w:rPr>
                <w:rFonts w:ascii="Arial Narrow" w:hAnsi="Arial Narrow"/>
                <w:b/>
                <w:bCs/>
                <w:sz w:val="16"/>
                <w:szCs w:val="16"/>
                <w:lang w:val="en-US"/>
              </w:rPr>
              <w:t>980</w:t>
            </w:r>
          </w:p>
        </w:tc>
        <w:tc>
          <w:tcPr>
            <w:tcW w:w="1276" w:type="dxa"/>
            <w:shd w:val="clear" w:color="auto" w:fill="auto"/>
            <w:vAlign w:val="bottom"/>
            <w:hideMark/>
          </w:tcPr>
          <w:p w:rsidR="00133594" w:rsidRPr="00AE1E60" w:rsidRDefault="00133594" w:rsidP="000E1D0C">
            <w:pPr>
              <w:tabs>
                <w:tab w:val="decimal" w:pos="601"/>
              </w:tabs>
              <w:spacing w:before="60" w:after="60"/>
              <w:jc w:val="both"/>
              <w:rPr>
                <w:rFonts w:ascii="Arial Narrow" w:hAnsi="Arial Narrow"/>
                <w:b/>
                <w:bCs/>
                <w:color w:val="000000"/>
                <w:sz w:val="16"/>
                <w:szCs w:val="16"/>
              </w:rPr>
            </w:pPr>
            <w:r>
              <w:rPr>
                <w:rFonts w:ascii="Arial Narrow" w:hAnsi="Arial Narrow"/>
                <w:b/>
                <w:bCs/>
                <w:color w:val="000000"/>
                <w:sz w:val="16"/>
                <w:szCs w:val="16"/>
              </w:rPr>
              <w:t>200</w:t>
            </w:r>
          </w:p>
        </w:tc>
      </w:tr>
      <w:tr w:rsidR="00133594" w:rsidRPr="00174516" w:rsidTr="0054537C">
        <w:trPr>
          <w:trHeight w:val="20"/>
          <w:jc w:val="center"/>
        </w:trPr>
        <w:tc>
          <w:tcPr>
            <w:tcW w:w="3976" w:type="dxa"/>
            <w:shd w:val="clear" w:color="auto" w:fill="auto"/>
            <w:hideMark/>
          </w:tcPr>
          <w:p w:rsidR="00133594" w:rsidRPr="00174516" w:rsidRDefault="00133594" w:rsidP="000E1D0C">
            <w:pPr>
              <w:spacing w:before="60" w:after="60"/>
              <w:jc w:val="right"/>
              <w:rPr>
                <w:rFonts w:ascii="Arial Narrow" w:hAnsi="Arial Narrow"/>
                <w:color w:val="000000"/>
                <w:sz w:val="12"/>
                <w:szCs w:val="16"/>
              </w:rPr>
            </w:pPr>
            <w:r w:rsidRPr="00174516">
              <w:rPr>
                <w:rFonts w:ascii="Arial Narrow" w:hAnsi="Arial Narrow"/>
                <w:color w:val="000000"/>
                <w:sz w:val="12"/>
                <w:szCs w:val="16"/>
              </w:rPr>
              <w:t> </w:t>
            </w:r>
          </w:p>
        </w:tc>
        <w:tc>
          <w:tcPr>
            <w:tcW w:w="1346" w:type="dxa"/>
            <w:shd w:val="clear" w:color="auto" w:fill="auto"/>
            <w:vAlign w:val="bottom"/>
            <w:hideMark/>
          </w:tcPr>
          <w:p w:rsidR="00133594" w:rsidRPr="00174516" w:rsidRDefault="00133594" w:rsidP="000E1D0C">
            <w:pPr>
              <w:tabs>
                <w:tab w:val="decimal" w:pos="720"/>
              </w:tabs>
              <w:spacing w:before="60" w:after="60"/>
              <w:jc w:val="both"/>
              <w:rPr>
                <w:rFonts w:ascii="Arial Narrow" w:hAnsi="Arial Narrow"/>
                <w:b/>
                <w:bCs/>
                <w:color w:val="000000"/>
                <w:sz w:val="12"/>
                <w:szCs w:val="16"/>
              </w:rPr>
            </w:pPr>
          </w:p>
        </w:tc>
        <w:tc>
          <w:tcPr>
            <w:tcW w:w="1307" w:type="dxa"/>
            <w:shd w:val="clear" w:color="auto" w:fill="auto"/>
            <w:vAlign w:val="bottom"/>
            <w:hideMark/>
          </w:tcPr>
          <w:p w:rsidR="00133594" w:rsidRPr="00174516" w:rsidRDefault="00133594" w:rsidP="000E1D0C">
            <w:pPr>
              <w:tabs>
                <w:tab w:val="decimal" w:pos="650"/>
              </w:tabs>
              <w:spacing w:before="60" w:after="60"/>
              <w:jc w:val="both"/>
              <w:rPr>
                <w:rFonts w:ascii="Arial Narrow" w:hAnsi="Arial Narrow"/>
                <w:b/>
                <w:bCs/>
                <w:sz w:val="12"/>
                <w:szCs w:val="16"/>
              </w:rPr>
            </w:pPr>
          </w:p>
        </w:tc>
        <w:tc>
          <w:tcPr>
            <w:tcW w:w="1276" w:type="dxa"/>
            <w:shd w:val="clear" w:color="auto" w:fill="auto"/>
            <w:vAlign w:val="bottom"/>
            <w:hideMark/>
          </w:tcPr>
          <w:p w:rsidR="00133594" w:rsidRPr="00174516" w:rsidRDefault="00133594" w:rsidP="000E1D0C">
            <w:pPr>
              <w:tabs>
                <w:tab w:val="decimal" w:pos="601"/>
              </w:tabs>
              <w:spacing w:before="60" w:after="60"/>
              <w:jc w:val="both"/>
              <w:rPr>
                <w:rFonts w:ascii="Arial Narrow" w:hAnsi="Arial Narrow"/>
                <w:b/>
                <w:bCs/>
                <w:color w:val="000000"/>
                <w:sz w:val="12"/>
                <w:szCs w:val="16"/>
              </w:rPr>
            </w:pPr>
          </w:p>
        </w:tc>
      </w:tr>
      <w:tr w:rsidR="00133594" w:rsidRPr="00AE1E60" w:rsidTr="0054537C">
        <w:trPr>
          <w:trHeight w:val="20"/>
          <w:jc w:val="center"/>
        </w:trPr>
        <w:tc>
          <w:tcPr>
            <w:tcW w:w="3976" w:type="dxa"/>
            <w:shd w:val="clear" w:color="auto" w:fill="auto"/>
            <w:hideMark/>
          </w:tcPr>
          <w:p w:rsidR="00133594" w:rsidRPr="00AE1E60" w:rsidRDefault="00133594" w:rsidP="000E1D0C">
            <w:pPr>
              <w:spacing w:before="60" w:after="60"/>
              <w:rPr>
                <w:rFonts w:ascii="Arial Narrow" w:hAnsi="Arial Narrow"/>
                <w:b/>
                <w:bCs/>
                <w:color w:val="000000"/>
                <w:sz w:val="16"/>
                <w:szCs w:val="16"/>
              </w:rPr>
            </w:pPr>
            <w:r w:rsidRPr="00AE1E60">
              <w:rPr>
                <w:rFonts w:ascii="Arial Narrow" w:hAnsi="Arial Narrow"/>
                <w:b/>
                <w:bCs/>
                <w:color w:val="000000"/>
                <w:sz w:val="16"/>
                <w:szCs w:val="16"/>
              </w:rPr>
              <w:t>Επιχορηγήσεις ΕΕ</w:t>
            </w:r>
          </w:p>
        </w:tc>
        <w:tc>
          <w:tcPr>
            <w:tcW w:w="1346" w:type="dxa"/>
            <w:shd w:val="clear" w:color="auto" w:fill="auto"/>
            <w:vAlign w:val="bottom"/>
            <w:hideMark/>
          </w:tcPr>
          <w:p w:rsidR="00133594" w:rsidRPr="00D256A8" w:rsidRDefault="00133594" w:rsidP="000E1D0C">
            <w:pPr>
              <w:tabs>
                <w:tab w:val="decimal" w:pos="720"/>
              </w:tabs>
              <w:spacing w:before="60" w:after="60"/>
              <w:jc w:val="both"/>
              <w:rPr>
                <w:rFonts w:ascii="Arial Narrow" w:hAnsi="Arial Narrow"/>
                <w:b/>
                <w:bCs/>
                <w:color w:val="000000"/>
                <w:sz w:val="16"/>
                <w:szCs w:val="16"/>
                <w:lang w:val="en-US"/>
              </w:rPr>
            </w:pPr>
            <w:r>
              <w:rPr>
                <w:rFonts w:ascii="Arial Narrow" w:hAnsi="Arial Narrow"/>
                <w:b/>
                <w:bCs/>
                <w:color w:val="000000"/>
                <w:sz w:val="16"/>
                <w:szCs w:val="16"/>
              </w:rPr>
              <w:t>2.</w:t>
            </w:r>
            <w:r>
              <w:rPr>
                <w:rFonts w:ascii="Arial Narrow" w:hAnsi="Arial Narrow"/>
                <w:b/>
                <w:bCs/>
                <w:color w:val="000000"/>
                <w:sz w:val="16"/>
                <w:szCs w:val="16"/>
                <w:lang w:val="en-US"/>
              </w:rPr>
              <w:t>383</w:t>
            </w:r>
          </w:p>
        </w:tc>
        <w:tc>
          <w:tcPr>
            <w:tcW w:w="1307" w:type="dxa"/>
            <w:shd w:val="clear" w:color="auto" w:fill="auto"/>
            <w:vAlign w:val="bottom"/>
            <w:hideMark/>
          </w:tcPr>
          <w:p w:rsidR="00133594" w:rsidRPr="00D256A8" w:rsidRDefault="00133594" w:rsidP="000E1D0C">
            <w:pPr>
              <w:tabs>
                <w:tab w:val="decimal" w:pos="650"/>
              </w:tabs>
              <w:spacing w:before="60" w:after="60"/>
              <w:jc w:val="both"/>
              <w:rPr>
                <w:rFonts w:ascii="Arial Narrow" w:hAnsi="Arial Narrow"/>
                <w:b/>
                <w:bCs/>
                <w:sz w:val="16"/>
                <w:szCs w:val="16"/>
                <w:lang w:val="en-US"/>
              </w:rPr>
            </w:pPr>
            <w:r>
              <w:rPr>
                <w:rFonts w:ascii="Arial Narrow" w:hAnsi="Arial Narrow"/>
                <w:b/>
                <w:bCs/>
                <w:sz w:val="16"/>
                <w:szCs w:val="16"/>
                <w:lang w:val="en-US"/>
              </w:rPr>
              <w:t>4.486</w:t>
            </w:r>
          </w:p>
        </w:tc>
        <w:tc>
          <w:tcPr>
            <w:tcW w:w="1276" w:type="dxa"/>
            <w:shd w:val="clear" w:color="auto" w:fill="auto"/>
            <w:vAlign w:val="bottom"/>
            <w:hideMark/>
          </w:tcPr>
          <w:p w:rsidR="00133594" w:rsidRPr="00D256A8" w:rsidRDefault="00133594" w:rsidP="000E1D0C">
            <w:pPr>
              <w:tabs>
                <w:tab w:val="decimal" w:pos="601"/>
              </w:tabs>
              <w:spacing w:before="60" w:after="60"/>
              <w:jc w:val="both"/>
              <w:rPr>
                <w:rFonts w:ascii="Arial Narrow" w:hAnsi="Arial Narrow"/>
                <w:b/>
                <w:bCs/>
                <w:color w:val="000000"/>
                <w:sz w:val="16"/>
                <w:szCs w:val="16"/>
                <w:lang w:val="en-US"/>
              </w:rPr>
            </w:pPr>
            <w:r>
              <w:rPr>
                <w:rFonts w:ascii="Arial Narrow" w:hAnsi="Arial Narrow"/>
                <w:b/>
                <w:bCs/>
                <w:color w:val="000000"/>
                <w:sz w:val="16"/>
                <w:szCs w:val="16"/>
                <w:lang w:val="en-US"/>
              </w:rPr>
              <w:t>3.992</w:t>
            </w:r>
          </w:p>
        </w:tc>
      </w:tr>
      <w:tr w:rsidR="00133594" w:rsidRPr="00AE1E60" w:rsidTr="0054537C">
        <w:trPr>
          <w:trHeight w:val="20"/>
          <w:jc w:val="center"/>
        </w:trPr>
        <w:tc>
          <w:tcPr>
            <w:tcW w:w="3976" w:type="dxa"/>
            <w:shd w:val="clear" w:color="auto" w:fill="auto"/>
            <w:hideMark/>
          </w:tcPr>
          <w:p w:rsidR="00133594" w:rsidRPr="00AE1E60" w:rsidRDefault="00133594" w:rsidP="000E1D0C">
            <w:pPr>
              <w:spacing w:before="60" w:after="60"/>
              <w:rPr>
                <w:rFonts w:ascii="Arial Narrow" w:hAnsi="Arial Narrow"/>
                <w:color w:val="000000"/>
                <w:sz w:val="16"/>
                <w:szCs w:val="16"/>
              </w:rPr>
            </w:pPr>
            <w:r w:rsidRPr="00AE1E60">
              <w:rPr>
                <w:rFonts w:ascii="Arial Narrow" w:hAnsi="Arial Narrow"/>
                <w:color w:val="000000"/>
                <w:sz w:val="16"/>
                <w:szCs w:val="16"/>
              </w:rPr>
              <w:t>- ΕΤΠΑ</w:t>
            </w:r>
          </w:p>
        </w:tc>
        <w:tc>
          <w:tcPr>
            <w:tcW w:w="1346" w:type="dxa"/>
            <w:shd w:val="clear" w:color="auto" w:fill="auto"/>
            <w:vAlign w:val="bottom"/>
            <w:hideMark/>
          </w:tcPr>
          <w:p w:rsidR="00133594" w:rsidRPr="00D256A8" w:rsidRDefault="00133594" w:rsidP="000E1D0C">
            <w:pPr>
              <w:tabs>
                <w:tab w:val="decimal" w:pos="720"/>
              </w:tabs>
              <w:spacing w:before="60" w:after="60"/>
              <w:jc w:val="both"/>
              <w:rPr>
                <w:rFonts w:ascii="Arial Narrow" w:hAnsi="Arial Narrow"/>
                <w:i/>
                <w:iCs/>
                <w:color w:val="000000"/>
                <w:sz w:val="16"/>
                <w:szCs w:val="16"/>
                <w:lang w:val="en-US"/>
              </w:rPr>
            </w:pPr>
            <w:r>
              <w:rPr>
                <w:rFonts w:ascii="Arial Narrow" w:hAnsi="Arial Narrow"/>
                <w:i/>
                <w:iCs/>
                <w:color w:val="000000"/>
                <w:sz w:val="16"/>
                <w:szCs w:val="16"/>
                <w:lang w:val="en-US"/>
              </w:rPr>
              <w:t>966</w:t>
            </w:r>
          </w:p>
        </w:tc>
        <w:tc>
          <w:tcPr>
            <w:tcW w:w="1307" w:type="dxa"/>
            <w:shd w:val="clear" w:color="auto" w:fill="auto"/>
            <w:vAlign w:val="bottom"/>
            <w:hideMark/>
          </w:tcPr>
          <w:p w:rsidR="00133594" w:rsidRPr="00D256A8" w:rsidRDefault="00133594" w:rsidP="000E1D0C">
            <w:pPr>
              <w:tabs>
                <w:tab w:val="decimal" w:pos="650"/>
              </w:tabs>
              <w:spacing w:before="60" w:after="60"/>
              <w:jc w:val="both"/>
              <w:rPr>
                <w:rFonts w:ascii="Arial Narrow" w:hAnsi="Arial Narrow"/>
                <w:i/>
                <w:iCs/>
                <w:sz w:val="16"/>
                <w:szCs w:val="16"/>
                <w:lang w:val="en-US"/>
              </w:rPr>
            </w:pPr>
            <w:r>
              <w:rPr>
                <w:rFonts w:ascii="Arial Narrow" w:hAnsi="Arial Narrow"/>
                <w:i/>
                <w:iCs/>
                <w:sz w:val="16"/>
                <w:szCs w:val="16"/>
                <w:lang w:val="en-US"/>
              </w:rPr>
              <w:t>2.379</w:t>
            </w:r>
          </w:p>
        </w:tc>
        <w:tc>
          <w:tcPr>
            <w:tcW w:w="1276" w:type="dxa"/>
            <w:shd w:val="clear" w:color="auto" w:fill="auto"/>
            <w:vAlign w:val="bottom"/>
            <w:hideMark/>
          </w:tcPr>
          <w:p w:rsidR="00133594" w:rsidRPr="00D256A8" w:rsidRDefault="00133594" w:rsidP="000E1D0C">
            <w:pPr>
              <w:tabs>
                <w:tab w:val="decimal" w:pos="601"/>
              </w:tabs>
              <w:spacing w:before="60" w:after="60"/>
              <w:jc w:val="both"/>
              <w:rPr>
                <w:rFonts w:ascii="Arial Narrow" w:hAnsi="Arial Narrow"/>
                <w:i/>
                <w:iCs/>
                <w:color w:val="000000"/>
                <w:sz w:val="16"/>
                <w:szCs w:val="16"/>
                <w:lang w:val="en-US"/>
              </w:rPr>
            </w:pPr>
            <w:r>
              <w:rPr>
                <w:rFonts w:ascii="Arial Narrow" w:hAnsi="Arial Narrow"/>
                <w:i/>
                <w:iCs/>
                <w:color w:val="000000"/>
                <w:sz w:val="16"/>
                <w:szCs w:val="16"/>
                <w:lang w:val="en-US"/>
              </w:rPr>
              <w:t>1.845</w:t>
            </w:r>
          </w:p>
        </w:tc>
      </w:tr>
      <w:tr w:rsidR="00133594" w:rsidRPr="00AE1E60" w:rsidTr="0054537C">
        <w:trPr>
          <w:trHeight w:val="20"/>
          <w:jc w:val="center"/>
        </w:trPr>
        <w:tc>
          <w:tcPr>
            <w:tcW w:w="3976" w:type="dxa"/>
            <w:shd w:val="clear" w:color="auto" w:fill="auto"/>
            <w:hideMark/>
          </w:tcPr>
          <w:p w:rsidR="00133594" w:rsidRPr="00AE1E60" w:rsidRDefault="00133594" w:rsidP="000E1D0C">
            <w:pPr>
              <w:spacing w:before="60" w:after="60"/>
              <w:rPr>
                <w:rFonts w:ascii="Arial Narrow" w:hAnsi="Arial Narrow"/>
                <w:color w:val="000000"/>
                <w:sz w:val="16"/>
                <w:szCs w:val="16"/>
              </w:rPr>
            </w:pPr>
            <w:r w:rsidRPr="00AE1E60">
              <w:rPr>
                <w:rFonts w:ascii="Arial Narrow" w:hAnsi="Arial Narrow"/>
                <w:color w:val="000000"/>
                <w:sz w:val="16"/>
                <w:szCs w:val="16"/>
              </w:rPr>
              <w:t>- Ταμείο Συνοχής</w:t>
            </w:r>
          </w:p>
        </w:tc>
        <w:tc>
          <w:tcPr>
            <w:tcW w:w="1346" w:type="dxa"/>
            <w:shd w:val="clear" w:color="auto" w:fill="auto"/>
            <w:vAlign w:val="bottom"/>
            <w:hideMark/>
          </w:tcPr>
          <w:p w:rsidR="00133594" w:rsidRPr="00D256A8" w:rsidRDefault="00133594" w:rsidP="000E1D0C">
            <w:pPr>
              <w:tabs>
                <w:tab w:val="decimal" w:pos="720"/>
              </w:tabs>
              <w:spacing w:before="60" w:after="60"/>
              <w:jc w:val="both"/>
              <w:rPr>
                <w:rFonts w:ascii="Arial Narrow" w:hAnsi="Arial Narrow"/>
                <w:i/>
                <w:iCs/>
                <w:color w:val="000000"/>
                <w:sz w:val="16"/>
                <w:szCs w:val="16"/>
                <w:lang w:val="en-US"/>
              </w:rPr>
            </w:pPr>
            <w:r>
              <w:rPr>
                <w:rFonts w:ascii="Arial Narrow" w:hAnsi="Arial Narrow"/>
                <w:i/>
                <w:iCs/>
                <w:color w:val="000000"/>
                <w:sz w:val="16"/>
                <w:szCs w:val="16"/>
                <w:lang w:val="en-US"/>
              </w:rPr>
              <w:t>237</w:t>
            </w:r>
          </w:p>
        </w:tc>
        <w:tc>
          <w:tcPr>
            <w:tcW w:w="1307" w:type="dxa"/>
            <w:shd w:val="clear" w:color="auto" w:fill="auto"/>
            <w:vAlign w:val="bottom"/>
            <w:hideMark/>
          </w:tcPr>
          <w:p w:rsidR="00133594" w:rsidRPr="00D256A8" w:rsidRDefault="00133594" w:rsidP="000E1D0C">
            <w:pPr>
              <w:tabs>
                <w:tab w:val="decimal" w:pos="650"/>
              </w:tabs>
              <w:spacing w:before="60" w:after="60"/>
              <w:jc w:val="both"/>
              <w:rPr>
                <w:rFonts w:ascii="Arial Narrow" w:hAnsi="Arial Narrow"/>
                <w:i/>
                <w:iCs/>
                <w:sz w:val="16"/>
                <w:szCs w:val="16"/>
                <w:lang w:val="en-US"/>
              </w:rPr>
            </w:pPr>
            <w:r>
              <w:rPr>
                <w:rFonts w:ascii="Arial Narrow" w:hAnsi="Arial Narrow"/>
                <w:i/>
                <w:iCs/>
                <w:sz w:val="16"/>
                <w:szCs w:val="16"/>
                <w:lang w:val="en-US"/>
              </w:rPr>
              <w:t>332</w:t>
            </w:r>
          </w:p>
        </w:tc>
        <w:tc>
          <w:tcPr>
            <w:tcW w:w="1276" w:type="dxa"/>
            <w:shd w:val="clear" w:color="auto" w:fill="auto"/>
            <w:vAlign w:val="bottom"/>
            <w:hideMark/>
          </w:tcPr>
          <w:p w:rsidR="00133594" w:rsidRPr="00D256A8" w:rsidRDefault="00133594" w:rsidP="000E1D0C">
            <w:pPr>
              <w:tabs>
                <w:tab w:val="decimal" w:pos="601"/>
              </w:tabs>
              <w:spacing w:before="60" w:after="60"/>
              <w:jc w:val="both"/>
              <w:rPr>
                <w:rFonts w:ascii="Arial Narrow" w:hAnsi="Arial Narrow"/>
                <w:i/>
                <w:iCs/>
                <w:color w:val="000000"/>
                <w:sz w:val="16"/>
                <w:szCs w:val="16"/>
                <w:lang w:val="en-US"/>
              </w:rPr>
            </w:pPr>
            <w:r>
              <w:rPr>
                <w:rFonts w:ascii="Arial Narrow" w:hAnsi="Arial Narrow"/>
                <w:i/>
                <w:iCs/>
                <w:color w:val="000000"/>
                <w:sz w:val="16"/>
                <w:szCs w:val="16"/>
                <w:lang w:val="en-US"/>
              </w:rPr>
              <w:t>585</w:t>
            </w:r>
          </w:p>
        </w:tc>
      </w:tr>
      <w:tr w:rsidR="00133594" w:rsidRPr="00AE1E60" w:rsidTr="0054537C">
        <w:trPr>
          <w:trHeight w:val="20"/>
          <w:jc w:val="center"/>
        </w:trPr>
        <w:tc>
          <w:tcPr>
            <w:tcW w:w="3976" w:type="dxa"/>
            <w:shd w:val="clear" w:color="auto" w:fill="auto"/>
            <w:hideMark/>
          </w:tcPr>
          <w:p w:rsidR="00133594" w:rsidRPr="00AE1E60" w:rsidRDefault="00133594" w:rsidP="000E1D0C">
            <w:pPr>
              <w:spacing w:before="60" w:after="60"/>
              <w:rPr>
                <w:rFonts w:ascii="Arial Narrow" w:hAnsi="Arial Narrow"/>
                <w:color w:val="000000"/>
                <w:sz w:val="16"/>
                <w:szCs w:val="16"/>
              </w:rPr>
            </w:pPr>
            <w:r w:rsidRPr="00AE1E60">
              <w:rPr>
                <w:rFonts w:ascii="Arial Narrow" w:hAnsi="Arial Narrow"/>
                <w:color w:val="000000"/>
                <w:sz w:val="16"/>
                <w:szCs w:val="16"/>
              </w:rPr>
              <w:t>- ΕΚΤ</w:t>
            </w:r>
          </w:p>
        </w:tc>
        <w:tc>
          <w:tcPr>
            <w:tcW w:w="1346" w:type="dxa"/>
            <w:shd w:val="clear" w:color="auto" w:fill="auto"/>
            <w:vAlign w:val="bottom"/>
            <w:hideMark/>
          </w:tcPr>
          <w:p w:rsidR="00133594" w:rsidRPr="00D256A8" w:rsidRDefault="00133594" w:rsidP="000E1D0C">
            <w:pPr>
              <w:tabs>
                <w:tab w:val="decimal" w:pos="720"/>
              </w:tabs>
              <w:spacing w:before="60" w:after="60"/>
              <w:jc w:val="both"/>
              <w:rPr>
                <w:rFonts w:ascii="Arial Narrow" w:hAnsi="Arial Narrow"/>
                <w:i/>
                <w:iCs/>
                <w:color w:val="000000"/>
                <w:sz w:val="16"/>
                <w:szCs w:val="16"/>
                <w:lang w:val="en-US"/>
              </w:rPr>
            </w:pPr>
            <w:r>
              <w:rPr>
                <w:rFonts w:ascii="Arial Narrow" w:hAnsi="Arial Narrow"/>
                <w:i/>
                <w:iCs/>
                <w:color w:val="000000"/>
                <w:sz w:val="16"/>
                <w:szCs w:val="16"/>
                <w:lang w:val="en-US"/>
              </w:rPr>
              <w:t>580</w:t>
            </w:r>
          </w:p>
        </w:tc>
        <w:tc>
          <w:tcPr>
            <w:tcW w:w="1307" w:type="dxa"/>
            <w:shd w:val="clear" w:color="auto" w:fill="auto"/>
            <w:vAlign w:val="bottom"/>
            <w:hideMark/>
          </w:tcPr>
          <w:p w:rsidR="00133594" w:rsidRPr="00D256A8" w:rsidRDefault="00133594" w:rsidP="000E1D0C">
            <w:pPr>
              <w:tabs>
                <w:tab w:val="decimal" w:pos="650"/>
              </w:tabs>
              <w:spacing w:before="60" w:after="60"/>
              <w:jc w:val="both"/>
              <w:rPr>
                <w:rFonts w:ascii="Arial Narrow" w:hAnsi="Arial Narrow"/>
                <w:i/>
                <w:iCs/>
                <w:sz w:val="16"/>
                <w:szCs w:val="16"/>
                <w:lang w:val="en-US"/>
              </w:rPr>
            </w:pPr>
            <w:r>
              <w:rPr>
                <w:rFonts w:ascii="Arial Narrow" w:hAnsi="Arial Narrow"/>
                <w:i/>
                <w:iCs/>
                <w:sz w:val="16"/>
                <w:szCs w:val="16"/>
                <w:lang w:val="en-US"/>
              </w:rPr>
              <w:t>1.036</w:t>
            </w:r>
          </w:p>
        </w:tc>
        <w:tc>
          <w:tcPr>
            <w:tcW w:w="1276" w:type="dxa"/>
            <w:shd w:val="clear" w:color="auto" w:fill="auto"/>
            <w:vAlign w:val="bottom"/>
            <w:hideMark/>
          </w:tcPr>
          <w:p w:rsidR="00133594" w:rsidRPr="00D256A8" w:rsidRDefault="00133594" w:rsidP="000E1D0C">
            <w:pPr>
              <w:tabs>
                <w:tab w:val="decimal" w:pos="601"/>
              </w:tabs>
              <w:spacing w:before="60" w:after="60"/>
              <w:jc w:val="both"/>
              <w:rPr>
                <w:rFonts w:ascii="Arial Narrow" w:hAnsi="Arial Narrow"/>
                <w:i/>
                <w:iCs/>
                <w:color w:val="000000"/>
                <w:sz w:val="16"/>
                <w:szCs w:val="16"/>
                <w:lang w:val="en-US"/>
              </w:rPr>
            </w:pPr>
            <w:r>
              <w:rPr>
                <w:rFonts w:ascii="Arial Narrow" w:hAnsi="Arial Narrow"/>
                <w:i/>
                <w:iCs/>
                <w:color w:val="000000"/>
                <w:sz w:val="16"/>
                <w:szCs w:val="16"/>
                <w:lang w:val="en-US"/>
              </w:rPr>
              <w:t>896</w:t>
            </w:r>
          </w:p>
        </w:tc>
      </w:tr>
      <w:tr w:rsidR="00133594" w:rsidRPr="00AE1E60" w:rsidTr="0054537C">
        <w:trPr>
          <w:trHeight w:val="20"/>
          <w:jc w:val="center"/>
        </w:trPr>
        <w:tc>
          <w:tcPr>
            <w:tcW w:w="3976" w:type="dxa"/>
            <w:shd w:val="clear" w:color="auto" w:fill="auto"/>
            <w:hideMark/>
          </w:tcPr>
          <w:p w:rsidR="00133594" w:rsidRPr="00AE1E60" w:rsidRDefault="00133594" w:rsidP="000E1D0C">
            <w:pPr>
              <w:spacing w:before="60" w:after="60"/>
              <w:rPr>
                <w:rFonts w:ascii="Arial Narrow" w:hAnsi="Arial Narrow"/>
                <w:color w:val="000000"/>
                <w:sz w:val="16"/>
                <w:szCs w:val="16"/>
              </w:rPr>
            </w:pPr>
            <w:r w:rsidRPr="00AE1E60">
              <w:rPr>
                <w:rFonts w:ascii="Arial Narrow" w:hAnsi="Arial Narrow"/>
                <w:color w:val="000000"/>
                <w:sz w:val="16"/>
                <w:szCs w:val="16"/>
              </w:rPr>
              <w:t xml:space="preserve">- Λοιπά </w:t>
            </w:r>
          </w:p>
        </w:tc>
        <w:tc>
          <w:tcPr>
            <w:tcW w:w="1346" w:type="dxa"/>
            <w:shd w:val="clear" w:color="auto" w:fill="auto"/>
            <w:vAlign w:val="bottom"/>
            <w:hideMark/>
          </w:tcPr>
          <w:p w:rsidR="00133594" w:rsidRPr="00D256A8" w:rsidRDefault="00133594" w:rsidP="000E1D0C">
            <w:pPr>
              <w:tabs>
                <w:tab w:val="decimal" w:pos="720"/>
              </w:tabs>
              <w:spacing w:before="60" w:after="60"/>
              <w:jc w:val="both"/>
              <w:rPr>
                <w:rFonts w:ascii="Arial Narrow" w:hAnsi="Arial Narrow"/>
                <w:i/>
                <w:iCs/>
                <w:color w:val="000000"/>
                <w:sz w:val="16"/>
                <w:szCs w:val="16"/>
                <w:lang w:val="en-US"/>
              </w:rPr>
            </w:pPr>
            <w:r>
              <w:rPr>
                <w:rFonts w:ascii="Arial Narrow" w:hAnsi="Arial Narrow"/>
                <w:i/>
                <w:iCs/>
                <w:color w:val="000000"/>
                <w:sz w:val="16"/>
                <w:szCs w:val="16"/>
                <w:lang w:val="en-US"/>
              </w:rPr>
              <w:t>54</w:t>
            </w:r>
          </w:p>
        </w:tc>
        <w:tc>
          <w:tcPr>
            <w:tcW w:w="1307" w:type="dxa"/>
            <w:shd w:val="clear" w:color="auto" w:fill="auto"/>
            <w:vAlign w:val="bottom"/>
            <w:hideMark/>
          </w:tcPr>
          <w:p w:rsidR="00133594" w:rsidRPr="00D256A8" w:rsidRDefault="00133594" w:rsidP="000E1D0C">
            <w:pPr>
              <w:tabs>
                <w:tab w:val="decimal" w:pos="650"/>
              </w:tabs>
              <w:spacing w:before="60" w:after="60"/>
              <w:jc w:val="both"/>
              <w:rPr>
                <w:rFonts w:ascii="Arial Narrow" w:hAnsi="Arial Narrow"/>
                <w:i/>
                <w:iCs/>
                <w:sz w:val="16"/>
                <w:szCs w:val="16"/>
                <w:lang w:val="en-US"/>
              </w:rPr>
            </w:pPr>
            <w:r>
              <w:rPr>
                <w:rFonts w:ascii="Arial Narrow" w:hAnsi="Arial Narrow"/>
                <w:i/>
                <w:iCs/>
                <w:sz w:val="16"/>
                <w:szCs w:val="16"/>
                <w:lang w:val="en-US"/>
              </w:rPr>
              <w:t>65</w:t>
            </w:r>
          </w:p>
        </w:tc>
        <w:tc>
          <w:tcPr>
            <w:tcW w:w="1276" w:type="dxa"/>
            <w:shd w:val="clear" w:color="auto" w:fill="auto"/>
            <w:vAlign w:val="bottom"/>
            <w:hideMark/>
          </w:tcPr>
          <w:p w:rsidR="00133594" w:rsidRPr="00D256A8" w:rsidRDefault="00133594" w:rsidP="000E1D0C">
            <w:pPr>
              <w:tabs>
                <w:tab w:val="decimal" w:pos="601"/>
              </w:tabs>
              <w:spacing w:before="60" w:after="60"/>
              <w:jc w:val="both"/>
              <w:rPr>
                <w:rFonts w:ascii="Arial Narrow" w:hAnsi="Arial Narrow"/>
                <w:i/>
                <w:iCs/>
                <w:color w:val="000000"/>
                <w:sz w:val="16"/>
                <w:szCs w:val="16"/>
                <w:lang w:val="en-US"/>
              </w:rPr>
            </w:pPr>
            <w:r>
              <w:rPr>
                <w:rFonts w:ascii="Arial Narrow" w:hAnsi="Arial Narrow"/>
                <w:i/>
                <w:iCs/>
                <w:color w:val="000000"/>
                <w:sz w:val="16"/>
                <w:szCs w:val="16"/>
                <w:lang w:val="en-US"/>
              </w:rPr>
              <w:t>35</w:t>
            </w:r>
          </w:p>
        </w:tc>
      </w:tr>
      <w:tr w:rsidR="00133594" w:rsidRPr="00AE1E60" w:rsidTr="0054537C">
        <w:trPr>
          <w:trHeight w:val="20"/>
          <w:jc w:val="center"/>
        </w:trPr>
        <w:tc>
          <w:tcPr>
            <w:tcW w:w="3976" w:type="dxa"/>
            <w:shd w:val="clear" w:color="auto" w:fill="auto"/>
            <w:hideMark/>
          </w:tcPr>
          <w:p w:rsidR="00133594" w:rsidRPr="00AE1E60" w:rsidRDefault="00133594" w:rsidP="000E1D0C">
            <w:pPr>
              <w:spacing w:before="60" w:after="60"/>
              <w:rPr>
                <w:rFonts w:ascii="Arial Narrow" w:hAnsi="Arial Narrow"/>
                <w:color w:val="000000"/>
                <w:sz w:val="16"/>
                <w:szCs w:val="16"/>
              </w:rPr>
            </w:pPr>
            <w:r w:rsidRPr="00AE1E60">
              <w:rPr>
                <w:rFonts w:ascii="Arial Narrow" w:hAnsi="Arial Narrow"/>
                <w:color w:val="000000"/>
                <w:sz w:val="16"/>
                <w:szCs w:val="16"/>
              </w:rPr>
              <w:t>- Ταμείο Αλληλεγγύης και Διαχείρισης Μεταναστευτικών Ροών</w:t>
            </w:r>
          </w:p>
        </w:tc>
        <w:tc>
          <w:tcPr>
            <w:tcW w:w="1346" w:type="dxa"/>
            <w:shd w:val="clear" w:color="auto" w:fill="auto"/>
            <w:vAlign w:val="center"/>
            <w:hideMark/>
          </w:tcPr>
          <w:p w:rsidR="00133594" w:rsidRPr="00D256A8" w:rsidRDefault="00133594" w:rsidP="000E1D0C">
            <w:pPr>
              <w:tabs>
                <w:tab w:val="decimal" w:pos="720"/>
              </w:tabs>
              <w:spacing w:before="60" w:after="60"/>
              <w:jc w:val="both"/>
              <w:rPr>
                <w:rFonts w:ascii="Arial Narrow" w:hAnsi="Arial Narrow"/>
                <w:i/>
                <w:iCs/>
                <w:color w:val="000000"/>
                <w:sz w:val="16"/>
                <w:szCs w:val="16"/>
                <w:lang w:val="en-US"/>
              </w:rPr>
            </w:pPr>
            <w:r>
              <w:rPr>
                <w:rFonts w:ascii="Arial Narrow" w:hAnsi="Arial Narrow"/>
                <w:i/>
                <w:iCs/>
                <w:color w:val="000000"/>
                <w:sz w:val="16"/>
                <w:szCs w:val="16"/>
                <w:lang w:val="en-US"/>
              </w:rPr>
              <w:t>46</w:t>
            </w:r>
          </w:p>
        </w:tc>
        <w:tc>
          <w:tcPr>
            <w:tcW w:w="1307" w:type="dxa"/>
            <w:shd w:val="clear" w:color="auto" w:fill="auto"/>
            <w:vAlign w:val="center"/>
            <w:hideMark/>
          </w:tcPr>
          <w:p w:rsidR="00133594" w:rsidRPr="00D256A8" w:rsidRDefault="00133594" w:rsidP="000E1D0C">
            <w:pPr>
              <w:tabs>
                <w:tab w:val="decimal" w:pos="650"/>
              </w:tabs>
              <w:spacing w:before="60" w:after="60"/>
              <w:jc w:val="both"/>
              <w:rPr>
                <w:rFonts w:ascii="Arial Narrow" w:hAnsi="Arial Narrow"/>
                <w:i/>
                <w:iCs/>
                <w:sz w:val="16"/>
                <w:szCs w:val="16"/>
                <w:lang w:val="en-US"/>
              </w:rPr>
            </w:pPr>
            <w:r>
              <w:rPr>
                <w:rFonts w:ascii="Arial Narrow" w:hAnsi="Arial Narrow"/>
                <w:i/>
                <w:iCs/>
                <w:sz w:val="16"/>
                <w:szCs w:val="16"/>
                <w:lang w:val="en-US"/>
              </w:rPr>
              <w:t>89</w:t>
            </w:r>
          </w:p>
        </w:tc>
        <w:tc>
          <w:tcPr>
            <w:tcW w:w="1276" w:type="dxa"/>
            <w:shd w:val="clear" w:color="auto" w:fill="auto"/>
            <w:vAlign w:val="center"/>
            <w:hideMark/>
          </w:tcPr>
          <w:p w:rsidR="00133594" w:rsidRPr="00D256A8" w:rsidRDefault="00133594" w:rsidP="000E1D0C">
            <w:pPr>
              <w:tabs>
                <w:tab w:val="decimal" w:pos="601"/>
              </w:tabs>
              <w:spacing w:before="60" w:after="60"/>
              <w:jc w:val="both"/>
              <w:rPr>
                <w:rFonts w:ascii="Arial Narrow" w:hAnsi="Arial Narrow"/>
                <w:i/>
                <w:iCs/>
                <w:color w:val="000000"/>
                <w:sz w:val="16"/>
                <w:szCs w:val="16"/>
                <w:lang w:val="en-US"/>
              </w:rPr>
            </w:pPr>
            <w:r>
              <w:rPr>
                <w:rFonts w:ascii="Arial Narrow" w:hAnsi="Arial Narrow"/>
                <w:i/>
                <w:iCs/>
                <w:color w:val="000000"/>
                <w:sz w:val="16"/>
                <w:szCs w:val="16"/>
                <w:lang w:val="en-US"/>
              </w:rPr>
              <w:t>45</w:t>
            </w:r>
          </w:p>
        </w:tc>
      </w:tr>
      <w:tr w:rsidR="00133594" w:rsidRPr="00AE1E60" w:rsidTr="0054537C">
        <w:trPr>
          <w:trHeight w:val="20"/>
          <w:jc w:val="center"/>
        </w:trPr>
        <w:tc>
          <w:tcPr>
            <w:tcW w:w="3976" w:type="dxa"/>
            <w:shd w:val="clear" w:color="auto" w:fill="auto"/>
            <w:hideMark/>
          </w:tcPr>
          <w:p w:rsidR="00133594" w:rsidRPr="00AE1E60" w:rsidRDefault="00133594" w:rsidP="000E1D0C">
            <w:pPr>
              <w:spacing w:before="60" w:after="60"/>
              <w:rPr>
                <w:rFonts w:ascii="Arial Narrow" w:hAnsi="Arial Narrow"/>
                <w:color w:val="000000"/>
                <w:sz w:val="16"/>
                <w:szCs w:val="16"/>
              </w:rPr>
            </w:pPr>
            <w:r w:rsidRPr="00AE1E60">
              <w:rPr>
                <w:rFonts w:ascii="Arial Narrow" w:hAnsi="Arial Narrow"/>
                <w:color w:val="000000"/>
                <w:sz w:val="16"/>
                <w:szCs w:val="16"/>
              </w:rPr>
              <w:t>- ΕΓΤΕ (ΕΓΤΠΕ – Τμήμα Εγγυήσεων)</w:t>
            </w:r>
          </w:p>
        </w:tc>
        <w:tc>
          <w:tcPr>
            <w:tcW w:w="1346" w:type="dxa"/>
            <w:shd w:val="clear" w:color="auto" w:fill="auto"/>
            <w:vAlign w:val="bottom"/>
            <w:hideMark/>
          </w:tcPr>
          <w:p w:rsidR="00133594" w:rsidRPr="00D256A8" w:rsidRDefault="00133594" w:rsidP="000E1D0C">
            <w:pPr>
              <w:tabs>
                <w:tab w:val="decimal" w:pos="720"/>
              </w:tabs>
              <w:spacing w:before="60" w:after="60"/>
              <w:jc w:val="both"/>
              <w:rPr>
                <w:rFonts w:ascii="Arial Narrow" w:hAnsi="Arial Narrow"/>
                <w:i/>
                <w:iCs/>
                <w:color w:val="000000"/>
                <w:sz w:val="16"/>
                <w:szCs w:val="16"/>
                <w:lang w:val="en-US"/>
              </w:rPr>
            </w:pPr>
            <w:r>
              <w:rPr>
                <w:rFonts w:ascii="Arial Narrow" w:hAnsi="Arial Narrow"/>
                <w:i/>
                <w:iCs/>
                <w:color w:val="000000"/>
                <w:sz w:val="16"/>
                <w:szCs w:val="16"/>
                <w:lang w:val="en-US"/>
              </w:rPr>
              <w:t>6</w:t>
            </w:r>
          </w:p>
        </w:tc>
        <w:tc>
          <w:tcPr>
            <w:tcW w:w="1307" w:type="dxa"/>
            <w:shd w:val="clear" w:color="auto" w:fill="auto"/>
            <w:vAlign w:val="bottom"/>
            <w:hideMark/>
          </w:tcPr>
          <w:p w:rsidR="00133594" w:rsidRPr="00D256A8" w:rsidRDefault="00133594" w:rsidP="000E1D0C">
            <w:pPr>
              <w:tabs>
                <w:tab w:val="decimal" w:pos="650"/>
              </w:tabs>
              <w:spacing w:before="60" w:after="60"/>
              <w:jc w:val="both"/>
              <w:rPr>
                <w:rFonts w:ascii="Arial Narrow" w:hAnsi="Arial Narrow"/>
                <w:i/>
                <w:iCs/>
                <w:sz w:val="16"/>
                <w:szCs w:val="16"/>
                <w:lang w:val="en-US"/>
              </w:rPr>
            </w:pPr>
            <w:r>
              <w:rPr>
                <w:rFonts w:ascii="Arial Narrow" w:hAnsi="Arial Narrow"/>
                <w:i/>
                <w:iCs/>
                <w:sz w:val="16"/>
                <w:szCs w:val="16"/>
                <w:lang w:val="en-US"/>
              </w:rPr>
              <w:t>0</w:t>
            </w:r>
          </w:p>
        </w:tc>
        <w:tc>
          <w:tcPr>
            <w:tcW w:w="1276" w:type="dxa"/>
            <w:shd w:val="clear" w:color="auto" w:fill="auto"/>
            <w:vAlign w:val="bottom"/>
            <w:hideMark/>
          </w:tcPr>
          <w:p w:rsidR="00133594" w:rsidRPr="00AE1E60" w:rsidRDefault="00133594" w:rsidP="000E1D0C">
            <w:pPr>
              <w:tabs>
                <w:tab w:val="decimal" w:pos="601"/>
              </w:tabs>
              <w:spacing w:before="60" w:after="60"/>
              <w:jc w:val="both"/>
              <w:rPr>
                <w:rFonts w:ascii="Arial Narrow" w:hAnsi="Arial Narrow"/>
                <w:i/>
                <w:iCs/>
                <w:color w:val="000000"/>
                <w:sz w:val="16"/>
                <w:szCs w:val="16"/>
              </w:rPr>
            </w:pPr>
            <w:r>
              <w:rPr>
                <w:rFonts w:ascii="Arial Narrow" w:hAnsi="Arial Narrow"/>
                <w:i/>
                <w:iCs/>
                <w:color w:val="000000"/>
                <w:sz w:val="16"/>
                <w:szCs w:val="16"/>
              </w:rPr>
              <w:t>0</w:t>
            </w:r>
          </w:p>
        </w:tc>
      </w:tr>
      <w:tr w:rsidR="00133594" w:rsidRPr="00AE1E60" w:rsidTr="0054537C">
        <w:trPr>
          <w:trHeight w:val="20"/>
          <w:jc w:val="center"/>
        </w:trPr>
        <w:tc>
          <w:tcPr>
            <w:tcW w:w="3976" w:type="dxa"/>
            <w:shd w:val="clear" w:color="auto" w:fill="auto"/>
            <w:hideMark/>
          </w:tcPr>
          <w:p w:rsidR="00133594" w:rsidRPr="00AE1E60" w:rsidRDefault="00133594" w:rsidP="000E1D0C">
            <w:pPr>
              <w:spacing w:before="60" w:after="60"/>
              <w:rPr>
                <w:rFonts w:ascii="Arial Narrow" w:hAnsi="Arial Narrow"/>
                <w:color w:val="000000"/>
                <w:sz w:val="16"/>
                <w:szCs w:val="16"/>
              </w:rPr>
            </w:pPr>
            <w:r>
              <w:rPr>
                <w:rFonts w:ascii="Arial Narrow" w:hAnsi="Arial Narrow"/>
                <w:color w:val="000000"/>
                <w:sz w:val="16"/>
                <w:szCs w:val="16"/>
              </w:rPr>
              <w:t>- ΕΓΤΑΑ (ΕΓΤΠΕ – Τμήμα Προσανατολι</w:t>
            </w:r>
            <w:r w:rsidRPr="00AE1E60">
              <w:rPr>
                <w:rFonts w:ascii="Arial Narrow" w:hAnsi="Arial Narrow"/>
                <w:color w:val="000000"/>
                <w:sz w:val="16"/>
                <w:szCs w:val="16"/>
              </w:rPr>
              <w:t>σμού)</w:t>
            </w:r>
          </w:p>
        </w:tc>
        <w:tc>
          <w:tcPr>
            <w:tcW w:w="1346" w:type="dxa"/>
            <w:shd w:val="clear" w:color="auto" w:fill="auto"/>
            <w:vAlign w:val="bottom"/>
            <w:hideMark/>
          </w:tcPr>
          <w:p w:rsidR="00133594" w:rsidRPr="00D256A8" w:rsidRDefault="00133594" w:rsidP="000E1D0C">
            <w:pPr>
              <w:tabs>
                <w:tab w:val="decimal" w:pos="720"/>
              </w:tabs>
              <w:spacing w:before="60" w:after="60"/>
              <w:jc w:val="both"/>
              <w:rPr>
                <w:rFonts w:ascii="Arial Narrow" w:hAnsi="Arial Narrow"/>
                <w:i/>
                <w:iCs/>
                <w:color w:val="000000"/>
                <w:sz w:val="16"/>
                <w:szCs w:val="16"/>
                <w:lang w:val="en-US"/>
              </w:rPr>
            </w:pPr>
            <w:r>
              <w:rPr>
                <w:rFonts w:ascii="Arial Narrow" w:hAnsi="Arial Narrow"/>
                <w:i/>
                <w:iCs/>
                <w:color w:val="000000"/>
                <w:sz w:val="16"/>
                <w:szCs w:val="16"/>
                <w:lang w:val="en-US"/>
              </w:rPr>
              <w:t>468</w:t>
            </w:r>
          </w:p>
        </w:tc>
        <w:tc>
          <w:tcPr>
            <w:tcW w:w="1307" w:type="dxa"/>
            <w:shd w:val="clear" w:color="auto" w:fill="auto"/>
            <w:vAlign w:val="bottom"/>
            <w:hideMark/>
          </w:tcPr>
          <w:p w:rsidR="00133594" w:rsidRPr="00D256A8" w:rsidRDefault="00133594" w:rsidP="000E1D0C">
            <w:pPr>
              <w:tabs>
                <w:tab w:val="decimal" w:pos="650"/>
              </w:tabs>
              <w:spacing w:before="60" w:after="60"/>
              <w:jc w:val="both"/>
              <w:rPr>
                <w:rFonts w:ascii="Arial Narrow" w:hAnsi="Arial Narrow"/>
                <w:i/>
                <w:iCs/>
                <w:sz w:val="16"/>
                <w:szCs w:val="16"/>
                <w:lang w:val="en-US"/>
              </w:rPr>
            </w:pPr>
            <w:r>
              <w:rPr>
                <w:rFonts w:ascii="Arial Narrow" w:hAnsi="Arial Narrow"/>
                <w:i/>
                <w:iCs/>
                <w:sz w:val="16"/>
                <w:szCs w:val="16"/>
                <w:lang w:val="en-US"/>
              </w:rPr>
              <w:t>538</w:t>
            </w:r>
          </w:p>
        </w:tc>
        <w:tc>
          <w:tcPr>
            <w:tcW w:w="1276" w:type="dxa"/>
            <w:shd w:val="clear" w:color="auto" w:fill="auto"/>
            <w:vAlign w:val="bottom"/>
            <w:hideMark/>
          </w:tcPr>
          <w:p w:rsidR="00133594" w:rsidRPr="00D256A8" w:rsidRDefault="00133594" w:rsidP="000E1D0C">
            <w:pPr>
              <w:tabs>
                <w:tab w:val="decimal" w:pos="601"/>
              </w:tabs>
              <w:spacing w:before="60" w:after="60"/>
              <w:jc w:val="both"/>
              <w:rPr>
                <w:rFonts w:ascii="Arial Narrow" w:hAnsi="Arial Narrow"/>
                <w:i/>
                <w:iCs/>
                <w:color w:val="000000"/>
                <w:sz w:val="16"/>
                <w:szCs w:val="16"/>
                <w:lang w:val="en-US"/>
              </w:rPr>
            </w:pPr>
            <w:r>
              <w:rPr>
                <w:rFonts w:ascii="Arial Narrow" w:hAnsi="Arial Narrow"/>
                <w:i/>
                <w:iCs/>
                <w:color w:val="000000"/>
                <w:sz w:val="16"/>
                <w:szCs w:val="16"/>
                <w:lang w:val="en-US"/>
              </w:rPr>
              <w:t>520</w:t>
            </w:r>
          </w:p>
        </w:tc>
      </w:tr>
      <w:tr w:rsidR="00133594" w:rsidRPr="00AE1E60" w:rsidTr="0054537C">
        <w:trPr>
          <w:trHeight w:val="20"/>
          <w:jc w:val="center"/>
        </w:trPr>
        <w:tc>
          <w:tcPr>
            <w:tcW w:w="3976" w:type="dxa"/>
            <w:shd w:val="clear" w:color="auto" w:fill="auto"/>
            <w:hideMark/>
          </w:tcPr>
          <w:p w:rsidR="00133594" w:rsidRPr="00AE1E60" w:rsidRDefault="00133594" w:rsidP="000E1D0C">
            <w:pPr>
              <w:spacing w:before="60" w:after="60"/>
              <w:rPr>
                <w:rFonts w:ascii="Arial Narrow" w:hAnsi="Arial Narrow"/>
                <w:color w:val="000000"/>
                <w:sz w:val="16"/>
                <w:szCs w:val="16"/>
              </w:rPr>
            </w:pPr>
            <w:r w:rsidRPr="00AE1E60">
              <w:rPr>
                <w:rFonts w:ascii="Arial Narrow" w:hAnsi="Arial Narrow"/>
                <w:color w:val="000000"/>
                <w:sz w:val="16"/>
                <w:szCs w:val="16"/>
              </w:rPr>
              <w:t>- ΕΤΘΑ (ΕΤΑ και ΧΜΠΑ)</w:t>
            </w:r>
          </w:p>
        </w:tc>
        <w:tc>
          <w:tcPr>
            <w:tcW w:w="1346" w:type="dxa"/>
            <w:shd w:val="clear" w:color="auto" w:fill="auto"/>
            <w:vAlign w:val="bottom"/>
            <w:hideMark/>
          </w:tcPr>
          <w:p w:rsidR="00133594" w:rsidRPr="00D256A8" w:rsidRDefault="00133594" w:rsidP="000E1D0C">
            <w:pPr>
              <w:tabs>
                <w:tab w:val="decimal" w:pos="720"/>
              </w:tabs>
              <w:spacing w:before="60" w:after="60"/>
              <w:jc w:val="both"/>
              <w:rPr>
                <w:rFonts w:ascii="Arial Narrow" w:hAnsi="Arial Narrow"/>
                <w:i/>
                <w:iCs/>
                <w:color w:val="000000"/>
                <w:sz w:val="16"/>
                <w:szCs w:val="16"/>
                <w:lang w:val="en-US"/>
              </w:rPr>
            </w:pPr>
            <w:r>
              <w:rPr>
                <w:rFonts w:ascii="Arial Narrow" w:hAnsi="Arial Narrow"/>
                <w:i/>
                <w:iCs/>
                <w:color w:val="000000"/>
                <w:sz w:val="16"/>
                <w:szCs w:val="16"/>
              </w:rPr>
              <w:t>2</w:t>
            </w:r>
            <w:r>
              <w:rPr>
                <w:rFonts w:ascii="Arial Narrow" w:hAnsi="Arial Narrow"/>
                <w:i/>
                <w:iCs/>
                <w:color w:val="000000"/>
                <w:sz w:val="16"/>
                <w:szCs w:val="16"/>
                <w:lang w:val="en-US"/>
              </w:rPr>
              <w:t>6</w:t>
            </w:r>
          </w:p>
        </w:tc>
        <w:tc>
          <w:tcPr>
            <w:tcW w:w="1307" w:type="dxa"/>
            <w:shd w:val="clear" w:color="auto" w:fill="auto"/>
            <w:vAlign w:val="bottom"/>
            <w:hideMark/>
          </w:tcPr>
          <w:p w:rsidR="00133594" w:rsidRPr="00D256A8" w:rsidRDefault="00133594" w:rsidP="000E1D0C">
            <w:pPr>
              <w:tabs>
                <w:tab w:val="decimal" w:pos="650"/>
              </w:tabs>
              <w:spacing w:before="60" w:after="60"/>
              <w:jc w:val="both"/>
              <w:rPr>
                <w:rFonts w:ascii="Arial Narrow" w:hAnsi="Arial Narrow"/>
                <w:i/>
                <w:iCs/>
                <w:sz w:val="16"/>
                <w:szCs w:val="16"/>
                <w:lang w:val="en-US"/>
              </w:rPr>
            </w:pPr>
            <w:r>
              <w:rPr>
                <w:rFonts w:ascii="Arial Narrow" w:hAnsi="Arial Narrow"/>
                <w:i/>
                <w:iCs/>
                <w:sz w:val="16"/>
                <w:szCs w:val="16"/>
                <w:lang w:val="en-US"/>
              </w:rPr>
              <w:t>46</w:t>
            </w:r>
          </w:p>
        </w:tc>
        <w:tc>
          <w:tcPr>
            <w:tcW w:w="1276" w:type="dxa"/>
            <w:shd w:val="clear" w:color="auto" w:fill="auto"/>
            <w:vAlign w:val="bottom"/>
            <w:hideMark/>
          </w:tcPr>
          <w:p w:rsidR="00133594" w:rsidRPr="00D256A8" w:rsidRDefault="00133594" w:rsidP="000E1D0C">
            <w:pPr>
              <w:tabs>
                <w:tab w:val="decimal" w:pos="601"/>
              </w:tabs>
              <w:spacing w:before="60" w:after="60"/>
              <w:jc w:val="both"/>
              <w:rPr>
                <w:rFonts w:ascii="Arial Narrow" w:hAnsi="Arial Narrow"/>
                <w:i/>
                <w:iCs/>
                <w:color w:val="000000"/>
                <w:sz w:val="16"/>
                <w:szCs w:val="16"/>
                <w:lang w:val="en-US"/>
              </w:rPr>
            </w:pPr>
            <w:r>
              <w:rPr>
                <w:rFonts w:ascii="Arial Narrow" w:hAnsi="Arial Narrow"/>
                <w:i/>
                <w:iCs/>
                <w:color w:val="000000"/>
                <w:sz w:val="16"/>
                <w:szCs w:val="16"/>
                <w:lang w:val="en-US"/>
              </w:rPr>
              <w:t>67</w:t>
            </w:r>
          </w:p>
        </w:tc>
      </w:tr>
      <w:tr w:rsidR="00133594" w:rsidRPr="00174516" w:rsidTr="0054537C">
        <w:trPr>
          <w:trHeight w:val="20"/>
          <w:jc w:val="center"/>
        </w:trPr>
        <w:tc>
          <w:tcPr>
            <w:tcW w:w="3976" w:type="dxa"/>
            <w:shd w:val="clear" w:color="auto" w:fill="auto"/>
            <w:hideMark/>
          </w:tcPr>
          <w:p w:rsidR="00133594" w:rsidRPr="00174516" w:rsidRDefault="00133594" w:rsidP="009930A8">
            <w:pPr>
              <w:jc w:val="both"/>
              <w:rPr>
                <w:rFonts w:ascii="Arial Narrow" w:hAnsi="Arial Narrow"/>
                <w:color w:val="000000"/>
                <w:sz w:val="12"/>
                <w:szCs w:val="16"/>
              </w:rPr>
            </w:pPr>
            <w:r w:rsidRPr="00174516">
              <w:rPr>
                <w:rFonts w:ascii="Arial Narrow" w:hAnsi="Arial Narrow"/>
                <w:color w:val="000000"/>
                <w:sz w:val="12"/>
                <w:szCs w:val="16"/>
              </w:rPr>
              <w:t> </w:t>
            </w:r>
          </w:p>
        </w:tc>
        <w:tc>
          <w:tcPr>
            <w:tcW w:w="1346" w:type="dxa"/>
            <w:shd w:val="clear" w:color="auto" w:fill="auto"/>
            <w:vAlign w:val="bottom"/>
            <w:hideMark/>
          </w:tcPr>
          <w:p w:rsidR="00133594" w:rsidRPr="00174516" w:rsidRDefault="00133594" w:rsidP="009930A8">
            <w:pPr>
              <w:tabs>
                <w:tab w:val="decimal" w:pos="720"/>
              </w:tabs>
              <w:jc w:val="both"/>
              <w:rPr>
                <w:rFonts w:ascii="Arial Narrow" w:hAnsi="Arial Narrow"/>
                <w:b/>
                <w:bCs/>
                <w:color w:val="000000"/>
                <w:sz w:val="12"/>
                <w:szCs w:val="16"/>
              </w:rPr>
            </w:pPr>
          </w:p>
        </w:tc>
        <w:tc>
          <w:tcPr>
            <w:tcW w:w="1307" w:type="dxa"/>
            <w:shd w:val="clear" w:color="auto" w:fill="auto"/>
            <w:vAlign w:val="bottom"/>
            <w:hideMark/>
          </w:tcPr>
          <w:p w:rsidR="00133594" w:rsidRPr="00174516" w:rsidRDefault="00133594" w:rsidP="009930A8">
            <w:pPr>
              <w:tabs>
                <w:tab w:val="decimal" w:pos="650"/>
              </w:tabs>
              <w:jc w:val="both"/>
              <w:rPr>
                <w:rFonts w:ascii="Arial Narrow" w:hAnsi="Arial Narrow"/>
                <w:b/>
                <w:bCs/>
                <w:sz w:val="12"/>
                <w:szCs w:val="16"/>
              </w:rPr>
            </w:pPr>
          </w:p>
        </w:tc>
        <w:tc>
          <w:tcPr>
            <w:tcW w:w="1276" w:type="dxa"/>
            <w:shd w:val="clear" w:color="auto" w:fill="auto"/>
            <w:vAlign w:val="bottom"/>
            <w:hideMark/>
          </w:tcPr>
          <w:p w:rsidR="00133594" w:rsidRPr="00174516" w:rsidRDefault="00133594" w:rsidP="009930A8">
            <w:pPr>
              <w:tabs>
                <w:tab w:val="decimal" w:pos="601"/>
              </w:tabs>
              <w:jc w:val="both"/>
              <w:rPr>
                <w:rFonts w:ascii="Arial Narrow" w:hAnsi="Arial Narrow"/>
                <w:b/>
                <w:bCs/>
                <w:color w:val="000000"/>
                <w:sz w:val="12"/>
                <w:szCs w:val="16"/>
              </w:rPr>
            </w:pPr>
          </w:p>
        </w:tc>
      </w:tr>
      <w:tr w:rsidR="00133594" w:rsidRPr="00AE1E60" w:rsidTr="0054537C">
        <w:trPr>
          <w:trHeight w:val="20"/>
          <w:jc w:val="center"/>
        </w:trPr>
        <w:tc>
          <w:tcPr>
            <w:tcW w:w="3976" w:type="dxa"/>
            <w:shd w:val="clear" w:color="auto" w:fill="BFBFBF" w:themeFill="background1" w:themeFillShade="BF"/>
            <w:hideMark/>
          </w:tcPr>
          <w:p w:rsidR="00133594" w:rsidRPr="00AE1E60" w:rsidRDefault="00133594" w:rsidP="000E1D0C">
            <w:pPr>
              <w:spacing w:before="60" w:after="60"/>
              <w:rPr>
                <w:rFonts w:ascii="Arial Narrow" w:hAnsi="Arial Narrow"/>
                <w:b/>
                <w:bCs/>
                <w:color w:val="000000"/>
                <w:sz w:val="16"/>
                <w:szCs w:val="16"/>
              </w:rPr>
            </w:pPr>
            <w:r w:rsidRPr="00AE1E60">
              <w:rPr>
                <w:rFonts w:ascii="Arial Narrow" w:hAnsi="Arial Narrow"/>
                <w:b/>
                <w:bCs/>
                <w:color w:val="000000"/>
                <w:sz w:val="16"/>
                <w:szCs w:val="16"/>
              </w:rPr>
              <w:t>Σύνολο</w:t>
            </w:r>
          </w:p>
        </w:tc>
        <w:tc>
          <w:tcPr>
            <w:tcW w:w="1346" w:type="dxa"/>
            <w:shd w:val="clear" w:color="auto" w:fill="BFBFBF" w:themeFill="background1" w:themeFillShade="BF"/>
            <w:vAlign w:val="bottom"/>
            <w:hideMark/>
          </w:tcPr>
          <w:p w:rsidR="00133594" w:rsidRPr="00D256A8" w:rsidRDefault="00133594" w:rsidP="000E1D0C">
            <w:pPr>
              <w:tabs>
                <w:tab w:val="decimal" w:pos="720"/>
              </w:tabs>
              <w:spacing w:before="60" w:after="60"/>
              <w:jc w:val="both"/>
              <w:rPr>
                <w:rFonts w:ascii="Arial Narrow" w:hAnsi="Arial Narrow"/>
                <w:b/>
                <w:bCs/>
                <w:color w:val="000000"/>
                <w:sz w:val="16"/>
                <w:szCs w:val="16"/>
                <w:lang w:val="en-US"/>
              </w:rPr>
            </w:pPr>
            <w:r>
              <w:rPr>
                <w:rFonts w:ascii="Arial Narrow" w:hAnsi="Arial Narrow"/>
                <w:b/>
                <w:bCs/>
                <w:color w:val="000000"/>
                <w:sz w:val="16"/>
                <w:szCs w:val="16"/>
              </w:rPr>
              <w:t>2.</w:t>
            </w:r>
            <w:r>
              <w:rPr>
                <w:rFonts w:ascii="Arial Narrow" w:hAnsi="Arial Narrow"/>
                <w:b/>
                <w:bCs/>
                <w:color w:val="000000"/>
                <w:sz w:val="16"/>
                <w:szCs w:val="16"/>
                <w:lang w:val="en-US"/>
              </w:rPr>
              <w:t>858</w:t>
            </w:r>
          </w:p>
        </w:tc>
        <w:tc>
          <w:tcPr>
            <w:tcW w:w="1307" w:type="dxa"/>
            <w:shd w:val="clear" w:color="auto" w:fill="BFBFBF" w:themeFill="background1" w:themeFillShade="BF"/>
            <w:vAlign w:val="bottom"/>
            <w:hideMark/>
          </w:tcPr>
          <w:p w:rsidR="00133594" w:rsidRPr="00D256A8" w:rsidRDefault="00133594" w:rsidP="000E1D0C">
            <w:pPr>
              <w:tabs>
                <w:tab w:val="decimal" w:pos="650"/>
              </w:tabs>
              <w:spacing w:before="60" w:after="60"/>
              <w:jc w:val="both"/>
              <w:rPr>
                <w:rFonts w:ascii="Arial Narrow" w:hAnsi="Arial Narrow"/>
                <w:b/>
                <w:bCs/>
                <w:sz w:val="16"/>
                <w:szCs w:val="16"/>
                <w:lang w:val="en-US"/>
              </w:rPr>
            </w:pPr>
            <w:r>
              <w:rPr>
                <w:rFonts w:ascii="Arial Narrow" w:hAnsi="Arial Narrow"/>
                <w:b/>
                <w:bCs/>
                <w:sz w:val="16"/>
                <w:szCs w:val="16"/>
                <w:lang w:val="en-US"/>
              </w:rPr>
              <w:t>5.466</w:t>
            </w:r>
          </w:p>
        </w:tc>
        <w:tc>
          <w:tcPr>
            <w:tcW w:w="1276" w:type="dxa"/>
            <w:shd w:val="clear" w:color="auto" w:fill="BFBFBF" w:themeFill="background1" w:themeFillShade="BF"/>
            <w:vAlign w:val="bottom"/>
            <w:hideMark/>
          </w:tcPr>
          <w:p w:rsidR="00133594" w:rsidRPr="00D256A8" w:rsidRDefault="00133594" w:rsidP="000E1D0C">
            <w:pPr>
              <w:tabs>
                <w:tab w:val="decimal" w:pos="601"/>
              </w:tabs>
              <w:spacing w:before="60" w:after="60"/>
              <w:jc w:val="both"/>
              <w:rPr>
                <w:rFonts w:ascii="Arial Narrow" w:hAnsi="Arial Narrow"/>
                <w:b/>
                <w:bCs/>
                <w:color w:val="000000"/>
                <w:sz w:val="16"/>
                <w:szCs w:val="16"/>
                <w:lang w:val="en-US"/>
              </w:rPr>
            </w:pPr>
            <w:r>
              <w:rPr>
                <w:rFonts w:ascii="Arial Narrow" w:hAnsi="Arial Narrow"/>
                <w:b/>
                <w:bCs/>
                <w:color w:val="000000"/>
                <w:sz w:val="16"/>
                <w:szCs w:val="16"/>
                <w:lang w:val="en-US"/>
              </w:rPr>
              <w:t>4.192</w:t>
            </w:r>
          </w:p>
        </w:tc>
      </w:tr>
    </w:tbl>
    <w:p w:rsidR="00133594" w:rsidRPr="00E67F0E" w:rsidRDefault="00133594" w:rsidP="00133594">
      <w:pPr>
        <w:tabs>
          <w:tab w:val="left" w:pos="8015"/>
        </w:tabs>
        <w:ind w:left="1134" w:hanging="567"/>
        <w:rPr>
          <w:rFonts w:ascii="Calibri" w:hAnsi="Calibri"/>
          <w:color w:val="000000"/>
          <w:sz w:val="22"/>
          <w:szCs w:val="22"/>
        </w:rPr>
      </w:pPr>
      <w:r w:rsidRPr="00E67F0E">
        <w:rPr>
          <w:rFonts w:ascii="Arial Narrow" w:hAnsi="Arial Narrow"/>
          <w:iCs/>
          <w:color w:val="000000"/>
          <w:sz w:val="16"/>
          <w:szCs w:val="16"/>
        </w:rPr>
        <w:t xml:space="preserve">Πηγές: </w:t>
      </w:r>
      <w:r>
        <w:rPr>
          <w:rFonts w:ascii="Arial Narrow" w:hAnsi="Arial Narrow"/>
          <w:iCs/>
          <w:color w:val="000000"/>
          <w:sz w:val="16"/>
          <w:szCs w:val="16"/>
        </w:rPr>
        <w:t>ΓΛΚ, Υπεύθυνες Αρχές Πιστοποίησης και Πληρωμής ΕΠ, Διεύθυνση Δημοσίων Επενδύσεων, Υπουργείο Ανάπτυξης.</w:t>
      </w:r>
    </w:p>
    <w:p w:rsidR="00133594" w:rsidRDefault="00133594" w:rsidP="00133594">
      <w:pPr>
        <w:jc w:val="both"/>
        <w:rPr>
          <w:rFonts w:ascii="Arial Narrow" w:hAnsi="Arial Narrow"/>
          <w:b/>
          <w:bCs/>
          <w:sz w:val="22"/>
          <w:szCs w:val="22"/>
        </w:rPr>
      </w:pPr>
    </w:p>
    <w:p w:rsidR="00191466" w:rsidRDefault="00191466" w:rsidP="00133594">
      <w:pPr>
        <w:jc w:val="both"/>
        <w:rPr>
          <w:rFonts w:ascii="Arial Narrow" w:hAnsi="Arial Narrow"/>
          <w:b/>
          <w:bCs/>
          <w:sz w:val="22"/>
          <w:szCs w:val="22"/>
        </w:rPr>
      </w:pPr>
    </w:p>
    <w:p w:rsidR="00133594" w:rsidRPr="008C4267" w:rsidRDefault="00133594" w:rsidP="00133594">
      <w:pPr>
        <w:jc w:val="both"/>
        <w:rPr>
          <w:rFonts w:ascii="Arial Narrow" w:hAnsi="Arial Narrow"/>
          <w:b/>
          <w:bCs/>
          <w:sz w:val="22"/>
          <w:szCs w:val="22"/>
        </w:rPr>
      </w:pPr>
      <w:r>
        <w:rPr>
          <w:rFonts w:ascii="Arial Narrow" w:hAnsi="Arial Narrow"/>
          <w:b/>
          <w:bCs/>
          <w:sz w:val="22"/>
          <w:szCs w:val="22"/>
        </w:rPr>
        <w:t>Έσοδα χρηματοοικονομικών συναλλαγών</w:t>
      </w:r>
    </w:p>
    <w:p w:rsidR="00133594" w:rsidRPr="008C4267" w:rsidRDefault="00133594" w:rsidP="00133594">
      <w:pPr>
        <w:jc w:val="both"/>
        <w:rPr>
          <w:rFonts w:ascii="Arial Narrow" w:hAnsi="Arial Narrow"/>
          <w:bCs/>
          <w:i/>
          <w:sz w:val="22"/>
          <w:szCs w:val="22"/>
        </w:rPr>
      </w:pPr>
    </w:p>
    <w:p w:rsidR="00133594" w:rsidRPr="006A084B" w:rsidRDefault="00133594" w:rsidP="00133594">
      <w:pPr>
        <w:jc w:val="both"/>
        <w:rPr>
          <w:rFonts w:ascii="Arial Narrow" w:hAnsi="Arial Narrow"/>
          <w:b/>
          <w:bCs/>
          <w:i/>
          <w:sz w:val="22"/>
          <w:szCs w:val="22"/>
        </w:rPr>
      </w:pPr>
      <w:r w:rsidRPr="006A084B">
        <w:rPr>
          <w:rFonts w:ascii="Arial Narrow" w:hAnsi="Arial Narrow"/>
          <w:b/>
          <w:bCs/>
          <w:i/>
          <w:sz w:val="22"/>
          <w:szCs w:val="22"/>
        </w:rPr>
        <w:t>Χρεωστικοί τίτλοι</w:t>
      </w:r>
    </w:p>
    <w:p w:rsidR="00133594" w:rsidRDefault="00133594" w:rsidP="00133594">
      <w:pPr>
        <w:jc w:val="both"/>
        <w:rPr>
          <w:bCs/>
          <w:sz w:val="22"/>
          <w:szCs w:val="22"/>
        </w:rPr>
      </w:pPr>
    </w:p>
    <w:p w:rsidR="00133594" w:rsidRDefault="00133594" w:rsidP="00133594">
      <w:pPr>
        <w:jc w:val="both"/>
        <w:rPr>
          <w:bCs/>
          <w:sz w:val="22"/>
          <w:szCs w:val="22"/>
        </w:rPr>
      </w:pPr>
      <w:r>
        <w:rPr>
          <w:bCs/>
          <w:sz w:val="22"/>
          <w:szCs w:val="22"/>
        </w:rPr>
        <w:t>Τα έσοδα από χρεολύσια επενδύσεων σε ομόλογα ΕΑΣ, τα οποία περιήλθαν στην κατοχή του Ελλην</w:t>
      </w:r>
      <w:r>
        <w:rPr>
          <w:bCs/>
          <w:sz w:val="22"/>
          <w:szCs w:val="22"/>
        </w:rPr>
        <w:t>ι</w:t>
      </w:r>
      <w:r>
        <w:rPr>
          <w:bCs/>
          <w:sz w:val="22"/>
          <w:szCs w:val="22"/>
        </w:rPr>
        <w:t xml:space="preserve">κού Δημοσίου μετά το </w:t>
      </w:r>
      <w:r>
        <w:rPr>
          <w:bCs/>
          <w:sz w:val="22"/>
          <w:szCs w:val="22"/>
          <w:lang w:val="en-GB"/>
        </w:rPr>
        <w:t>PSI</w:t>
      </w:r>
      <w:r>
        <w:rPr>
          <w:bCs/>
          <w:sz w:val="22"/>
          <w:szCs w:val="22"/>
        </w:rPr>
        <w:t xml:space="preserve"> προβλέπονται σε </w:t>
      </w:r>
      <w:r w:rsidRPr="005012C2">
        <w:rPr>
          <w:bCs/>
          <w:sz w:val="22"/>
          <w:szCs w:val="22"/>
        </w:rPr>
        <w:t>3</w:t>
      </w:r>
      <w:r>
        <w:rPr>
          <w:bCs/>
          <w:sz w:val="22"/>
          <w:szCs w:val="22"/>
        </w:rPr>
        <w:t>1 εκατ. ευρώ.</w:t>
      </w:r>
    </w:p>
    <w:p w:rsidR="00133594" w:rsidRDefault="00133594" w:rsidP="00133594">
      <w:pPr>
        <w:jc w:val="both"/>
        <w:rPr>
          <w:bCs/>
          <w:sz w:val="22"/>
          <w:szCs w:val="22"/>
        </w:rPr>
      </w:pPr>
    </w:p>
    <w:p w:rsidR="00133594" w:rsidRPr="006A084B" w:rsidRDefault="00133594" w:rsidP="00133594">
      <w:pPr>
        <w:jc w:val="both"/>
        <w:rPr>
          <w:rFonts w:ascii="Arial Narrow" w:hAnsi="Arial Narrow"/>
          <w:b/>
          <w:bCs/>
          <w:i/>
          <w:sz w:val="22"/>
          <w:szCs w:val="22"/>
        </w:rPr>
      </w:pPr>
      <w:r w:rsidRPr="006A084B">
        <w:rPr>
          <w:rFonts w:ascii="Arial Narrow" w:hAnsi="Arial Narrow"/>
          <w:b/>
          <w:bCs/>
          <w:i/>
          <w:sz w:val="22"/>
          <w:szCs w:val="22"/>
        </w:rPr>
        <w:t>Συμμετοχικοί τίτλοι</w:t>
      </w:r>
    </w:p>
    <w:p w:rsidR="00133594" w:rsidRDefault="00133594" w:rsidP="00133594">
      <w:pPr>
        <w:jc w:val="both"/>
        <w:rPr>
          <w:bCs/>
          <w:sz w:val="22"/>
          <w:szCs w:val="22"/>
        </w:rPr>
      </w:pPr>
    </w:p>
    <w:p w:rsidR="00133594" w:rsidRPr="006A084B" w:rsidRDefault="00133594" w:rsidP="00133594">
      <w:pPr>
        <w:jc w:val="both"/>
        <w:rPr>
          <w:bCs/>
          <w:sz w:val="22"/>
          <w:szCs w:val="22"/>
        </w:rPr>
      </w:pPr>
      <w:r>
        <w:rPr>
          <w:bCs/>
          <w:sz w:val="22"/>
          <w:szCs w:val="22"/>
        </w:rPr>
        <w:t>Τα έσοδα από πωλήσεις μετοχών διαφόρων εισηγμένων και μη εισηγμένων στο ΧΑ εταιρειών, κυρι</w:t>
      </w:r>
      <w:r>
        <w:rPr>
          <w:bCs/>
          <w:sz w:val="22"/>
          <w:szCs w:val="22"/>
        </w:rPr>
        <w:t>ό</w:t>
      </w:r>
      <w:r>
        <w:rPr>
          <w:bCs/>
          <w:sz w:val="22"/>
          <w:szCs w:val="22"/>
        </w:rPr>
        <w:t xml:space="preserve">τητας Ελληνικού Δημοσίου ή/και ΤΑΙΠΕΔ ΑΕ, προβλέπονται να ανέλθουν στα </w:t>
      </w:r>
      <w:r w:rsidRPr="005012C2">
        <w:rPr>
          <w:bCs/>
          <w:sz w:val="22"/>
          <w:szCs w:val="22"/>
        </w:rPr>
        <w:t>1.453</w:t>
      </w:r>
      <w:r>
        <w:rPr>
          <w:bCs/>
          <w:sz w:val="22"/>
          <w:szCs w:val="22"/>
        </w:rPr>
        <w:t xml:space="preserve"> εκατ. ευρώ.</w:t>
      </w:r>
    </w:p>
    <w:p w:rsidR="00191466" w:rsidRDefault="00191466" w:rsidP="00133594"/>
    <w:p w:rsidR="00247989" w:rsidRPr="003E2BF6" w:rsidRDefault="00247989" w:rsidP="00247989">
      <w:pPr>
        <w:shd w:val="clear" w:color="auto" w:fill="BFBFBF" w:themeFill="background1" w:themeFillShade="BF"/>
        <w:rPr>
          <w:rFonts w:ascii="Arial Narrow" w:hAnsi="Arial Narrow"/>
          <w:b/>
          <w:szCs w:val="26"/>
        </w:rPr>
      </w:pPr>
      <w:r>
        <w:rPr>
          <w:rFonts w:ascii="Arial Narrow" w:hAnsi="Arial Narrow"/>
          <w:b/>
          <w:szCs w:val="26"/>
        </w:rPr>
        <w:t>4.2</w:t>
      </w:r>
      <w:r w:rsidRPr="003E2BF6">
        <w:rPr>
          <w:rFonts w:ascii="Arial Narrow" w:hAnsi="Arial Narrow"/>
          <w:b/>
          <w:szCs w:val="26"/>
        </w:rPr>
        <w:tab/>
      </w:r>
      <w:r>
        <w:rPr>
          <w:rFonts w:ascii="Arial Narrow" w:hAnsi="Arial Narrow"/>
          <w:b/>
          <w:szCs w:val="26"/>
        </w:rPr>
        <w:t>Δαπάνες</w:t>
      </w:r>
    </w:p>
    <w:p w:rsidR="007232A9" w:rsidRDefault="007232A9">
      <w:pPr>
        <w:rPr>
          <w:sz w:val="22"/>
        </w:rPr>
      </w:pPr>
    </w:p>
    <w:p w:rsidR="00361B98" w:rsidRPr="00757B77" w:rsidRDefault="00361B98" w:rsidP="00361B98">
      <w:pPr>
        <w:contextualSpacing/>
        <w:jc w:val="both"/>
        <w:outlineLvl w:val="3"/>
        <w:rPr>
          <w:bCs/>
          <w:sz w:val="22"/>
        </w:rPr>
      </w:pPr>
      <w:r w:rsidRPr="00757B77">
        <w:rPr>
          <w:bCs/>
          <w:sz w:val="22"/>
        </w:rPr>
        <w:t>Οι συνολικές δαπάνες του Κρατικού Προϋπολογισμού για το έτος 2021 προβλέπεται ότι θα διαμο</w:t>
      </w:r>
      <w:r w:rsidRPr="00757B77">
        <w:rPr>
          <w:bCs/>
          <w:sz w:val="22"/>
        </w:rPr>
        <w:t>ρ</w:t>
      </w:r>
      <w:r w:rsidR="00247ED5">
        <w:rPr>
          <w:bCs/>
          <w:sz w:val="22"/>
        </w:rPr>
        <w:t>φωθούν (</w:t>
      </w:r>
      <w:r w:rsidR="00F3324C">
        <w:rPr>
          <w:bCs/>
          <w:sz w:val="22"/>
        </w:rPr>
        <w:t xml:space="preserve">σε </w:t>
      </w:r>
      <w:r w:rsidRPr="00757B77">
        <w:rPr>
          <w:bCs/>
          <w:sz w:val="22"/>
        </w:rPr>
        <w:t>δημοσιονομική βάση) σε 67.184 εκατ. ευρώ, μειωμένες κατά 2.148 εκατ. ευρώ σε σχέση με την αντίστοιχη εκτίμηση για το 2020.</w:t>
      </w:r>
    </w:p>
    <w:p w:rsidR="00361B98" w:rsidRPr="00757B77" w:rsidRDefault="00361B98" w:rsidP="00361B98">
      <w:pPr>
        <w:contextualSpacing/>
        <w:jc w:val="both"/>
        <w:outlineLvl w:val="3"/>
        <w:rPr>
          <w:sz w:val="22"/>
        </w:rPr>
      </w:pPr>
    </w:p>
    <w:p w:rsidR="00361B98" w:rsidRPr="00757B77" w:rsidRDefault="00361B98" w:rsidP="00361B98">
      <w:pPr>
        <w:contextualSpacing/>
        <w:jc w:val="both"/>
        <w:outlineLvl w:val="3"/>
        <w:rPr>
          <w:bCs/>
          <w:sz w:val="22"/>
        </w:rPr>
      </w:pPr>
      <w:r w:rsidRPr="00757B77">
        <w:rPr>
          <w:bCs/>
          <w:sz w:val="22"/>
        </w:rPr>
        <w:t xml:space="preserve">Οι πρωτογενείς δαπάνες του Κρατικού Προϋπολογισμού </w:t>
      </w:r>
      <w:r w:rsidR="00247ED5">
        <w:rPr>
          <w:bCs/>
          <w:sz w:val="22"/>
        </w:rPr>
        <w:t>προβλέπεται</w:t>
      </w:r>
      <w:r w:rsidRPr="00757B77">
        <w:rPr>
          <w:bCs/>
          <w:sz w:val="22"/>
        </w:rPr>
        <w:t xml:space="preserve"> ότι θα διαμορφωθούν σε δημ</w:t>
      </w:r>
      <w:r w:rsidRPr="00757B77">
        <w:rPr>
          <w:bCs/>
          <w:sz w:val="22"/>
        </w:rPr>
        <w:t>ο</w:t>
      </w:r>
      <w:r w:rsidRPr="00757B77">
        <w:rPr>
          <w:bCs/>
          <w:sz w:val="22"/>
        </w:rPr>
        <w:t>σιονομική βάση</w:t>
      </w:r>
      <w:r w:rsidR="00247ED5">
        <w:rPr>
          <w:bCs/>
          <w:sz w:val="22"/>
        </w:rPr>
        <w:t>,</w:t>
      </w:r>
      <w:r w:rsidRPr="00757B77">
        <w:rPr>
          <w:bCs/>
          <w:sz w:val="22"/>
        </w:rPr>
        <w:t xml:space="preserve"> στα 61.484 εκατ. ευρώ, μειωμένες κατά 1.998 εκατ. ευρώ σε σχέση με την αντίστο</w:t>
      </w:r>
      <w:r w:rsidRPr="00757B77">
        <w:rPr>
          <w:bCs/>
          <w:sz w:val="22"/>
        </w:rPr>
        <w:t>ι</w:t>
      </w:r>
      <w:r w:rsidRPr="00757B77">
        <w:rPr>
          <w:bCs/>
          <w:sz w:val="22"/>
        </w:rPr>
        <w:t>χη εκτίμηση για το 2020.</w:t>
      </w:r>
    </w:p>
    <w:p w:rsidR="00361B98" w:rsidRDefault="00361B98" w:rsidP="00361B98">
      <w:pPr>
        <w:contextualSpacing/>
        <w:jc w:val="both"/>
        <w:outlineLvl w:val="3"/>
        <w:rPr>
          <w:sz w:val="22"/>
        </w:rPr>
      </w:pPr>
    </w:p>
    <w:p w:rsidR="00361B98" w:rsidRPr="004A0334" w:rsidRDefault="00361B98" w:rsidP="00361B98">
      <w:pPr>
        <w:jc w:val="both"/>
        <w:rPr>
          <w:b/>
          <w:color w:val="000080"/>
          <w:sz w:val="22"/>
          <w:szCs w:val="22"/>
        </w:rPr>
      </w:pPr>
      <w:r w:rsidRPr="009835FE">
        <w:rPr>
          <w:rFonts w:ascii="Arial Narrow" w:hAnsi="Arial Narrow"/>
          <w:b/>
          <w:color w:val="000080"/>
          <w:szCs w:val="22"/>
        </w:rPr>
        <w:t xml:space="preserve">Ανάλυση δαπανών κατά </w:t>
      </w:r>
      <w:r>
        <w:rPr>
          <w:rFonts w:ascii="Arial Narrow" w:hAnsi="Arial Narrow"/>
          <w:b/>
          <w:color w:val="000080"/>
          <w:szCs w:val="22"/>
        </w:rPr>
        <w:t xml:space="preserve">μείζονες </w:t>
      </w:r>
      <w:r w:rsidRPr="006950CA">
        <w:rPr>
          <w:rFonts w:ascii="Arial Narrow" w:hAnsi="Arial Narrow"/>
          <w:b/>
          <w:color w:val="000080"/>
          <w:szCs w:val="22"/>
        </w:rPr>
        <w:t>κατηγορίες</w:t>
      </w:r>
      <w:r>
        <w:rPr>
          <w:rFonts w:ascii="Arial Narrow" w:hAnsi="Arial Narrow"/>
          <w:b/>
          <w:color w:val="000080"/>
          <w:szCs w:val="22"/>
        </w:rPr>
        <w:t xml:space="preserve"> (σε δημοσιονομική βάση)</w:t>
      </w:r>
    </w:p>
    <w:p w:rsidR="00361B98" w:rsidRPr="0064178C" w:rsidRDefault="00361B98" w:rsidP="00361B98">
      <w:pPr>
        <w:jc w:val="both"/>
        <w:outlineLvl w:val="3"/>
        <w:rPr>
          <w:sz w:val="22"/>
        </w:rPr>
      </w:pPr>
    </w:p>
    <w:p w:rsidR="00361B98" w:rsidRPr="00361B98" w:rsidRDefault="00361B98" w:rsidP="00361B98">
      <w:pPr>
        <w:jc w:val="both"/>
        <w:outlineLvl w:val="3"/>
        <w:rPr>
          <w:rFonts w:ascii="Arial Narrow" w:hAnsi="Arial Narrow"/>
          <w:b/>
          <w:sz w:val="22"/>
        </w:rPr>
      </w:pPr>
      <w:r w:rsidRPr="00361B98">
        <w:rPr>
          <w:rFonts w:ascii="Arial Narrow" w:hAnsi="Arial Narrow"/>
          <w:b/>
          <w:sz w:val="22"/>
        </w:rPr>
        <w:t>Δαπάνες μη χρηματοοικονομικών συναλλαγών</w:t>
      </w:r>
    </w:p>
    <w:p w:rsidR="00361B98" w:rsidRPr="0064178C" w:rsidRDefault="00361B98" w:rsidP="00361B98">
      <w:pPr>
        <w:jc w:val="both"/>
        <w:outlineLvl w:val="3"/>
        <w:rPr>
          <w:sz w:val="22"/>
        </w:rPr>
      </w:pPr>
    </w:p>
    <w:p w:rsidR="00361B98" w:rsidRPr="00361B98" w:rsidRDefault="00361B98" w:rsidP="00361B98">
      <w:pPr>
        <w:jc w:val="both"/>
        <w:rPr>
          <w:rFonts w:ascii="Arial Narrow" w:hAnsi="Arial Narrow"/>
          <w:b/>
          <w:bCs/>
          <w:i/>
          <w:sz w:val="22"/>
          <w:szCs w:val="22"/>
        </w:rPr>
      </w:pPr>
      <w:r w:rsidRPr="00361B98">
        <w:rPr>
          <w:rFonts w:ascii="Arial Narrow" w:hAnsi="Arial Narrow"/>
          <w:b/>
          <w:bCs/>
          <w:i/>
          <w:sz w:val="22"/>
          <w:szCs w:val="22"/>
        </w:rPr>
        <w:t>Παροχές σε εργαζόμενους</w:t>
      </w:r>
    </w:p>
    <w:p w:rsidR="00361B98" w:rsidRDefault="00361B98" w:rsidP="00361B98">
      <w:pPr>
        <w:contextualSpacing/>
        <w:jc w:val="both"/>
      </w:pPr>
    </w:p>
    <w:p w:rsidR="00361B98" w:rsidRDefault="00361B98" w:rsidP="00361B98">
      <w:pPr>
        <w:jc w:val="both"/>
        <w:rPr>
          <w:sz w:val="22"/>
        </w:rPr>
      </w:pPr>
      <w:r w:rsidRPr="00757B77">
        <w:rPr>
          <w:sz w:val="22"/>
        </w:rPr>
        <w:t>Οι δαπάνες παροχών σε εργαζόμενους προβλέπεται ότι θα ανέλθουν στα 13.531 εκατ. ευρώ, αυξημ</w:t>
      </w:r>
      <w:r w:rsidRPr="00757B77">
        <w:rPr>
          <w:sz w:val="22"/>
        </w:rPr>
        <w:t>έ</w:t>
      </w:r>
      <w:r w:rsidRPr="00757B77">
        <w:rPr>
          <w:sz w:val="22"/>
        </w:rPr>
        <w:t>νες κατά 120 εκατ. ευρώ σε σχέση με την αντίστοιχη εκτίμηση για το 2020. Η μεταβολή αυτή οφείλ</w:t>
      </w:r>
      <w:r w:rsidRPr="00757B77">
        <w:rPr>
          <w:sz w:val="22"/>
        </w:rPr>
        <w:t>ε</w:t>
      </w:r>
      <w:r w:rsidRPr="00757B77">
        <w:rPr>
          <w:sz w:val="22"/>
        </w:rPr>
        <w:t>ται τόσο στ</w:t>
      </w:r>
      <w:r w:rsidR="00247ED5">
        <w:rPr>
          <w:sz w:val="22"/>
        </w:rPr>
        <w:t>ην αύξηση των τακτικών αποδοχών και</w:t>
      </w:r>
      <w:r w:rsidRPr="00757B77">
        <w:rPr>
          <w:sz w:val="22"/>
        </w:rPr>
        <w:t xml:space="preserve"> των εργοδοτικών εισφορών</w:t>
      </w:r>
      <w:r w:rsidR="00247ED5">
        <w:rPr>
          <w:sz w:val="22"/>
        </w:rPr>
        <w:t>,</w:t>
      </w:r>
      <w:r w:rsidRPr="00757B77">
        <w:rPr>
          <w:sz w:val="22"/>
        </w:rPr>
        <w:t xml:space="preserve"> όσο και στη</w:t>
      </w:r>
      <w:r>
        <w:rPr>
          <w:sz w:val="22"/>
        </w:rPr>
        <w:t xml:space="preserve"> μείωση των πρόσθετων αποδοχών.</w:t>
      </w:r>
    </w:p>
    <w:p w:rsidR="00361B98" w:rsidRPr="00757B77" w:rsidRDefault="00361B98" w:rsidP="00361B98">
      <w:pPr>
        <w:jc w:val="both"/>
        <w:rPr>
          <w:sz w:val="22"/>
        </w:rPr>
      </w:pPr>
    </w:p>
    <w:p w:rsidR="00361B98" w:rsidRDefault="00361B98" w:rsidP="00361B98">
      <w:pPr>
        <w:jc w:val="both"/>
        <w:rPr>
          <w:sz w:val="22"/>
        </w:rPr>
      </w:pPr>
      <w:r w:rsidRPr="00757B77">
        <w:rPr>
          <w:sz w:val="22"/>
        </w:rPr>
        <w:t xml:space="preserve">Ειδικότερα, οι τακτικές αποδοχές καθώς και </w:t>
      </w:r>
      <w:r w:rsidR="00247ED5">
        <w:rPr>
          <w:sz w:val="22"/>
        </w:rPr>
        <w:t xml:space="preserve">οι </w:t>
      </w:r>
      <w:r w:rsidRPr="00757B77">
        <w:rPr>
          <w:sz w:val="22"/>
        </w:rPr>
        <w:t xml:space="preserve">εργοδοτικές εισφορές αναμένονται </w:t>
      </w:r>
      <w:r w:rsidR="00E26E29" w:rsidRPr="00757B77">
        <w:rPr>
          <w:sz w:val="22"/>
        </w:rPr>
        <w:t xml:space="preserve">το 2021 </w:t>
      </w:r>
      <w:r w:rsidRPr="00757B77">
        <w:rPr>
          <w:sz w:val="22"/>
        </w:rPr>
        <w:t>αυξημένες κατά 185 εκατ. ευρώ και 34 εκατ. ευρώ αντίστοιχα σε σχέση με το 2020, κυρίως λόγω:</w:t>
      </w:r>
    </w:p>
    <w:p w:rsidR="00361B98" w:rsidRPr="00757B77" w:rsidRDefault="00361B98" w:rsidP="00361B98">
      <w:pPr>
        <w:jc w:val="both"/>
        <w:rPr>
          <w:sz w:val="22"/>
        </w:rPr>
      </w:pPr>
    </w:p>
    <w:p w:rsidR="00361B98" w:rsidRPr="00757B77" w:rsidRDefault="00361B98" w:rsidP="00361B98">
      <w:pPr>
        <w:pStyle w:val="af2"/>
        <w:numPr>
          <w:ilvl w:val="0"/>
          <w:numId w:val="38"/>
        </w:numPr>
        <w:spacing w:after="0" w:line="240" w:lineRule="auto"/>
        <w:ind w:left="284" w:hanging="284"/>
        <w:contextualSpacing w:val="0"/>
        <w:jc w:val="both"/>
        <w:rPr>
          <w:rFonts w:ascii="Times New Roman" w:hAnsi="Times New Roman"/>
        </w:rPr>
      </w:pPr>
      <w:r w:rsidRPr="00757B77">
        <w:rPr>
          <w:rFonts w:ascii="Times New Roman" w:hAnsi="Times New Roman"/>
        </w:rPr>
        <w:t>νέων προσλήψεων μονίμων εκπαιδευτικών στο Υπουργείο Παιδείας και Θρησκευμάτων</w:t>
      </w:r>
      <w:r w:rsidR="006D05A3">
        <w:rPr>
          <w:rFonts w:ascii="Times New Roman" w:hAnsi="Times New Roman"/>
        </w:rPr>
        <w:t xml:space="preserve"> και προ</w:t>
      </w:r>
      <w:r w:rsidR="006D05A3">
        <w:rPr>
          <w:rFonts w:ascii="Times New Roman" w:hAnsi="Times New Roman"/>
        </w:rPr>
        <w:t>σ</w:t>
      </w:r>
      <w:r w:rsidR="006D05A3">
        <w:rPr>
          <w:rFonts w:ascii="Times New Roman" w:hAnsi="Times New Roman"/>
        </w:rPr>
        <w:t>λήψεων στο Εθνικό Σύστημα Υγείας</w:t>
      </w:r>
      <w:r w:rsidRPr="00757B77">
        <w:rPr>
          <w:rFonts w:ascii="Times New Roman" w:hAnsi="Times New Roman"/>
        </w:rPr>
        <w:t>,</w:t>
      </w:r>
    </w:p>
    <w:p w:rsidR="00361B98" w:rsidRPr="00757B77" w:rsidRDefault="00361B98" w:rsidP="00361B98">
      <w:pPr>
        <w:pStyle w:val="af2"/>
        <w:numPr>
          <w:ilvl w:val="0"/>
          <w:numId w:val="38"/>
        </w:numPr>
        <w:spacing w:after="0" w:line="240" w:lineRule="auto"/>
        <w:ind w:left="284" w:hanging="284"/>
        <w:contextualSpacing w:val="0"/>
        <w:jc w:val="both"/>
        <w:rPr>
          <w:rFonts w:ascii="Times New Roman" w:hAnsi="Times New Roman"/>
        </w:rPr>
      </w:pPr>
      <w:r w:rsidRPr="00757B77">
        <w:rPr>
          <w:rFonts w:ascii="Times New Roman" w:hAnsi="Times New Roman"/>
        </w:rPr>
        <w:t xml:space="preserve">αύξησης του αριθμού των εισακτέων στις παραγωγικές σχολές του Υπουργείου Εθνικής Άμυνας και πρόσληψης Μόνιμων Επαγγελματιών Οπλιτών (ΕΠΟΠ) και Οπλιτών Βραχείας Ανακατάταξης (ΟΒΑ), </w:t>
      </w:r>
    </w:p>
    <w:p w:rsidR="00361B98" w:rsidRPr="00757B77" w:rsidRDefault="00361B98" w:rsidP="00361B98">
      <w:pPr>
        <w:pStyle w:val="af2"/>
        <w:numPr>
          <w:ilvl w:val="0"/>
          <w:numId w:val="38"/>
        </w:numPr>
        <w:spacing w:after="0" w:line="240" w:lineRule="auto"/>
        <w:ind w:left="284" w:hanging="284"/>
        <w:contextualSpacing w:val="0"/>
        <w:jc w:val="both"/>
        <w:rPr>
          <w:rFonts w:ascii="Times New Roman" w:hAnsi="Times New Roman"/>
        </w:rPr>
      </w:pPr>
      <w:r w:rsidRPr="00757B77">
        <w:rPr>
          <w:rFonts w:ascii="Times New Roman" w:hAnsi="Times New Roman"/>
        </w:rPr>
        <w:t>νέων προσλήψεων στο Πυροσβεστικό Σώμα, στην Πολιτική Προστασία και στην Αστυνομία</w:t>
      </w:r>
      <w:r w:rsidR="00247ED5">
        <w:rPr>
          <w:rFonts w:ascii="Times New Roman" w:hAnsi="Times New Roman"/>
        </w:rPr>
        <w:t>, κ</w:t>
      </w:r>
      <w:r w:rsidR="00247ED5">
        <w:rPr>
          <w:rFonts w:ascii="Times New Roman" w:hAnsi="Times New Roman"/>
        </w:rPr>
        <w:t>α</w:t>
      </w:r>
      <w:r w:rsidR="00247ED5">
        <w:rPr>
          <w:rFonts w:ascii="Times New Roman" w:hAnsi="Times New Roman"/>
        </w:rPr>
        <w:t>θώς</w:t>
      </w:r>
      <w:r w:rsidRPr="00757B77">
        <w:rPr>
          <w:rFonts w:ascii="Times New Roman" w:hAnsi="Times New Roman"/>
        </w:rPr>
        <w:t xml:space="preserve"> και</w:t>
      </w:r>
    </w:p>
    <w:p w:rsidR="00361B98" w:rsidRPr="00361B98" w:rsidRDefault="00361B98" w:rsidP="00361B98">
      <w:pPr>
        <w:pStyle w:val="af2"/>
        <w:numPr>
          <w:ilvl w:val="0"/>
          <w:numId w:val="38"/>
        </w:numPr>
        <w:spacing w:after="0" w:line="240" w:lineRule="auto"/>
        <w:ind w:left="284" w:hanging="284"/>
        <w:contextualSpacing w:val="0"/>
        <w:jc w:val="both"/>
        <w:rPr>
          <w:sz w:val="20"/>
        </w:rPr>
      </w:pPr>
      <w:r w:rsidRPr="00757B77">
        <w:rPr>
          <w:rFonts w:ascii="Times New Roman" w:hAnsi="Times New Roman"/>
        </w:rPr>
        <w:t>νέου μισθολογίου της Ανεξάρτητης Αρχής Δημοσίων Εσόδων (ΑΑΔΕ).</w:t>
      </w:r>
    </w:p>
    <w:p w:rsidR="00361B98" w:rsidRPr="00757B77" w:rsidRDefault="00361B98" w:rsidP="00361B98">
      <w:pPr>
        <w:pStyle w:val="af2"/>
        <w:spacing w:after="0" w:line="240" w:lineRule="auto"/>
        <w:contextualSpacing w:val="0"/>
        <w:jc w:val="both"/>
        <w:rPr>
          <w:sz w:val="20"/>
        </w:rPr>
      </w:pPr>
    </w:p>
    <w:p w:rsidR="00361B98" w:rsidRPr="00757B77" w:rsidRDefault="00361B98" w:rsidP="00361B98">
      <w:pPr>
        <w:jc w:val="both"/>
        <w:rPr>
          <w:sz w:val="22"/>
        </w:rPr>
      </w:pPr>
      <w:r w:rsidRPr="00757B77">
        <w:rPr>
          <w:sz w:val="22"/>
        </w:rPr>
        <w:t>Κατά το 2021 οι πρόσθετες αποδοχές αναμένονται μειωμένες κατά 98 εκατ. ευρώ σε σχέση με το 2020, ως συνέπεια του γεγονότος ότι στα μεγέθη του 2020 συμπεριλαμβάνεται η καταβολή έκτακτης οικονομικής ενίσχυσης την περίοδο του Πάσχα στους εργαζ</w:t>
      </w:r>
      <w:r w:rsidR="00247ED5">
        <w:rPr>
          <w:sz w:val="22"/>
        </w:rPr>
        <w:t>όμενους</w:t>
      </w:r>
      <w:r w:rsidRPr="00757B77">
        <w:rPr>
          <w:sz w:val="22"/>
        </w:rPr>
        <w:t xml:space="preserve"> των </w:t>
      </w:r>
      <w:r w:rsidR="00247ED5">
        <w:rPr>
          <w:sz w:val="22"/>
        </w:rPr>
        <w:t>νοσηλευτικών ιδρυμάτων</w:t>
      </w:r>
      <w:r w:rsidRPr="00757B77">
        <w:rPr>
          <w:sz w:val="22"/>
        </w:rPr>
        <w:t>, του ΕΚΑΒ και της Πολιτικής Προστασίας στο πλαίσιο των παρεμβάσεων που εφαρμόστηκαν για την αντιμετώπιση της πανδημίας Covid-19.</w:t>
      </w:r>
    </w:p>
    <w:p w:rsidR="00361B98" w:rsidRDefault="00361B98" w:rsidP="00361B98">
      <w:pPr>
        <w:pStyle w:val="af2"/>
        <w:spacing w:after="0" w:line="240" w:lineRule="auto"/>
        <w:ind w:left="360"/>
        <w:jc w:val="both"/>
        <w:rPr>
          <w:rFonts w:ascii="Times New Roman" w:hAnsi="Times New Roman"/>
          <w:sz w:val="24"/>
          <w:szCs w:val="24"/>
        </w:rPr>
      </w:pPr>
    </w:p>
    <w:p w:rsidR="00361B98" w:rsidRPr="00361B98" w:rsidRDefault="00361B98" w:rsidP="00361B98">
      <w:pPr>
        <w:jc w:val="both"/>
        <w:rPr>
          <w:rFonts w:ascii="Arial Narrow" w:hAnsi="Arial Narrow"/>
          <w:b/>
          <w:bCs/>
          <w:i/>
          <w:sz w:val="22"/>
          <w:szCs w:val="22"/>
        </w:rPr>
      </w:pPr>
      <w:r w:rsidRPr="00361B98">
        <w:rPr>
          <w:rFonts w:ascii="Arial Narrow" w:hAnsi="Arial Narrow"/>
          <w:b/>
          <w:bCs/>
          <w:i/>
          <w:sz w:val="22"/>
          <w:szCs w:val="22"/>
        </w:rPr>
        <w:t>Κοινωνικές Παροχές</w:t>
      </w:r>
    </w:p>
    <w:p w:rsidR="00361B98" w:rsidRPr="000F5656" w:rsidRDefault="00361B98" w:rsidP="00361B98">
      <w:pPr>
        <w:ind w:left="360"/>
        <w:contextualSpacing/>
        <w:jc w:val="both"/>
        <w:outlineLvl w:val="3"/>
        <w:rPr>
          <w:rFonts w:ascii="Arial Narrow" w:hAnsi="Arial Narrow"/>
          <w:b/>
          <w:iCs/>
          <w:sz w:val="22"/>
          <w:szCs w:val="22"/>
          <w:lang w:bidi="en-US"/>
        </w:rPr>
      </w:pPr>
    </w:p>
    <w:p w:rsidR="00361B98" w:rsidRPr="00757B77" w:rsidRDefault="00361B98" w:rsidP="00361B98">
      <w:pPr>
        <w:contextualSpacing/>
        <w:jc w:val="both"/>
        <w:outlineLvl w:val="3"/>
        <w:rPr>
          <w:iCs/>
          <w:sz w:val="22"/>
        </w:rPr>
      </w:pPr>
      <w:r w:rsidRPr="00757B77">
        <w:rPr>
          <w:iCs/>
          <w:sz w:val="22"/>
        </w:rPr>
        <w:t xml:space="preserve">Οι δαπάνες της κατηγορίας αυτής προβλέπεται ότι θα ανέλθουν στα 199 εκατ. ευρώ, μειωμένες κατά 43 εκατ. ευρώ σε σχέση με την αντίστοιχη εκτίμηση του 2020. </w:t>
      </w:r>
    </w:p>
    <w:p w:rsidR="00361B98" w:rsidRDefault="00361B98" w:rsidP="00361B98">
      <w:pPr>
        <w:contextualSpacing/>
        <w:jc w:val="both"/>
        <w:outlineLvl w:val="3"/>
        <w:rPr>
          <w:iCs/>
        </w:rPr>
      </w:pPr>
    </w:p>
    <w:p w:rsidR="00361B98" w:rsidRPr="00361B98" w:rsidRDefault="00361B98" w:rsidP="00361B98">
      <w:pPr>
        <w:jc w:val="both"/>
        <w:rPr>
          <w:rFonts w:ascii="Arial Narrow" w:hAnsi="Arial Narrow"/>
          <w:b/>
          <w:bCs/>
          <w:i/>
          <w:sz w:val="22"/>
          <w:szCs w:val="22"/>
        </w:rPr>
      </w:pPr>
      <w:r w:rsidRPr="00361B98">
        <w:rPr>
          <w:rFonts w:ascii="Arial Narrow" w:hAnsi="Arial Narrow"/>
          <w:b/>
          <w:bCs/>
          <w:i/>
          <w:sz w:val="22"/>
          <w:szCs w:val="22"/>
        </w:rPr>
        <w:t>Μεταβιβάσεις</w:t>
      </w:r>
    </w:p>
    <w:p w:rsidR="00361B98" w:rsidRPr="0013008F" w:rsidRDefault="00361B98" w:rsidP="00361B98">
      <w:pPr>
        <w:contextualSpacing/>
        <w:jc w:val="both"/>
        <w:outlineLvl w:val="3"/>
        <w:rPr>
          <w:iCs/>
        </w:rPr>
      </w:pPr>
    </w:p>
    <w:p w:rsidR="00361B98" w:rsidRPr="00757B77" w:rsidRDefault="00361B98" w:rsidP="00361B98">
      <w:pPr>
        <w:contextualSpacing/>
        <w:jc w:val="both"/>
        <w:outlineLvl w:val="3"/>
        <w:rPr>
          <w:iCs/>
          <w:sz w:val="22"/>
        </w:rPr>
      </w:pPr>
      <w:r w:rsidRPr="00757B77">
        <w:rPr>
          <w:iCs/>
          <w:sz w:val="22"/>
        </w:rPr>
        <w:t xml:space="preserve">Οι δαπάνες για τις μεταβιβάσεις σε φορείς εντός και εκτός Γενικής Κυβέρνησης προβλέπεται ότι θα διαμορφωθούν στα 30.804 εκατ. ευρώ, μειωμένες κατά 5.755 εκατ. ευρώ έναντι </w:t>
      </w:r>
      <w:r w:rsidRPr="00757B77">
        <w:rPr>
          <w:bCs/>
          <w:sz w:val="22"/>
        </w:rPr>
        <w:t>της εκτίμησης για το 2020</w:t>
      </w:r>
      <w:r w:rsidRPr="00757B77">
        <w:rPr>
          <w:iCs/>
          <w:sz w:val="22"/>
        </w:rPr>
        <w:t>, λόγω της ανάγκης εφαρμογής λιγότερων μέτρων ανάσχεσης της πανδημίας, κάνοντας τη βασική θεώρηση ότι οι αρνητικές επιπτώσεις θα έχουν μετριαστεί.</w:t>
      </w:r>
    </w:p>
    <w:p w:rsidR="00361B98" w:rsidRPr="00757B77" w:rsidRDefault="00361B98" w:rsidP="00361B98">
      <w:pPr>
        <w:contextualSpacing/>
        <w:jc w:val="both"/>
        <w:outlineLvl w:val="3"/>
        <w:rPr>
          <w:iCs/>
          <w:sz w:val="22"/>
        </w:rPr>
      </w:pPr>
    </w:p>
    <w:p w:rsidR="00361B98" w:rsidRPr="00757B77" w:rsidRDefault="00361B98" w:rsidP="00361B98">
      <w:pPr>
        <w:contextualSpacing/>
        <w:jc w:val="both"/>
        <w:outlineLvl w:val="3"/>
        <w:rPr>
          <w:iCs/>
          <w:sz w:val="22"/>
        </w:rPr>
      </w:pPr>
      <w:r w:rsidRPr="00757B77">
        <w:rPr>
          <w:iCs/>
          <w:sz w:val="22"/>
        </w:rPr>
        <w:t xml:space="preserve">Τα μέτρα κατά του </w:t>
      </w:r>
      <w:r w:rsidRPr="00757B77">
        <w:rPr>
          <w:iCs/>
          <w:sz w:val="22"/>
          <w:lang w:val="en-US"/>
        </w:rPr>
        <w:t>Covid</w:t>
      </w:r>
      <w:r w:rsidRPr="00757B77">
        <w:rPr>
          <w:iCs/>
          <w:sz w:val="22"/>
        </w:rPr>
        <w:t>-19, τα οποία θα έχουν τη σημαντικότερη επίπτωση το 2021 στις μεταβιβ</w:t>
      </w:r>
      <w:r w:rsidRPr="00757B77">
        <w:rPr>
          <w:iCs/>
          <w:sz w:val="22"/>
        </w:rPr>
        <w:t>ά</w:t>
      </w:r>
      <w:r w:rsidRPr="00757B77">
        <w:rPr>
          <w:iCs/>
          <w:sz w:val="22"/>
        </w:rPr>
        <w:t>σεις είναι τα εξής:</w:t>
      </w:r>
    </w:p>
    <w:p w:rsidR="00361B98" w:rsidRPr="00757B77" w:rsidRDefault="00361B98" w:rsidP="00361B98">
      <w:pPr>
        <w:contextualSpacing/>
        <w:jc w:val="both"/>
        <w:outlineLvl w:val="3"/>
        <w:rPr>
          <w:iCs/>
          <w:sz w:val="22"/>
        </w:rPr>
      </w:pPr>
    </w:p>
    <w:p w:rsidR="00361B98" w:rsidRPr="00757B77" w:rsidRDefault="00361B98" w:rsidP="00361B98">
      <w:pPr>
        <w:pStyle w:val="af2"/>
        <w:numPr>
          <w:ilvl w:val="0"/>
          <w:numId w:val="37"/>
        </w:numPr>
        <w:spacing w:after="0" w:line="240" w:lineRule="auto"/>
        <w:ind w:left="284" w:hanging="284"/>
        <w:jc w:val="both"/>
        <w:rPr>
          <w:rFonts w:ascii="Times New Roman" w:hAnsi="Times New Roman"/>
          <w:szCs w:val="24"/>
        </w:rPr>
      </w:pPr>
      <w:r w:rsidRPr="00757B77">
        <w:rPr>
          <w:rFonts w:ascii="Times New Roman" w:hAnsi="Times New Roman"/>
          <w:szCs w:val="24"/>
        </w:rPr>
        <w:t>η αποζημίωση ειδικού σκοπού ύψους 534 ευρώ σε μην</w:t>
      </w:r>
      <w:r w:rsidR="008347E8">
        <w:rPr>
          <w:rFonts w:ascii="Times New Roman" w:hAnsi="Times New Roman"/>
          <w:szCs w:val="24"/>
        </w:rPr>
        <w:t>ι</w:t>
      </w:r>
      <w:r w:rsidRPr="00757B77">
        <w:rPr>
          <w:rFonts w:ascii="Times New Roman" w:hAnsi="Times New Roman"/>
          <w:szCs w:val="24"/>
        </w:rPr>
        <w:t>αία βάση των εργαζομένων</w:t>
      </w:r>
      <w:r w:rsidR="008347E8">
        <w:rPr>
          <w:rFonts w:ascii="Times New Roman" w:hAnsi="Times New Roman"/>
          <w:szCs w:val="24"/>
        </w:rPr>
        <w:t>,</w:t>
      </w:r>
      <w:r w:rsidRPr="00757B77">
        <w:rPr>
          <w:rFonts w:ascii="Times New Roman" w:hAnsi="Times New Roman"/>
          <w:szCs w:val="24"/>
        </w:rPr>
        <w:t xml:space="preserve"> των οποίων οι συμβάσεις εργασίας τίθενται σε προσωρινή αναστολή,</w:t>
      </w:r>
    </w:p>
    <w:p w:rsidR="00361B98" w:rsidRPr="00757B77" w:rsidRDefault="00361B98" w:rsidP="00361B98">
      <w:pPr>
        <w:pStyle w:val="af2"/>
        <w:numPr>
          <w:ilvl w:val="0"/>
          <w:numId w:val="37"/>
        </w:numPr>
        <w:spacing w:after="0" w:line="240" w:lineRule="auto"/>
        <w:ind w:left="284" w:hanging="284"/>
        <w:jc w:val="both"/>
        <w:rPr>
          <w:rFonts w:ascii="Times New Roman" w:hAnsi="Times New Roman"/>
          <w:szCs w:val="24"/>
        </w:rPr>
      </w:pPr>
      <w:r w:rsidRPr="00757B77">
        <w:rPr>
          <w:rFonts w:ascii="Times New Roman" w:hAnsi="Times New Roman"/>
          <w:szCs w:val="24"/>
        </w:rPr>
        <w:t>η κάλυψη από τον κρατικό προϋπολογισμό των ασφαλιστικών εισφορών επί του ονομαστικού μ</w:t>
      </w:r>
      <w:r w:rsidRPr="00757B77">
        <w:rPr>
          <w:rFonts w:ascii="Times New Roman" w:hAnsi="Times New Roman"/>
          <w:szCs w:val="24"/>
        </w:rPr>
        <w:t>ι</w:t>
      </w:r>
      <w:r w:rsidR="008347E8">
        <w:rPr>
          <w:rFonts w:ascii="Times New Roman" w:hAnsi="Times New Roman"/>
          <w:szCs w:val="24"/>
        </w:rPr>
        <w:t>σθού</w:t>
      </w:r>
      <w:r w:rsidRPr="00757B77">
        <w:rPr>
          <w:rFonts w:ascii="Times New Roman" w:hAnsi="Times New Roman"/>
          <w:szCs w:val="24"/>
        </w:rPr>
        <w:t xml:space="preserve"> των εργαζομένων</w:t>
      </w:r>
      <w:r w:rsidR="008347E8">
        <w:rPr>
          <w:rFonts w:ascii="Times New Roman" w:hAnsi="Times New Roman"/>
          <w:szCs w:val="24"/>
        </w:rPr>
        <w:t>,</w:t>
      </w:r>
      <w:r w:rsidRPr="00757B77">
        <w:rPr>
          <w:rFonts w:ascii="Times New Roman" w:hAnsi="Times New Roman"/>
          <w:szCs w:val="24"/>
        </w:rPr>
        <w:t xml:space="preserve"> των οποίων οι συμβάσεις εργασίας τίθενται σε προσωρινή αναστολή,</w:t>
      </w:r>
    </w:p>
    <w:p w:rsidR="00361B98" w:rsidRPr="00757B77" w:rsidRDefault="00361B98" w:rsidP="00361B98">
      <w:pPr>
        <w:pStyle w:val="af2"/>
        <w:numPr>
          <w:ilvl w:val="0"/>
          <w:numId w:val="37"/>
        </w:numPr>
        <w:spacing w:after="0" w:line="240" w:lineRule="auto"/>
        <w:ind w:left="284" w:hanging="284"/>
        <w:jc w:val="both"/>
        <w:rPr>
          <w:rFonts w:ascii="Times New Roman" w:hAnsi="Times New Roman"/>
          <w:szCs w:val="24"/>
        </w:rPr>
      </w:pPr>
      <w:r w:rsidRPr="00757B77">
        <w:rPr>
          <w:rFonts w:ascii="Times New Roman" w:hAnsi="Times New Roman"/>
          <w:szCs w:val="24"/>
        </w:rPr>
        <w:t>το κόστος επιδότησης πρώτης κατοικίας για δανειολήπτες που επλήγησαν από τον κορωνοϊό (πρ</w:t>
      </w:r>
      <w:r w:rsidRPr="00757B77">
        <w:rPr>
          <w:rFonts w:ascii="Times New Roman" w:hAnsi="Times New Roman"/>
          <w:szCs w:val="24"/>
        </w:rPr>
        <w:t>ό</w:t>
      </w:r>
      <w:r w:rsidRPr="00757B77">
        <w:rPr>
          <w:rFonts w:ascii="Times New Roman" w:hAnsi="Times New Roman"/>
          <w:szCs w:val="24"/>
        </w:rPr>
        <w:t xml:space="preserve">γραμμα </w:t>
      </w:r>
      <w:r w:rsidR="008347E8">
        <w:rPr>
          <w:rFonts w:ascii="Times New Roman" w:hAnsi="Times New Roman"/>
          <w:szCs w:val="24"/>
        </w:rPr>
        <w:t>«</w:t>
      </w:r>
      <w:r w:rsidRPr="00757B77">
        <w:rPr>
          <w:rFonts w:ascii="Times New Roman" w:hAnsi="Times New Roman"/>
          <w:szCs w:val="24"/>
        </w:rPr>
        <w:t>ΓΕΦΥΡΑ</w:t>
      </w:r>
      <w:r w:rsidR="008347E8">
        <w:rPr>
          <w:rFonts w:ascii="Times New Roman" w:hAnsi="Times New Roman"/>
          <w:szCs w:val="24"/>
        </w:rPr>
        <w:t>»</w:t>
      </w:r>
      <w:r w:rsidRPr="00757B77">
        <w:rPr>
          <w:rFonts w:ascii="Times New Roman" w:hAnsi="Times New Roman"/>
          <w:szCs w:val="24"/>
        </w:rPr>
        <w:t>),</w:t>
      </w:r>
    </w:p>
    <w:p w:rsidR="00361B98" w:rsidRPr="00757B77" w:rsidRDefault="00361B98" w:rsidP="00361B98">
      <w:pPr>
        <w:pStyle w:val="af2"/>
        <w:numPr>
          <w:ilvl w:val="0"/>
          <w:numId w:val="37"/>
        </w:numPr>
        <w:spacing w:after="0" w:line="240" w:lineRule="auto"/>
        <w:ind w:left="284" w:hanging="284"/>
        <w:jc w:val="both"/>
        <w:rPr>
          <w:rFonts w:ascii="Times New Roman" w:hAnsi="Times New Roman"/>
          <w:szCs w:val="24"/>
        </w:rPr>
      </w:pPr>
      <w:r w:rsidRPr="00757B77">
        <w:rPr>
          <w:rFonts w:ascii="Times New Roman" w:hAnsi="Times New Roman"/>
          <w:szCs w:val="24"/>
        </w:rPr>
        <w:t>η κάλυψη των ασφαλιστικών εισφορών από τον κρατικό προϋπολογισμό και η επιδότηση 200 ε</w:t>
      </w:r>
      <w:r w:rsidRPr="00757B77">
        <w:rPr>
          <w:rFonts w:ascii="Times New Roman" w:hAnsi="Times New Roman"/>
          <w:szCs w:val="24"/>
        </w:rPr>
        <w:t>υ</w:t>
      </w:r>
      <w:r w:rsidRPr="00757B77">
        <w:rPr>
          <w:rFonts w:ascii="Times New Roman" w:hAnsi="Times New Roman"/>
          <w:szCs w:val="24"/>
        </w:rPr>
        <w:t>ρώ σε περίπτωση πρόσληψης μακροχρόνια ανέργου, για περίοδο 6 μηνών, στο πλαίσιο του πρ</w:t>
      </w:r>
      <w:r w:rsidRPr="00757B77">
        <w:rPr>
          <w:rFonts w:ascii="Times New Roman" w:hAnsi="Times New Roman"/>
          <w:szCs w:val="24"/>
        </w:rPr>
        <w:t>ο</w:t>
      </w:r>
      <w:r w:rsidRPr="00757B77">
        <w:rPr>
          <w:rFonts w:ascii="Times New Roman" w:hAnsi="Times New Roman"/>
          <w:szCs w:val="24"/>
        </w:rPr>
        <w:t>γράμματος για τη δημιουργία 100.000 νέων θέσεων εργασίας και</w:t>
      </w:r>
    </w:p>
    <w:p w:rsidR="00361B98" w:rsidRPr="00757B77" w:rsidRDefault="00361B98" w:rsidP="00361B98">
      <w:pPr>
        <w:pStyle w:val="af2"/>
        <w:numPr>
          <w:ilvl w:val="0"/>
          <w:numId w:val="37"/>
        </w:numPr>
        <w:spacing w:after="0" w:line="240" w:lineRule="auto"/>
        <w:ind w:left="284" w:hanging="284"/>
        <w:jc w:val="both"/>
        <w:rPr>
          <w:rFonts w:ascii="Times New Roman" w:hAnsi="Times New Roman"/>
          <w:szCs w:val="24"/>
        </w:rPr>
      </w:pPr>
      <w:r w:rsidRPr="00757B77">
        <w:rPr>
          <w:rFonts w:ascii="Times New Roman" w:hAnsi="Times New Roman"/>
          <w:szCs w:val="24"/>
        </w:rPr>
        <w:t>η μείωση των ασφαλιστικών εισφορών των εργαζομένων του ιδιωτικού τομέα.</w:t>
      </w:r>
    </w:p>
    <w:p w:rsidR="00361B98" w:rsidRPr="00757B77" w:rsidRDefault="00361B98" w:rsidP="00361B98">
      <w:pPr>
        <w:pStyle w:val="af2"/>
        <w:spacing w:after="0" w:line="240" w:lineRule="auto"/>
        <w:jc w:val="both"/>
        <w:rPr>
          <w:rFonts w:ascii="Times New Roman" w:hAnsi="Times New Roman"/>
          <w:szCs w:val="24"/>
        </w:rPr>
      </w:pPr>
    </w:p>
    <w:p w:rsidR="00361B98" w:rsidRPr="0013008F" w:rsidRDefault="00361B98" w:rsidP="00361B98">
      <w:pPr>
        <w:contextualSpacing/>
        <w:jc w:val="both"/>
        <w:outlineLvl w:val="3"/>
        <w:rPr>
          <w:iCs/>
        </w:rPr>
      </w:pPr>
    </w:p>
    <w:p w:rsidR="00361B98" w:rsidRPr="00361B98" w:rsidRDefault="00361B98" w:rsidP="00361B98">
      <w:pPr>
        <w:jc w:val="both"/>
        <w:rPr>
          <w:rFonts w:ascii="Arial Narrow" w:hAnsi="Arial Narrow"/>
          <w:b/>
          <w:bCs/>
          <w:i/>
          <w:sz w:val="22"/>
          <w:szCs w:val="22"/>
        </w:rPr>
      </w:pPr>
      <w:r w:rsidRPr="00361B98">
        <w:rPr>
          <w:rFonts w:ascii="Arial Narrow" w:hAnsi="Arial Narrow"/>
          <w:b/>
          <w:bCs/>
          <w:i/>
          <w:sz w:val="22"/>
          <w:szCs w:val="22"/>
        </w:rPr>
        <w:t>Αγορές αγαθών και υπηρεσιών</w:t>
      </w:r>
    </w:p>
    <w:p w:rsidR="00361B98" w:rsidRDefault="00361B98" w:rsidP="00361B98">
      <w:pPr>
        <w:contextualSpacing/>
        <w:jc w:val="both"/>
        <w:outlineLvl w:val="3"/>
        <w:rPr>
          <w:bCs/>
        </w:rPr>
      </w:pPr>
    </w:p>
    <w:p w:rsidR="00361B98" w:rsidRPr="00757B77" w:rsidRDefault="00361B98" w:rsidP="00361B98">
      <w:pPr>
        <w:contextualSpacing/>
        <w:jc w:val="both"/>
        <w:outlineLvl w:val="3"/>
        <w:rPr>
          <w:bCs/>
          <w:sz w:val="22"/>
        </w:rPr>
      </w:pPr>
      <w:r w:rsidRPr="00757B77">
        <w:rPr>
          <w:bCs/>
          <w:sz w:val="22"/>
        </w:rPr>
        <w:t>Η προβλεπόμενη δαπάνη για το έτος 2021 ανέρχεται σε 1.084 εκατ. ευρώ, μειωμένη κατά 618 εκατ. ευρώ σε σχέση με την αντίστοιχη εκτίμηση για το 2020, κυρίως διότι η εκτίμηση του 2020 συμπερ</w:t>
      </w:r>
      <w:r w:rsidRPr="00757B77">
        <w:rPr>
          <w:bCs/>
          <w:sz w:val="22"/>
        </w:rPr>
        <w:t>ι</w:t>
      </w:r>
      <w:r w:rsidRPr="00757B77">
        <w:rPr>
          <w:bCs/>
          <w:sz w:val="22"/>
        </w:rPr>
        <w:t>λαμβάνει όπως προαναφέρθηκε:</w:t>
      </w:r>
    </w:p>
    <w:p w:rsidR="00361B98" w:rsidRPr="00757B77" w:rsidRDefault="00361B98" w:rsidP="00361B98">
      <w:pPr>
        <w:contextualSpacing/>
        <w:jc w:val="both"/>
        <w:outlineLvl w:val="3"/>
        <w:rPr>
          <w:bCs/>
          <w:sz w:val="22"/>
        </w:rPr>
      </w:pPr>
      <w:r w:rsidRPr="00757B77">
        <w:rPr>
          <w:bCs/>
          <w:sz w:val="22"/>
        </w:rPr>
        <w:t xml:space="preserve"> </w:t>
      </w:r>
    </w:p>
    <w:p w:rsidR="00361B98" w:rsidRPr="00757B77" w:rsidRDefault="00361B98" w:rsidP="00361B98">
      <w:pPr>
        <w:pStyle w:val="af2"/>
        <w:numPr>
          <w:ilvl w:val="0"/>
          <w:numId w:val="37"/>
        </w:numPr>
        <w:spacing w:after="0" w:line="240" w:lineRule="auto"/>
        <w:ind w:left="284" w:hanging="284"/>
        <w:jc w:val="both"/>
        <w:rPr>
          <w:rFonts w:ascii="Times New Roman" w:hAnsi="Times New Roman"/>
          <w:szCs w:val="24"/>
        </w:rPr>
      </w:pPr>
      <w:r w:rsidRPr="00757B77">
        <w:rPr>
          <w:rFonts w:ascii="Times New Roman" w:eastAsia="Times New Roman" w:hAnsi="Times New Roman"/>
          <w:bCs/>
          <w:szCs w:val="24"/>
          <w:lang w:eastAsia="el-GR"/>
        </w:rPr>
        <w:t xml:space="preserve">πιστώσεις </w:t>
      </w:r>
      <w:r w:rsidRPr="00757B77">
        <w:rPr>
          <w:rFonts w:ascii="Times New Roman" w:hAnsi="Times New Roman"/>
          <w:szCs w:val="24"/>
        </w:rPr>
        <w:t>που έχουν ανακατανεμηθεί από το τακτικό και το ειδικό αποθεματικό του άρθρου 59 του ν.4270/2014 συνολικού ύψους 277 εκατ. ευρώ περίπου,</w:t>
      </w:r>
    </w:p>
    <w:p w:rsidR="00361B98" w:rsidRPr="00757B77" w:rsidRDefault="00361B98" w:rsidP="00361B98">
      <w:pPr>
        <w:pStyle w:val="af2"/>
        <w:numPr>
          <w:ilvl w:val="0"/>
          <w:numId w:val="37"/>
        </w:numPr>
        <w:spacing w:after="0" w:line="240" w:lineRule="auto"/>
        <w:ind w:left="284" w:hanging="284"/>
        <w:jc w:val="both"/>
        <w:rPr>
          <w:rFonts w:ascii="Times New Roman" w:hAnsi="Times New Roman"/>
          <w:szCs w:val="24"/>
        </w:rPr>
      </w:pPr>
      <w:r w:rsidRPr="00757B77">
        <w:rPr>
          <w:rFonts w:ascii="Times New Roman" w:hAnsi="Times New Roman"/>
          <w:szCs w:val="24"/>
        </w:rPr>
        <w:t xml:space="preserve">πιστώσεις που έχουν ανακατανεμηθεί για την αντιμετώπιση των προσφυγικών ροών ύψους 200 εκατ. ευρώ περίπου και </w:t>
      </w:r>
    </w:p>
    <w:p w:rsidR="00361B98" w:rsidRPr="00757B77" w:rsidRDefault="00361B98" w:rsidP="00361B98">
      <w:pPr>
        <w:pStyle w:val="af2"/>
        <w:numPr>
          <w:ilvl w:val="0"/>
          <w:numId w:val="37"/>
        </w:numPr>
        <w:spacing w:after="0" w:line="240" w:lineRule="auto"/>
        <w:ind w:left="284" w:hanging="284"/>
        <w:jc w:val="both"/>
        <w:rPr>
          <w:rFonts w:ascii="Times New Roman" w:eastAsia="Times New Roman" w:hAnsi="Times New Roman"/>
          <w:bCs/>
          <w:szCs w:val="24"/>
          <w:lang w:eastAsia="el-GR"/>
        </w:rPr>
      </w:pPr>
      <w:r w:rsidRPr="00757B77">
        <w:rPr>
          <w:rFonts w:ascii="Times New Roman" w:hAnsi="Times New Roman"/>
          <w:szCs w:val="24"/>
        </w:rPr>
        <w:t>επιπλέον δαπάνες των υπουργείων για την υγειονομική κάλυψη έναντι της πανδημίας</w:t>
      </w:r>
      <w:r w:rsidRPr="00757B77">
        <w:rPr>
          <w:rFonts w:ascii="Times New Roman" w:eastAsia="Times New Roman" w:hAnsi="Times New Roman"/>
          <w:bCs/>
          <w:szCs w:val="24"/>
          <w:lang w:eastAsia="el-GR"/>
        </w:rPr>
        <w:t xml:space="preserve">. </w:t>
      </w:r>
    </w:p>
    <w:p w:rsidR="00361B98" w:rsidRDefault="00361B98" w:rsidP="00361B98">
      <w:pPr>
        <w:contextualSpacing/>
        <w:jc w:val="both"/>
        <w:outlineLvl w:val="3"/>
        <w:rPr>
          <w:bCs/>
          <w:iCs/>
        </w:rPr>
      </w:pPr>
    </w:p>
    <w:p w:rsidR="00361B98" w:rsidRPr="00361B98" w:rsidRDefault="00361B98" w:rsidP="00361B98">
      <w:pPr>
        <w:jc w:val="both"/>
        <w:rPr>
          <w:rFonts w:ascii="Arial Narrow" w:hAnsi="Arial Narrow"/>
          <w:b/>
          <w:bCs/>
          <w:i/>
          <w:sz w:val="22"/>
          <w:szCs w:val="22"/>
        </w:rPr>
      </w:pPr>
      <w:r w:rsidRPr="00361B98">
        <w:rPr>
          <w:rFonts w:ascii="Arial Narrow" w:hAnsi="Arial Narrow"/>
          <w:b/>
          <w:bCs/>
          <w:i/>
          <w:sz w:val="22"/>
          <w:szCs w:val="22"/>
        </w:rPr>
        <w:t>Επιδοτήσεις</w:t>
      </w:r>
    </w:p>
    <w:p w:rsidR="00361B98" w:rsidRPr="0013008F" w:rsidRDefault="00361B98" w:rsidP="00361B98">
      <w:pPr>
        <w:contextualSpacing/>
        <w:jc w:val="both"/>
        <w:outlineLvl w:val="3"/>
        <w:rPr>
          <w:bCs/>
        </w:rPr>
      </w:pPr>
    </w:p>
    <w:p w:rsidR="00361B98" w:rsidRPr="00757B77" w:rsidRDefault="00361B98" w:rsidP="00361B98">
      <w:pPr>
        <w:contextualSpacing/>
        <w:jc w:val="both"/>
        <w:outlineLvl w:val="3"/>
        <w:rPr>
          <w:bCs/>
          <w:sz w:val="22"/>
        </w:rPr>
      </w:pPr>
      <w:r w:rsidRPr="00757B77">
        <w:rPr>
          <w:bCs/>
          <w:sz w:val="22"/>
        </w:rPr>
        <w:t>Η προβλεπόμενη δαπάνη για το έτος 2021 είναι 80 εκατ. ευρώ, μειωμένη κατά 21 εκατ. ευρώ σε σχ</w:t>
      </w:r>
      <w:r w:rsidRPr="00757B77">
        <w:rPr>
          <w:bCs/>
          <w:sz w:val="22"/>
        </w:rPr>
        <w:t>έ</w:t>
      </w:r>
      <w:r w:rsidRPr="00757B77">
        <w:rPr>
          <w:bCs/>
          <w:sz w:val="22"/>
        </w:rPr>
        <w:t>ση με την εκτίμηση για το 2020, κυρίως λόγω του γεγονότος ότι το σύνολο της δαπάνης των άγονων γραμμών θα εξυπηρετείται από το 2021 μέσω του ΠΔΕ.</w:t>
      </w:r>
    </w:p>
    <w:p w:rsidR="00361B98" w:rsidRPr="000F5656" w:rsidRDefault="00361B98" w:rsidP="00361B98">
      <w:pPr>
        <w:contextualSpacing/>
        <w:jc w:val="both"/>
        <w:outlineLvl w:val="3"/>
        <w:rPr>
          <w:bCs/>
        </w:rPr>
      </w:pPr>
    </w:p>
    <w:p w:rsidR="00361B98" w:rsidRPr="00361B98" w:rsidRDefault="00361B98" w:rsidP="00361B98">
      <w:pPr>
        <w:jc w:val="both"/>
        <w:rPr>
          <w:rFonts w:ascii="Arial Narrow" w:hAnsi="Arial Narrow"/>
          <w:b/>
          <w:bCs/>
          <w:i/>
          <w:sz w:val="22"/>
          <w:szCs w:val="22"/>
        </w:rPr>
      </w:pPr>
      <w:r w:rsidRPr="00361B98">
        <w:rPr>
          <w:rFonts w:ascii="Arial Narrow" w:hAnsi="Arial Narrow"/>
          <w:b/>
          <w:bCs/>
          <w:i/>
          <w:sz w:val="22"/>
          <w:szCs w:val="22"/>
        </w:rPr>
        <w:t>Τόκοι (σε ακαθάριστη βάση)</w:t>
      </w:r>
    </w:p>
    <w:p w:rsidR="00361B98" w:rsidRPr="00757B77" w:rsidRDefault="00361B98" w:rsidP="00361B98">
      <w:pPr>
        <w:contextualSpacing/>
        <w:jc w:val="both"/>
        <w:outlineLvl w:val="3"/>
        <w:rPr>
          <w:iCs/>
          <w:sz w:val="22"/>
        </w:rPr>
      </w:pPr>
    </w:p>
    <w:p w:rsidR="00361B98" w:rsidRPr="00757B77" w:rsidRDefault="00361B98" w:rsidP="00361B98">
      <w:pPr>
        <w:contextualSpacing/>
        <w:jc w:val="both"/>
        <w:outlineLvl w:val="3"/>
        <w:rPr>
          <w:iCs/>
          <w:sz w:val="22"/>
        </w:rPr>
      </w:pPr>
      <w:r w:rsidRPr="00757B77">
        <w:rPr>
          <w:iCs/>
          <w:sz w:val="22"/>
        </w:rPr>
        <w:t xml:space="preserve">Η πρόβλεψη για τις δαπάνες τόκων σε ακαθάριστη δημοσιονομική βάση, ανέρχεται σε 5.700 εκατ. ευρώ, μειωμένη κατά 150 εκατ. ευρώ σε σχέση με την εκτίμηση για το 2020. </w:t>
      </w:r>
    </w:p>
    <w:p w:rsidR="00361B98" w:rsidRPr="000F5656" w:rsidRDefault="00361B98" w:rsidP="00361B98">
      <w:pPr>
        <w:contextualSpacing/>
        <w:jc w:val="both"/>
        <w:outlineLvl w:val="3"/>
        <w:rPr>
          <w:iCs/>
        </w:rPr>
      </w:pPr>
      <w:r w:rsidRPr="000F5656">
        <w:rPr>
          <w:iCs/>
        </w:rPr>
        <w:t xml:space="preserve"> </w:t>
      </w:r>
    </w:p>
    <w:p w:rsidR="00361B98" w:rsidRPr="00361B98" w:rsidRDefault="00361B98" w:rsidP="00361B98">
      <w:pPr>
        <w:jc w:val="both"/>
        <w:rPr>
          <w:rFonts w:ascii="Arial Narrow" w:hAnsi="Arial Narrow"/>
          <w:b/>
          <w:bCs/>
          <w:i/>
          <w:sz w:val="22"/>
          <w:szCs w:val="22"/>
        </w:rPr>
      </w:pPr>
      <w:r w:rsidRPr="00361B98">
        <w:rPr>
          <w:rFonts w:ascii="Arial Narrow" w:hAnsi="Arial Narrow"/>
          <w:b/>
          <w:bCs/>
          <w:i/>
          <w:sz w:val="22"/>
          <w:szCs w:val="22"/>
        </w:rPr>
        <w:t>Λοιπές δαπάνες</w:t>
      </w:r>
    </w:p>
    <w:p w:rsidR="00361B98" w:rsidRPr="00757B77" w:rsidRDefault="00361B98" w:rsidP="00361B98">
      <w:pPr>
        <w:contextualSpacing/>
        <w:jc w:val="both"/>
        <w:outlineLvl w:val="3"/>
        <w:rPr>
          <w:iCs/>
          <w:sz w:val="22"/>
        </w:rPr>
      </w:pPr>
    </w:p>
    <w:p w:rsidR="00361B98" w:rsidRPr="00757B77" w:rsidRDefault="00361B98" w:rsidP="00361B98">
      <w:pPr>
        <w:contextualSpacing/>
        <w:jc w:val="both"/>
        <w:outlineLvl w:val="3"/>
        <w:rPr>
          <w:iCs/>
          <w:sz w:val="22"/>
        </w:rPr>
      </w:pPr>
      <w:r w:rsidRPr="00757B77">
        <w:rPr>
          <w:iCs/>
          <w:sz w:val="22"/>
        </w:rPr>
        <w:t>Στην κατηγορία αυτή η προβλεπόμενη δαπάνη ανέρχεται σε 91 εκατ. ευρώ, 20 εκατ. ευρώ μεγαλύτερη από την αντίστοιχη εκτίμηση του 2020, λόγω της καθυστέρησης εκκαθάρισης των</w:t>
      </w:r>
      <w:r w:rsidRPr="00757B77">
        <w:rPr>
          <w:sz w:val="22"/>
        </w:rPr>
        <w:t xml:space="preserve"> </w:t>
      </w:r>
      <w:r w:rsidRPr="00757B77">
        <w:rPr>
          <w:iCs/>
          <w:sz w:val="22"/>
        </w:rPr>
        <w:t>ανεκτέλεστων πρ</w:t>
      </w:r>
      <w:r w:rsidRPr="00757B77">
        <w:rPr>
          <w:iCs/>
          <w:sz w:val="22"/>
        </w:rPr>
        <w:t>ο</w:t>
      </w:r>
      <w:r w:rsidRPr="00757B77">
        <w:rPr>
          <w:iCs/>
          <w:sz w:val="22"/>
        </w:rPr>
        <w:t>γραμμάτων από την ΕΕ.</w:t>
      </w:r>
    </w:p>
    <w:p w:rsidR="00361B98" w:rsidRPr="0013008F" w:rsidRDefault="00361B98" w:rsidP="00361B98">
      <w:pPr>
        <w:contextualSpacing/>
        <w:jc w:val="both"/>
        <w:outlineLvl w:val="3"/>
        <w:rPr>
          <w:iCs/>
        </w:rPr>
      </w:pPr>
    </w:p>
    <w:p w:rsidR="00361B98" w:rsidRPr="00361B98" w:rsidRDefault="00361B98" w:rsidP="00361B98">
      <w:pPr>
        <w:jc w:val="both"/>
        <w:rPr>
          <w:rFonts w:ascii="Arial Narrow" w:hAnsi="Arial Narrow"/>
          <w:b/>
          <w:bCs/>
          <w:i/>
          <w:sz w:val="22"/>
          <w:szCs w:val="22"/>
        </w:rPr>
      </w:pPr>
      <w:r w:rsidRPr="00361B98">
        <w:rPr>
          <w:rFonts w:ascii="Arial Narrow" w:hAnsi="Arial Narrow"/>
          <w:b/>
          <w:bCs/>
          <w:i/>
          <w:sz w:val="22"/>
          <w:szCs w:val="22"/>
        </w:rPr>
        <w:t>Πιστώσεις υπό κατανομή</w:t>
      </w:r>
    </w:p>
    <w:p w:rsidR="00361B98" w:rsidRPr="00361B98" w:rsidRDefault="00361B98" w:rsidP="00361B98">
      <w:pPr>
        <w:jc w:val="both"/>
        <w:rPr>
          <w:rFonts w:ascii="Arial Narrow" w:hAnsi="Arial Narrow"/>
          <w:b/>
          <w:bCs/>
          <w:i/>
          <w:sz w:val="22"/>
          <w:szCs w:val="22"/>
        </w:rPr>
      </w:pPr>
    </w:p>
    <w:p w:rsidR="00361B98" w:rsidRPr="00757B77" w:rsidRDefault="00361B98" w:rsidP="00361B98">
      <w:pPr>
        <w:contextualSpacing/>
        <w:jc w:val="both"/>
        <w:outlineLvl w:val="3"/>
        <w:rPr>
          <w:bCs/>
          <w:sz w:val="22"/>
        </w:rPr>
      </w:pPr>
      <w:r w:rsidRPr="00757B77">
        <w:rPr>
          <w:bCs/>
          <w:sz w:val="22"/>
        </w:rPr>
        <w:t>Η πρόβλεψη για το σύνολο της κατηγορίας αυτής ανέρχεται στα 14.094 εκατ. ευρώ και σε σχέση με το 2020 οι προβλεπόμενες δαπάνες είναι αυξημένες κατά 3.312 εκατ. ευρώ.</w:t>
      </w:r>
    </w:p>
    <w:p w:rsidR="00361B98" w:rsidRPr="00757B77" w:rsidRDefault="00361B98" w:rsidP="00361B98">
      <w:pPr>
        <w:contextualSpacing/>
        <w:jc w:val="both"/>
        <w:outlineLvl w:val="3"/>
        <w:rPr>
          <w:bCs/>
          <w:sz w:val="22"/>
        </w:rPr>
      </w:pPr>
    </w:p>
    <w:p w:rsidR="00361B98" w:rsidRPr="00757B77" w:rsidRDefault="00361B98" w:rsidP="00361B98">
      <w:pPr>
        <w:contextualSpacing/>
        <w:jc w:val="both"/>
        <w:outlineLvl w:val="3"/>
        <w:rPr>
          <w:bCs/>
          <w:sz w:val="22"/>
        </w:rPr>
      </w:pPr>
      <w:r w:rsidRPr="00757B77">
        <w:rPr>
          <w:bCs/>
          <w:sz w:val="22"/>
        </w:rPr>
        <w:t>Στην κατηγορία αυτή περιλαμβάνονται κυρίως:</w:t>
      </w:r>
    </w:p>
    <w:p w:rsidR="00361B98" w:rsidRPr="00757B77" w:rsidRDefault="00361B98" w:rsidP="00361B98">
      <w:pPr>
        <w:contextualSpacing/>
        <w:jc w:val="both"/>
        <w:outlineLvl w:val="3"/>
        <w:rPr>
          <w:bCs/>
          <w:sz w:val="26"/>
        </w:rPr>
      </w:pPr>
    </w:p>
    <w:p w:rsidR="00361B98" w:rsidRPr="00757B77" w:rsidRDefault="00361B98" w:rsidP="00361B98">
      <w:pPr>
        <w:pStyle w:val="af2"/>
        <w:numPr>
          <w:ilvl w:val="0"/>
          <w:numId w:val="37"/>
        </w:numPr>
        <w:spacing w:after="0" w:line="240" w:lineRule="auto"/>
        <w:ind w:left="284" w:hanging="284"/>
        <w:jc w:val="both"/>
        <w:rPr>
          <w:rFonts w:ascii="Times New Roman" w:hAnsi="Times New Roman"/>
          <w:szCs w:val="24"/>
        </w:rPr>
      </w:pPr>
      <w:r w:rsidRPr="00757B77">
        <w:rPr>
          <w:rFonts w:ascii="Times New Roman" w:hAnsi="Times New Roman"/>
          <w:bCs/>
        </w:rPr>
        <w:t xml:space="preserve">οι </w:t>
      </w:r>
      <w:r w:rsidRPr="00757B77">
        <w:rPr>
          <w:rFonts w:ascii="Times New Roman" w:hAnsi="Times New Roman"/>
          <w:szCs w:val="24"/>
        </w:rPr>
        <w:t xml:space="preserve">δαπάνες του ΠΔΕ ύψους 6.750 εκατ. ευρώ, </w:t>
      </w:r>
    </w:p>
    <w:p w:rsidR="00361B98" w:rsidRPr="00757B77" w:rsidRDefault="00361B98" w:rsidP="00361B98">
      <w:pPr>
        <w:pStyle w:val="af2"/>
        <w:numPr>
          <w:ilvl w:val="0"/>
          <w:numId w:val="37"/>
        </w:numPr>
        <w:spacing w:after="0" w:line="240" w:lineRule="auto"/>
        <w:ind w:left="284" w:hanging="284"/>
        <w:jc w:val="both"/>
        <w:rPr>
          <w:rFonts w:ascii="Times New Roman" w:hAnsi="Times New Roman"/>
          <w:szCs w:val="24"/>
        </w:rPr>
      </w:pPr>
      <w:r w:rsidRPr="00757B77">
        <w:rPr>
          <w:rFonts w:ascii="Times New Roman" w:hAnsi="Times New Roman"/>
          <w:szCs w:val="24"/>
        </w:rPr>
        <w:t xml:space="preserve">το τακτικό και ειδικό αποθεματικό συνολικού ύψους 1.000 εκατ. ευρώ, </w:t>
      </w:r>
    </w:p>
    <w:p w:rsidR="00361B98" w:rsidRPr="00757B77" w:rsidRDefault="00361B98" w:rsidP="00361B98">
      <w:pPr>
        <w:pStyle w:val="af2"/>
        <w:numPr>
          <w:ilvl w:val="0"/>
          <w:numId w:val="37"/>
        </w:numPr>
        <w:spacing w:after="0" w:line="240" w:lineRule="auto"/>
        <w:ind w:left="284" w:hanging="284"/>
        <w:jc w:val="both"/>
        <w:rPr>
          <w:rFonts w:ascii="Times New Roman" w:hAnsi="Times New Roman"/>
          <w:szCs w:val="24"/>
        </w:rPr>
      </w:pPr>
      <w:r w:rsidRPr="00757B77">
        <w:rPr>
          <w:rFonts w:ascii="Times New Roman" w:hAnsi="Times New Roman"/>
          <w:szCs w:val="24"/>
        </w:rPr>
        <w:t xml:space="preserve">οι υπό κατανομή πιστώσεις για μεταβιβαστικές πληρωμές (κυρίως προς τους ΟΚΑ) ύψους 222 </w:t>
      </w:r>
      <w:r w:rsidRPr="00757B77">
        <w:rPr>
          <w:rFonts w:ascii="Times New Roman" w:hAnsi="Times New Roman"/>
          <w:szCs w:val="24"/>
        </w:rPr>
        <w:t>ε</w:t>
      </w:r>
      <w:r w:rsidRPr="00757B77">
        <w:rPr>
          <w:rFonts w:ascii="Times New Roman" w:hAnsi="Times New Roman"/>
          <w:szCs w:val="24"/>
        </w:rPr>
        <w:t xml:space="preserve">κατ. ευρώ, </w:t>
      </w:r>
    </w:p>
    <w:p w:rsidR="00361B98" w:rsidRPr="00757B77" w:rsidRDefault="00361B98" w:rsidP="00361B98">
      <w:pPr>
        <w:pStyle w:val="af2"/>
        <w:numPr>
          <w:ilvl w:val="0"/>
          <w:numId w:val="37"/>
        </w:numPr>
        <w:spacing w:after="0" w:line="240" w:lineRule="auto"/>
        <w:ind w:left="284" w:hanging="284"/>
        <w:jc w:val="both"/>
        <w:rPr>
          <w:rFonts w:ascii="Times New Roman" w:hAnsi="Times New Roman"/>
          <w:szCs w:val="24"/>
        </w:rPr>
      </w:pPr>
      <w:r w:rsidRPr="00757B77">
        <w:rPr>
          <w:rFonts w:ascii="Times New Roman" w:hAnsi="Times New Roman"/>
          <w:szCs w:val="24"/>
        </w:rPr>
        <w:t xml:space="preserve">οι πιστώσεις για τις προγραμματισμένες νέες προσλήψεις σε φορείς της Κεντρικής Διοίκησης </w:t>
      </w:r>
      <w:r w:rsidRPr="00757B77">
        <w:rPr>
          <w:rFonts w:ascii="Times New Roman" w:hAnsi="Times New Roman"/>
          <w:szCs w:val="24"/>
        </w:rPr>
        <w:t>ύ</w:t>
      </w:r>
      <w:r w:rsidRPr="00757B77">
        <w:rPr>
          <w:rFonts w:ascii="Times New Roman" w:hAnsi="Times New Roman"/>
          <w:szCs w:val="24"/>
        </w:rPr>
        <w:t xml:space="preserve">ψους 295 εκατ. ευρώ, </w:t>
      </w:r>
    </w:p>
    <w:p w:rsidR="00361B98" w:rsidRPr="00757B77" w:rsidRDefault="00361B98" w:rsidP="00361B98">
      <w:pPr>
        <w:pStyle w:val="af2"/>
        <w:numPr>
          <w:ilvl w:val="0"/>
          <w:numId w:val="37"/>
        </w:numPr>
        <w:spacing w:after="0" w:line="240" w:lineRule="auto"/>
        <w:ind w:left="284" w:hanging="284"/>
        <w:jc w:val="both"/>
        <w:rPr>
          <w:rFonts w:ascii="Times New Roman" w:hAnsi="Times New Roman"/>
          <w:szCs w:val="24"/>
        </w:rPr>
      </w:pPr>
      <w:r w:rsidRPr="00757B77">
        <w:rPr>
          <w:rFonts w:ascii="Times New Roman" w:hAnsi="Times New Roman"/>
          <w:szCs w:val="24"/>
        </w:rPr>
        <w:t xml:space="preserve">οι πιστώσεις για την αντιμετώπιση της ροής προσφύγων και μεταναστών ύψους 150 εκατ. ευρώ, </w:t>
      </w:r>
    </w:p>
    <w:p w:rsidR="00361B98" w:rsidRPr="00757B77" w:rsidRDefault="00361B98" w:rsidP="00361B98">
      <w:pPr>
        <w:pStyle w:val="af2"/>
        <w:numPr>
          <w:ilvl w:val="0"/>
          <w:numId w:val="37"/>
        </w:numPr>
        <w:spacing w:after="0" w:line="240" w:lineRule="auto"/>
        <w:ind w:left="284" w:hanging="284"/>
        <w:jc w:val="both"/>
        <w:rPr>
          <w:rFonts w:ascii="Times New Roman" w:hAnsi="Times New Roman"/>
          <w:szCs w:val="24"/>
        </w:rPr>
      </w:pPr>
      <w:r w:rsidRPr="00757B77">
        <w:rPr>
          <w:rFonts w:ascii="Times New Roman" w:hAnsi="Times New Roman"/>
          <w:szCs w:val="24"/>
        </w:rPr>
        <w:t xml:space="preserve">η δέσμη μέτρων του επιδοτούμενου μέρους του Ταμείου Ανάκαμψης </w:t>
      </w:r>
      <w:r w:rsidR="004D39AB">
        <w:rPr>
          <w:rFonts w:ascii="Times New Roman" w:hAnsi="Times New Roman"/>
          <w:szCs w:val="24"/>
        </w:rPr>
        <w:t xml:space="preserve">και Σταθερότητας </w:t>
      </w:r>
      <w:r w:rsidRPr="00757B77">
        <w:rPr>
          <w:rFonts w:ascii="Times New Roman" w:hAnsi="Times New Roman"/>
          <w:szCs w:val="24"/>
        </w:rPr>
        <w:t xml:space="preserve">ύψους 2.635 εκατ. ευρώ και </w:t>
      </w:r>
    </w:p>
    <w:p w:rsidR="00361B98" w:rsidRPr="00757B77" w:rsidRDefault="00361B98" w:rsidP="00361B98">
      <w:pPr>
        <w:pStyle w:val="af2"/>
        <w:numPr>
          <w:ilvl w:val="0"/>
          <w:numId w:val="37"/>
        </w:numPr>
        <w:spacing w:after="0" w:line="240" w:lineRule="auto"/>
        <w:ind w:left="284" w:hanging="284"/>
        <w:jc w:val="both"/>
        <w:rPr>
          <w:rFonts w:ascii="Times New Roman" w:hAnsi="Times New Roman"/>
          <w:szCs w:val="24"/>
        </w:rPr>
      </w:pPr>
      <w:r w:rsidRPr="00757B77">
        <w:rPr>
          <w:rFonts w:ascii="Times New Roman" w:hAnsi="Times New Roman"/>
          <w:szCs w:val="24"/>
        </w:rPr>
        <w:t>λοιπές δράσεις κατά της πανδημίας</w:t>
      </w:r>
      <w:r w:rsidR="00EB684C">
        <w:rPr>
          <w:rFonts w:ascii="Times New Roman" w:hAnsi="Times New Roman"/>
          <w:szCs w:val="24"/>
        </w:rPr>
        <w:t>,</w:t>
      </w:r>
      <w:r w:rsidRPr="00757B77">
        <w:rPr>
          <w:rFonts w:ascii="Times New Roman" w:hAnsi="Times New Roman"/>
          <w:szCs w:val="24"/>
        </w:rPr>
        <w:t xml:space="preserve"> πέραν των ήδη προσδιορισμένων, ύψους 3.000 εκατ. ευρώ.</w:t>
      </w:r>
    </w:p>
    <w:p w:rsidR="00361B98" w:rsidRDefault="00361B98" w:rsidP="00361B98">
      <w:pPr>
        <w:contextualSpacing/>
        <w:jc w:val="both"/>
        <w:outlineLvl w:val="3"/>
        <w:rPr>
          <w:bCs/>
        </w:rPr>
      </w:pPr>
    </w:p>
    <w:p w:rsidR="00361B98" w:rsidRPr="00361B98" w:rsidRDefault="004D39AB" w:rsidP="00361B98">
      <w:pPr>
        <w:jc w:val="both"/>
        <w:rPr>
          <w:rFonts w:ascii="Arial Narrow" w:hAnsi="Arial Narrow"/>
          <w:b/>
          <w:bCs/>
          <w:i/>
          <w:sz w:val="22"/>
          <w:szCs w:val="22"/>
        </w:rPr>
      </w:pPr>
      <w:r>
        <w:rPr>
          <w:rFonts w:ascii="Arial Narrow" w:hAnsi="Arial Narrow"/>
          <w:b/>
          <w:bCs/>
          <w:i/>
          <w:sz w:val="22"/>
          <w:szCs w:val="22"/>
        </w:rPr>
        <w:t>Αγορές πάγιων</w:t>
      </w:r>
      <w:r w:rsidR="00361B98" w:rsidRPr="00361B98">
        <w:rPr>
          <w:rFonts w:ascii="Arial Narrow" w:hAnsi="Arial Narrow"/>
          <w:b/>
          <w:bCs/>
          <w:i/>
          <w:sz w:val="22"/>
          <w:szCs w:val="22"/>
        </w:rPr>
        <w:t xml:space="preserve"> περιουσ</w:t>
      </w:r>
      <w:r>
        <w:rPr>
          <w:rFonts w:ascii="Arial Narrow" w:hAnsi="Arial Narrow"/>
          <w:b/>
          <w:bCs/>
          <w:i/>
          <w:sz w:val="22"/>
          <w:szCs w:val="22"/>
        </w:rPr>
        <w:t>ιακών στοιχείων</w:t>
      </w:r>
    </w:p>
    <w:p w:rsidR="00361B98" w:rsidRPr="000F5656" w:rsidRDefault="00361B98" w:rsidP="00361B98">
      <w:pPr>
        <w:ind w:left="360"/>
        <w:contextualSpacing/>
        <w:jc w:val="both"/>
        <w:outlineLvl w:val="3"/>
        <w:rPr>
          <w:rFonts w:ascii="Arial Narrow" w:hAnsi="Arial Narrow"/>
          <w:b/>
          <w:iCs/>
          <w:sz w:val="22"/>
          <w:szCs w:val="22"/>
          <w:lang w:bidi="en-US"/>
        </w:rPr>
      </w:pPr>
    </w:p>
    <w:p w:rsidR="00361B98" w:rsidRPr="00757B77" w:rsidRDefault="00361B98" w:rsidP="00361B98">
      <w:pPr>
        <w:contextualSpacing/>
        <w:jc w:val="both"/>
        <w:outlineLvl w:val="3"/>
        <w:rPr>
          <w:bCs/>
          <w:sz w:val="22"/>
        </w:rPr>
      </w:pPr>
      <w:r w:rsidRPr="00757B77">
        <w:rPr>
          <w:bCs/>
          <w:iCs/>
          <w:sz w:val="22"/>
          <w:szCs w:val="22"/>
        </w:rPr>
        <w:t xml:space="preserve">Η </w:t>
      </w:r>
      <w:r w:rsidRPr="00757B77">
        <w:rPr>
          <w:bCs/>
          <w:sz w:val="22"/>
        </w:rPr>
        <w:t>προβλεπόμενη δαπάνη</w:t>
      </w:r>
      <w:r w:rsidRPr="00757B77">
        <w:rPr>
          <w:bCs/>
          <w:iCs/>
          <w:sz w:val="22"/>
          <w:szCs w:val="22"/>
        </w:rPr>
        <w:t xml:space="preserve"> θα ανέλθει στα 1.599 εκατ. ευρώ</w:t>
      </w:r>
      <w:r w:rsidRPr="00757B77">
        <w:rPr>
          <w:bCs/>
          <w:sz w:val="22"/>
        </w:rPr>
        <w:t xml:space="preserve">, </w:t>
      </w:r>
      <w:r w:rsidRPr="00757B77">
        <w:rPr>
          <w:iCs/>
          <w:sz w:val="22"/>
        </w:rPr>
        <w:t xml:space="preserve">λόγω της </w:t>
      </w:r>
      <w:r w:rsidRPr="00757B77">
        <w:rPr>
          <w:bCs/>
          <w:iCs/>
          <w:sz w:val="22"/>
          <w:szCs w:val="22"/>
        </w:rPr>
        <w:t>αύξησης των φυσικών παραλ</w:t>
      </w:r>
      <w:r w:rsidRPr="00757B77">
        <w:rPr>
          <w:bCs/>
          <w:iCs/>
          <w:sz w:val="22"/>
          <w:szCs w:val="22"/>
        </w:rPr>
        <w:t>α</w:t>
      </w:r>
      <w:r w:rsidRPr="00757B77">
        <w:rPr>
          <w:bCs/>
          <w:iCs/>
          <w:sz w:val="22"/>
          <w:szCs w:val="22"/>
        </w:rPr>
        <w:t>βών των εξοπλιστικών προγραμμάτων του Υπουργείου Εθνικής Άμυνας</w:t>
      </w:r>
      <w:r w:rsidRPr="00757B77">
        <w:rPr>
          <w:bCs/>
          <w:sz w:val="22"/>
        </w:rPr>
        <w:t>.</w:t>
      </w:r>
    </w:p>
    <w:p w:rsidR="007232A9" w:rsidRDefault="007232A9">
      <w:pPr>
        <w:rPr>
          <w:sz w:val="22"/>
        </w:rPr>
      </w:pPr>
    </w:p>
    <w:p w:rsidR="007232A9" w:rsidRPr="006A084B" w:rsidRDefault="007232A9" w:rsidP="007232A9">
      <w:pPr>
        <w:jc w:val="both"/>
        <w:rPr>
          <w:rFonts w:ascii="Arial Narrow" w:hAnsi="Arial Narrow"/>
          <w:b/>
          <w:bCs/>
          <w:i/>
          <w:sz w:val="22"/>
          <w:szCs w:val="22"/>
        </w:rPr>
      </w:pPr>
      <w:r>
        <w:rPr>
          <w:rFonts w:ascii="Arial Narrow" w:hAnsi="Arial Narrow"/>
          <w:b/>
          <w:bCs/>
          <w:i/>
          <w:sz w:val="22"/>
          <w:szCs w:val="22"/>
        </w:rPr>
        <w:t>Δαπάνες Προγράμματος Δημοσίων Επενδύσεων</w:t>
      </w:r>
    </w:p>
    <w:p w:rsidR="00CD41E5" w:rsidRDefault="00CD41E5">
      <w:pPr>
        <w:rPr>
          <w:sz w:val="22"/>
        </w:rPr>
      </w:pPr>
    </w:p>
    <w:p w:rsidR="009C7119" w:rsidRDefault="009C7119" w:rsidP="009C7119">
      <w:pPr>
        <w:tabs>
          <w:tab w:val="left" w:pos="180"/>
        </w:tabs>
        <w:jc w:val="both"/>
        <w:rPr>
          <w:sz w:val="22"/>
          <w:szCs w:val="22"/>
        </w:rPr>
      </w:pPr>
      <w:r w:rsidRPr="00B536A3">
        <w:rPr>
          <w:sz w:val="22"/>
          <w:szCs w:val="22"/>
        </w:rPr>
        <w:t>Το Πρόγραμμα Δημοσίων Επενδύσεων (ΠΔΕ) αποτελεί για το Κράτος το σημαντικότερο μέσο χρ</w:t>
      </w:r>
      <w:r w:rsidRPr="00B536A3">
        <w:rPr>
          <w:sz w:val="22"/>
          <w:szCs w:val="22"/>
        </w:rPr>
        <w:t>η</w:t>
      </w:r>
      <w:r w:rsidRPr="00B536A3">
        <w:rPr>
          <w:sz w:val="22"/>
          <w:szCs w:val="22"/>
        </w:rPr>
        <w:t>ματοδότησης της αναπτυξιακής πολιτικής, με δράσεις που συμβάλλουν στην αύξηση του ιδιωτικού και δημόσιου κεφαλαίου της οικονομίας και στηρίζουν την αναπτυξιακή διαδικασία και τον εκσυ</w:t>
      </w:r>
      <w:r w:rsidRPr="00B536A3">
        <w:rPr>
          <w:sz w:val="22"/>
          <w:szCs w:val="22"/>
        </w:rPr>
        <w:t>γ</w:t>
      </w:r>
      <w:r w:rsidRPr="00B536A3">
        <w:rPr>
          <w:sz w:val="22"/>
          <w:szCs w:val="22"/>
        </w:rPr>
        <w:t>χρονισμό της χώρας σε μακροχρόνια βάση. Βασική πηγή εσόδων για τη χρηματοδότηση των έργων του ΠΔΕ αποτελούν οι εισροές από την Ευρωπαϊκή Ένωση (ΕΕ).</w:t>
      </w:r>
    </w:p>
    <w:p w:rsidR="009C7119" w:rsidRPr="00B536A3" w:rsidRDefault="009C7119" w:rsidP="009C7119">
      <w:pPr>
        <w:tabs>
          <w:tab w:val="left" w:pos="180"/>
        </w:tabs>
        <w:jc w:val="both"/>
        <w:rPr>
          <w:sz w:val="22"/>
          <w:szCs w:val="22"/>
        </w:rPr>
      </w:pPr>
    </w:p>
    <w:p w:rsidR="009C7119" w:rsidRDefault="009C7119" w:rsidP="009C7119">
      <w:pPr>
        <w:jc w:val="both"/>
        <w:rPr>
          <w:sz w:val="22"/>
          <w:szCs w:val="22"/>
        </w:rPr>
      </w:pPr>
      <w:r w:rsidRPr="00B536A3">
        <w:rPr>
          <w:sz w:val="22"/>
          <w:szCs w:val="22"/>
        </w:rPr>
        <w:t xml:space="preserve">Οι αναπτυξιακοί τομείς που ενισχύονται με το ΠΔΕ είναι </w:t>
      </w:r>
      <w:r w:rsidR="007D5F31">
        <w:rPr>
          <w:sz w:val="22"/>
          <w:szCs w:val="22"/>
        </w:rPr>
        <w:t>κατεξοχήν</w:t>
      </w:r>
      <w:r w:rsidR="007D5F31" w:rsidRPr="00B536A3">
        <w:rPr>
          <w:sz w:val="22"/>
          <w:szCs w:val="22"/>
        </w:rPr>
        <w:t xml:space="preserve"> </w:t>
      </w:r>
      <w:r w:rsidRPr="00B536A3">
        <w:rPr>
          <w:sz w:val="22"/>
          <w:szCs w:val="22"/>
        </w:rPr>
        <w:t xml:space="preserve">οι μεταφορές και το περιβάλλον με έργα κυρίως υποδομών, η επιχειρηματικότητα και </w:t>
      </w:r>
      <w:r w:rsidR="00F53406">
        <w:rPr>
          <w:sz w:val="22"/>
          <w:szCs w:val="22"/>
        </w:rPr>
        <w:t xml:space="preserve">η </w:t>
      </w:r>
      <w:r w:rsidRPr="00B536A3">
        <w:rPr>
          <w:sz w:val="22"/>
          <w:szCs w:val="22"/>
        </w:rPr>
        <w:t>ενίσχυση των ιδιωτικών επενδύσεων, η αν</w:t>
      </w:r>
      <w:r w:rsidRPr="00B536A3">
        <w:rPr>
          <w:sz w:val="22"/>
          <w:szCs w:val="22"/>
        </w:rPr>
        <w:t>ά</w:t>
      </w:r>
      <w:r w:rsidRPr="00B536A3">
        <w:rPr>
          <w:sz w:val="22"/>
          <w:szCs w:val="22"/>
        </w:rPr>
        <w:t>πτυξη του ανθρώπινου κεφαλαίου και η ενίσχυση της κοινωνίας της γνώσης, η αξιοποίηση των ενε</w:t>
      </w:r>
      <w:r w:rsidRPr="00B536A3">
        <w:rPr>
          <w:sz w:val="22"/>
          <w:szCs w:val="22"/>
        </w:rPr>
        <w:t>ρ</w:t>
      </w:r>
      <w:r w:rsidRPr="00B536A3">
        <w:rPr>
          <w:sz w:val="22"/>
          <w:szCs w:val="22"/>
        </w:rPr>
        <w:t>γειακών πόρων, ο ψηφιακός μετασχηματισμός και η αυτοδιοίκηση με στήριξη των επενδυτικών της προγραμμάτων. Επιπλέον, με την αξιοποίηση εθνικών πόρων ενισχύονται πολιτικές του Κράτους για συντήρηση και επέκταση κοινωνικών υποδομών, αντιμετώπιση έκτακτων αναγκών και λοιπές δρ</w:t>
      </w:r>
      <w:r w:rsidRPr="00B536A3">
        <w:rPr>
          <w:sz w:val="22"/>
          <w:szCs w:val="22"/>
        </w:rPr>
        <w:t>ά</w:t>
      </w:r>
      <w:r w:rsidRPr="00B536A3">
        <w:rPr>
          <w:sz w:val="22"/>
          <w:szCs w:val="22"/>
        </w:rPr>
        <w:t>σεις.</w:t>
      </w:r>
    </w:p>
    <w:p w:rsidR="009C7119" w:rsidRPr="00B536A3" w:rsidRDefault="009C7119" w:rsidP="009C7119">
      <w:pPr>
        <w:jc w:val="both"/>
        <w:rPr>
          <w:sz w:val="22"/>
          <w:szCs w:val="22"/>
        </w:rPr>
      </w:pPr>
    </w:p>
    <w:p w:rsidR="009C7119" w:rsidRDefault="009C7119" w:rsidP="009C7119">
      <w:pPr>
        <w:jc w:val="both"/>
        <w:rPr>
          <w:sz w:val="22"/>
          <w:szCs w:val="22"/>
        </w:rPr>
      </w:pPr>
      <w:r w:rsidRPr="00B536A3">
        <w:rPr>
          <w:sz w:val="22"/>
          <w:szCs w:val="22"/>
        </w:rPr>
        <w:t xml:space="preserve">Με τον προϋπολογισμό του έτους 2021 συνεχίζεται η προσπάθεια για τη στήριξη και τη δυναμική </w:t>
      </w:r>
      <w:r w:rsidRPr="00B536A3">
        <w:rPr>
          <w:sz w:val="22"/>
          <w:szCs w:val="22"/>
        </w:rPr>
        <w:t>α</w:t>
      </w:r>
      <w:r w:rsidRPr="00B536A3">
        <w:rPr>
          <w:sz w:val="22"/>
          <w:szCs w:val="22"/>
        </w:rPr>
        <w:t xml:space="preserve">νάκαμψη της οικονομίας και παράλληλα για την υποστήριξη των μεγάλων διαρθρωτικών αλλαγών στο κράτος και την οικονομία. Η υλοποίηση του ΠΔΕ 2021 έχει ως στόχο να ενισχύσει την οικονομία με αναπτυξιακές δράσεις με ταυτόχρονη στήριξη της κοινωνικής συνοχής. Βασική επιδίωξη </w:t>
      </w:r>
      <w:r w:rsidRPr="00B536A3">
        <w:rPr>
          <w:bCs/>
          <w:sz w:val="22"/>
          <w:szCs w:val="22"/>
        </w:rPr>
        <w:t>παραμ</w:t>
      </w:r>
      <w:r w:rsidRPr="00B536A3">
        <w:rPr>
          <w:bCs/>
          <w:sz w:val="22"/>
          <w:szCs w:val="22"/>
        </w:rPr>
        <w:t>έ</w:t>
      </w:r>
      <w:r w:rsidRPr="00B536A3">
        <w:rPr>
          <w:bCs/>
          <w:sz w:val="22"/>
          <w:szCs w:val="22"/>
        </w:rPr>
        <w:t xml:space="preserve">νει </w:t>
      </w:r>
      <w:r w:rsidRPr="00B536A3">
        <w:rPr>
          <w:sz w:val="22"/>
          <w:szCs w:val="22"/>
        </w:rPr>
        <w:t>η, κατά το δυνατό, ταχύτερη απορρόφηση των προβλεπόμενων πόρων των συγχρηματοδοτούμ</w:t>
      </w:r>
      <w:r w:rsidRPr="00B536A3">
        <w:rPr>
          <w:sz w:val="22"/>
          <w:szCs w:val="22"/>
        </w:rPr>
        <w:t>ε</w:t>
      </w:r>
      <w:r w:rsidRPr="00B536A3">
        <w:rPr>
          <w:sz w:val="22"/>
          <w:szCs w:val="22"/>
        </w:rPr>
        <w:t>νων προγραμμάτων, προκειμένου να εξασφαλιστεί έγκαιρα η εισροή της ενωσιακής συνδρομής.</w:t>
      </w:r>
    </w:p>
    <w:p w:rsidR="009C7119" w:rsidRPr="00B536A3" w:rsidRDefault="009C7119" w:rsidP="009C7119">
      <w:pPr>
        <w:jc w:val="both"/>
        <w:rPr>
          <w:sz w:val="22"/>
          <w:szCs w:val="22"/>
        </w:rPr>
      </w:pPr>
    </w:p>
    <w:p w:rsidR="009C7119" w:rsidRDefault="009C7119" w:rsidP="009C7119">
      <w:pPr>
        <w:jc w:val="both"/>
        <w:rPr>
          <w:sz w:val="22"/>
          <w:szCs w:val="22"/>
        </w:rPr>
      </w:pPr>
      <w:r w:rsidRPr="00B536A3">
        <w:rPr>
          <w:sz w:val="22"/>
          <w:szCs w:val="22"/>
        </w:rPr>
        <w:t>Ειδικότερα, για το 2021 προβλέπονται για το ΠΔΕ πόροι ύψους 6.750 εκατ. ευρώ. Οι δαπάνες αυτές, που αντιπροσωπεύουν το 3,9% του ΑΕΠ της χώρας, κατανέμονται σε 6.000 εκατ. ευρώ για έργα που θα συγχρηματοδοτηθούν από πόρους της Ευρωπαϊκής Ένωσης και σε 750 εκατ. ευρώ για έργα που θα χρηματοδοτηθούν αποκλειστικά από εθνικούς πόρους.</w:t>
      </w:r>
    </w:p>
    <w:p w:rsidR="00F53406" w:rsidRDefault="00F53406" w:rsidP="00F53406">
      <w:pPr>
        <w:jc w:val="both"/>
        <w:rPr>
          <w:sz w:val="22"/>
          <w:szCs w:val="22"/>
        </w:rPr>
      </w:pPr>
    </w:p>
    <w:p w:rsidR="00F53406" w:rsidRDefault="00F53406" w:rsidP="00F53406">
      <w:pPr>
        <w:jc w:val="both"/>
        <w:rPr>
          <w:sz w:val="22"/>
          <w:szCs w:val="22"/>
        </w:rPr>
      </w:pPr>
      <w:r w:rsidRPr="00B536A3">
        <w:rPr>
          <w:sz w:val="22"/>
          <w:szCs w:val="22"/>
        </w:rPr>
        <w:t>Τέλος, στον Προϋπολογισμό Δημοσίων Επενδύσεων έτους 2021, στο εθνικό σκέλος του Φορέα «</w:t>
      </w:r>
      <w:r w:rsidRPr="00B536A3">
        <w:rPr>
          <w:sz w:val="22"/>
          <w:szCs w:val="22"/>
        </w:rPr>
        <w:t>Υ</w:t>
      </w:r>
      <w:r w:rsidRPr="00B536A3">
        <w:rPr>
          <w:sz w:val="22"/>
          <w:szCs w:val="22"/>
        </w:rPr>
        <w:t xml:space="preserve">πουργείο Ανάπτυξης και Επενδύσεων», </w:t>
      </w:r>
      <w:r>
        <w:rPr>
          <w:sz w:val="22"/>
          <w:szCs w:val="22"/>
        </w:rPr>
        <w:t xml:space="preserve">έχουν προβλεφθεί </w:t>
      </w:r>
      <w:r w:rsidRPr="00B536A3">
        <w:rPr>
          <w:sz w:val="22"/>
          <w:szCs w:val="22"/>
        </w:rPr>
        <w:t>οι πιστώσεις των δαπανών που θα χρημ</w:t>
      </w:r>
      <w:r w:rsidRPr="00B536A3">
        <w:rPr>
          <w:sz w:val="22"/>
          <w:szCs w:val="22"/>
        </w:rPr>
        <w:t>α</w:t>
      </w:r>
      <w:r w:rsidRPr="00B536A3">
        <w:rPr>
          <w:sz w:val="22"/>
          <w:szCs w:val="22"/>
        </w:rPr>
        <w:t>τοδοτηθούν από πόρους του Ταμείου Ανάκαμψης και Σταθερότητας εντός του έτους.</w:t>
      </w:r>
      <w:r>
        <w:rPr>
          <w:sz w:val="22"/>
          <w:szCs w:val="22"/>
        </w:rPr>
        <w:t xml:space="preserve"> Οι πιστώσεις αυτές είναι επιπλέον του συνολικού ορίου </w:t>
      </w:r>
      <w:r w:rsidR="008931B6">
        <w:rPr>
          <w:sz w:val="22"/>
          <w:szCs w:val="22"/>
        </w:rPr>
        <w:t>των 6.750 εκατ. ευρώ και ανέρχονται σε 2.635 εκατ. ευρώ.</w:t>
      </w:r>
    </w:p>
    <w:p w:rsidR="00F53406" w:rsidRPr="00B536A3" w:rsidRDefault="00F53406" w:rsidP="00F53406">
      <w:pPr>
        <w:jc w:val="both"/>
        <w:rPr>
          <w:sz w:val="22"/>
          <w:szCs w:val="22"/>
        </w:rPr>
      </w:pPr>
    </w:p>
    <w:p w:rsidR="009C7119" w:rsidRPr="00B536A3" w:rsidRDefault="009C7119" w:rsidP="009C7119">
      <w:pPr>
        <w:jc w:val="both"/>
        <w:rPr>
          <w:sz w:val="22"/>
          <w:szCs w:val="22"/>
        </w:rPr>
      </w:pPr>
      <w:r w:rsidRPr="00B536A3">
        <w:rPr>
          <w:sz w:val="22"/>
          <w:szCs w:val="22"/>
        </w:rPr>
        <w:t>Η αναπτυξιακή πολιτική προωθείται με την ενίσχυση των ενεργειών για την ταχεία υλοποίηση των έργων των προγραμμάτων της περιόδου 2014–2020, ώστε να αποφευχθεί ο κίνδυνος της αποδέσμε</w:t>
      </w:r>
      <w:r w:rsidRPr="00B536A3">
        <w:rPr>
          <w:sz w:val="22"/>
          <w:szCs w:val="22"/>
        </w:rPr>
        <w:t>υ</w:t>
      </w:r>
      <w:r w:rsidRPr="00B536A3">
        <w:rPr>
          <w:sz w:val="22"/>
          <w:szCs w:val="22"/>
        </w:rPr>
        <w:lastRenderedPageBreak/>
        <w:t xml:space="preserve">σης πόρων, καθώς και με την προώθηση των </w:t>
      </w:r>
      <w:r w:rsidR="008931B6">
        <w:rPr>
          <w:sz w:val="22"/>
          <w:szCs w:val="22"/>
        </w:rPr>
        <w:t xml:space="preserve">πρωτοβουλιών </w:t>
      </w:r>
      <w:r w:rsidRPr="00B536A3">
        <w:rPr>
          <w:sz w:val="22"/>
          <w:szCs w:val="22"/>
        </w:rPr>
        <w:t>για τη νέα προγραμματική περίοδο 2021-2027.</w:t>
      </w:r>
    </w:p>
    <w:p w:rsidR="00F152F5" w:rsidRDefault="00F152F5" w:rsidP="009C7119">
      <w:pPr>
        <w:jc w:val="both"/>
        <w:rPr>
          <w:sz w:val="22"/>
          <w:szCs w:val="22"/>
        </w:rPr>
      </w:pPr>
    </w:p>
    <w:p w:rsidR="009C7119" w:rsidRDefault="009C7119" w:rsidP="009C7119">
      <w:pPr>
        <w:jc w:val="both"/>
        <w:rPr>
          <w:sz w:val="22"/>
          <w:szCs w:val="22"/>
        </w:rPr>
      </w:pPr>
      <w:r w:rsidRPr="00B536A3">
        <w:rPr>
          <w:sz w:val="22"/>
          <w:szCs w:val="22"/>
        </w:rPr>
        <w:t>Σε ό</w:t>
      </w:r>
      <w:r w:rsidR="00F152F5">
        <w:rPr>
          <w:sz w:val="22"/>
          <w:szCs w:val="22"/>
        </w:rPr>
        <w:t>,</w:t>
      </w:r>
      <w:r w:rsidRPr="00B536A3">
        <w:rPr>
          <w:sz w:val="22"/>
          <w:szCs w:val="22"/>
        </w:rPr>
        <w:t xml:space="preserve">τι αφορά στις δράσεις του ΕΣΠΑ (Εταιρικό Σύμφωνο για το Πλαίσιο Ανάπτυξης) 2014–2020 </w:t>
      </w:r>
      <w:r w:rsidRPr="00B536A3">
        <w:rPr>
          <w:sz w:val="22"/>
          <w:szCs w:val="22"/>
        </w:rPr>
        <w:t>ι</w:t>
      </w:r>
      <w:r w:rsidR="00D65C89">
        <w:rPr>
          <w:sz w:val="22"/>
          <w:szCs w:val="22"/>
        </w:rPr>
        <w:t>διαίτερη έμφαση δίν</w:t>
      </w:r>
      <w:r w:rsidRPr="00B536A3">
        <w:rPr>
          <w:sz w:val="22"/>
          <w:szCs w:val="22"/>
        </w:rPr>
        <w:t>εται στους τομείς της επιχειρηματικότητας (μέσω και δράσεων στήριξης στο πλαίσιο της αντιμετώπισης των οικονομικών επιπτώσεων της υγειονομικής κρίσης), των μεγάλων έ</w:t>
      </w:r>
      <w:r w:rsidRPr="00B536A3">
        <w:rPr>
          <w:sz w:val="22"/>
          <w:szCs w:val="22"/>
        </w:rPr>
        <w:t>ρ</w:t>
      </w:r>
      <w:r w:rsidRPr="00B536A3">
        <w:rPr>
          <w:sz w:val="22"/>
          <w:szCs w:val="22"/>
        </w:rPr>
        <w:t>γων υποδομών (αστικές μεταφορές, οδικά έργα, αστικά λύματα κ</w:t>
      </w:r>
      <w:r w:rsidR="00F152F5">
        <w:rPr>
          <w:sz w:val="22"/>
          <w:szCs w:val="22"/>
        </w:rPr>
        <w:t>.</w:t>
      </w:r>
      <w:r w:rsidRPr="00B536A3">
        <w:rPr>
          <w:sz w:val="22"/>
          <w:szCs w:val="22"/>
        </w:rPr>
        <w:t>λπ</w:t>
      </w:r>
      <w:r w:rsidR="00F152F5">
        <w:rPr>
          <w:sz w:val="22"/>
          <w:szCs w:val="22"/>
        </w:rPr>
        <w:t>.</w:t>
      </w:r>
      <w:r w:rsidRPr="00B536A3">
        <w:rPr>
          <w:sz w:val="22"/>
          <w:szCs w:val="22"/>
        </w:rPr>
        <w:t>), της απασχόλησης και της ε</w:t>
      </w:r>
      <w:r w:rsidRPr="00B536A3">
        <w:rPr>
          <w:sz w:val="22"/>
          <w:szCs w:val="22"/>
        </w:rPr>
        <w:t>κ</w:t>
      </w:r>
      <w:r w:rsidRPr="00B536A3">
        <w:rPr>
          <w:sz w:val="22"/>
          <w:szCs w:val="22"/>
        </w:rPr>
        <w:t>παίδευσης, της υγείας και της πρόνοιας, της προστασίας του περιβάλλοντος, των έργων υποδομών των Οργανισμών Τοπικής Αυτοδιοίκησης (ΟΤΑ), των δράσεων για τη μεταρρύθμιση του δημόσιου τομέα, την παιδεία και την ενίσχυση της κοινωνικής συνοχής.</w:t>
      </w:r>
    </w:p>
    <w:p w:rsidR="00F152F5" w:rsidRPr="00B536A3" w:rsidRDefault="00F152F5" w:rsidP="009C7119">
      <w:pPr>
        <w:jc w:val="both"/>
        <w:rPr>
          <w:sz w:val="22"/>
          <w:szCs w:val="22"/>
        </w:rPr>
      </w:pPr>
    </w:p>
    <w:p w:rsidR="009C7119" w:rsidRDefault="009C7119" w:rsidP="009C7119">
      <w:pPr>
        <w:jc w:val="both"/>
        <w:rPr>
          <w:sz w:val="22"/>
          <w:szCs w:val="22"/>
        </w:rPr>
      </w:pPr>
      <w:r w:rsidRPr="00B536A3">
        <w:rPr>
          <w:sz w:val="22"/>
          <w:szCs w:val="22"/>
        </w:rPr>
        <w:t>Σχετικά με το ΠΔΕ που χρηματοδοτείται αποκλειστικά από εθνικούς πόρους και δεδομένων των περ</w:t>
      </w:r>
      <w:r w:rsidRPr="00B536A3">
        <w:rPr>
          <w:sz w:val="22"/>
          <w:szCs w:val="22"/>
        </w:rPr>
        <w:t>ι</w:t>
      </w:r>
      <w:r w:rsidRPr="00B536A3">
        <w:rPr>
          <w:sz w:val="22"/>
          <w:szCs w:val="22"/>
        </w:rPr>
        <w:t xml:space="preserve">ορισμένων πόρων του Προγράμματος, το 2021 πρόκειται να ενισχυθεί ο μηχανισμός </w:t>
      </w:r>
      <w:r w:rsidR="00F018D7">
        <w:rPr>
          <w:sz w:val="22"/>
          <w:szCs w:val="22"/>
        </w:rPr>
        <w:t xml:space="preserve">ιεράρχησης </w:t>
      </w:r>
      <w:r w:rsidRPr="00B536A3">
        <w:rPr>
          <w:sz w:val="22"/>
          <w:szCs w:val="22"/>
        </w:rPr>
        <w:t>των αναγκών με πρώτο κριτήριο την κάλυψη ανελαστικών υποχρεώσεων που αφορούν στην κοινωνική συνοχή</w:t>
      </w:r>
      <w:r w:rsidR="00D65C89">
        <w:rPr>
          <w:sz w:val="22"/>
          <w:szCs w:val="22"/>
        </w:rPr>
        <w:t>,</w:t>
      </w:r>
      <w:r w:rsidRPr="00B536A3">
        <w:rPr>
          <w:sz w:val="22"/>
          <w:szCs w:val="22"/>
        </w:rPr>
        <w:t xml:space="preserve"> με το δεδομένο της ύπαρξης της πανδημίας. Επίσης, βασικό κριτήριο χρηματοδότησης θα ε</w:t>
      </w:r>
      <w:r w:rsidRPr="00B536A3">
        <w:rPr>
          <w:sz w:val="22"/>
          <w:szCs w:val="22"/>
        </w:rPr>
        <w:t>ί</w:t>
      </w:r>
      <w:r w:rsidRPr="00B536A3">
        <w:rPr>
          <w:sz w:val="22"/>
          <w:szCs w:val="22"/>
        </w:rPr>
        <w:t>ναι η συμπληρωματικότητα, οι συνέργειες και η σκοπιμότητα των σχετικών δράσεων σε σχέση με την εκτέλεση έργων συγχρηματοδοτούμενων από την ΕΕ.</w:t>
      </w:r>
    </w:p>
    <w:p w:rsidR="00FD71A8" w:rsidRPr="00B536A3" w:rsidRDefault="00FD71A8" w:rsidP="009C7119">
      <w:pPr>
        <w:jc w:val="both"/>
        <w:rPr>
          <w:sz w:val="22"/>
          <w:szCs w:val="22"/>
        </w:rPr>
      </w:pPr>
    </w:p>
    <w:p w:rsidR="009C7119" w:rsidRPr="00B536A3" w:rsidRDefault="009C7119" w:rsidP="009C7119">
      <w:pPr>
        <w:jc w:val="both"/>
        <w:rPr>
          <w:sz w:val="22"/>
          <w:szCs w:val="22"/>
        </w:rPr>
      </w:pPr>
      <w:r w:rsidRPr="00B536A3">
        <w:rPr>
          <w:sz w:val="22"/>
          <w:szCs w:val="22"/>
        </w:rPr>
        <w:t>Οι δράσεις που θα χρηματοδοτηθούν περιλαμβάνουν κυρίως επενδυτικές δραστηριότητες των ΟΤΑ β΄ βαθμού, ενισχύσεις των ιδιωτικών επενδύσεων στο πλαίσιο υλοποίησης των αναπτυξιακών νόμων, καθώς και δαπάνες για την αποκατάσταση ζημιών σε έργα υποδομής από σεισμούς, πυρκαγιές και ά</w:t>
      </w:r>
      <w:r w:rsidRPr="00B536A3">
        <w:rPr>
          <w:sz w:val="22"/>
          <w:szCs w:val="22"/>
        </w:rPr>
        <w:t>λ</w:t>
      </w:r>
      <w:r w:rsidRPr="00B536A3">
        <w:rPr>
          <w:sz w:val="22"/>
          <w:szCs w:val="22"/>
        </w:rPr>
        <w:t>λες φυσικές καταστροφές. Επίσης, με σκοπό την υποβοήθηση κοινωνικών ομάδων με ιδιαίτερα πρ</w:t>
      </w:r>
      <w:r w:rsidRPr="00B536A3">
        <w:rPr>
          <w:sz w:val="22"/>
          <w:szCs w:val="22"/>
        </w:rPr>
        <w:t>ο</w:t>
      </w:r>
      <w:r w:rsidRPr="00B536A3">
        <w:rPr>
          <w:sz w:val="22"/>
          <w:szCs w:val="22"/>
        </w:rPr>
        <w:t>βλήματα περιλαμβάνονται δράσεις για την κοινωνική πρόνοια, την καταπολέμηση της ανεργίας, την κρατική αρωγή σε πληγέντες από φυσικές καταστροφές κ</w:t>
      </w:r>
      <w:r w:rsidR="0054537C">
        <w:rPr>
          <w:sz w:val="22"/>
          <w:szCs w:val="22"/>
        </w:rPr>
        <w:t>.</w:t>
      </w:r>
      <w:r w:rsidRPr="00B536A3">
        <w:rPr>
          <w:sz w:val="22"/>
          <w:szCs w:val="22"/>
        </w:rPr>
        <w:t>λπ.</w:t>
      </w:r>
    </w:p>
    <w:p w:rsidR="009C7119" w:rsidRDefault="009C7119" w:rsidP="009C7119">
      <w:pPr>
        <w:jc w:val="both"/>
        <w:rPr>
          <w:sz w:val="22"/>
          <w:szCs w:val="22"/>
        </w:rPr>
      </w:pPr>
    </w:p>
    <w:p w:rsidR="0054537C" w:rsidRPr="007E6F6B" w:rsidRDefault="0054537C" w:rsidP="0054537C">
      <w:pPr>
        <w:tabs>
          <w:tab w:val="left" w:pos="180"/>
        </w:tabs>
        <w:spacing w:line="235" w:lineRule="auto"/>
        <w:jc w:val="both"/>
        <w:rPr>
          <w:sz w:val="22"/>
          <w:szCs w:val="22"/>
        </w:rPr>
      </w:pPr>
    </w:p>
    <w:tbl>
      <w:tblPr>
        <w:tblW w:w="0" w:type="auto"/>
        <w:jc w:val="center"/>
        <w:tblLook w:val="00A0"/>
      </w:tblPr>
      <w:tblGrid>
        <w:gridCol w:w="1332"/>
        <w:gridCol w:w="1417"/>
        <w:gridCol w:w="1774"/>
        <w:gridCol w:w="1488"/>
      </w:tblGrid>
      <w:tr w:rsidR="0054537C" w:rsidRPr="00F54EA6" w:rsidTr="0054537C">
        <w:trPr>
          <w:jc w:val="center"/>
        </w:trPr>
        <w:tc>
          <w:tcPr>
            <w:tcW w:w="6011" w:type="dxa"/>
            <w:gridSpan w:val="4"/>
            <w:tcBorders>
              <w:top w:val="single" w:sz="4" w:space="0" w:color="auto"/>
              <w:left w:val="single" w:sz="4" w:space="0" w:color="auto"/>
              <w:right w:val="single" w:sz="4" w:space="0" w:color="auto"/>
            </w:tcBorders>
            <w:shd w:val="clear" w:color="auto" w:fill="404040" w:themeFill="text1" w:themeFillTint="BF"/>
            <w:tcMar>
              <w:left w:w="28" w:type="dxa"/>
              <w:right w:w="28" w:type="dxa"/>
            </w:tcMar>
            <w:vAlign w:val="center"/>
          </w:tcPr>
          <w:p w:rsidR="0054537C" w:rsidRPr="00F54EA6" w:rsidRDefault="00D127FE" w:rsidP="0054537C">
            <w:pPr>
              <w:spacing w:before="80"/>
              <w:jc w:val="center"/>
              <w:rPr>
                <w:rFonts w:ascii="Arial Narrow" w:hAnsi="Arial Narrow"/>
                <w:b/>
                <w:color w:val="FFFFFF"/>
                <w:sz w:val="22"/>
                <w:szCs w:val="22"/>
              </w:rPr>
            </w:pPr>
            <w:r>
              <w:rPr>
                <w:rFonts w:ascii="Arial Narrow" w:hAnsi="Arial Narrow"/>
                <w:b/>
                <w:color w:val="FFFFFF"/>
                <w:sz w:val="22"/>
                <w:szCs w:val="22"/>
              </w:rPr>
              <w:t>Πίνακας 3.8</w:t>
            </w:r>
            <w:r w:rsidR="0054537C">
              <w:rPr>
                <w:rFonts w:ascii="Arial Narrow" w:hAnsi="Arial Narrow"/>
                <w:b/>
                <w:color w:val="FFFFFF"/>
                <w:sz w:val="22"/>
                <w:szCs w:val="22"/>
              </w:rPr>
              <w:t xml:space="preserve"> </w:t>
            </w:r>
            <w:r w:rsidR="0054537C" w:rsidRPr="00F54EA6">
              <w:rPr>
                <w:rFonts w:ascii="Arial Narrow" w:hAnsi="Arial Narrow"/>
                <w:b/>
                <w:color w:val="FFFFFF"/>
                <w:sz w:val="22"/>
                <w:szCs w:val="22"/>
              </w:rPr>
              <w:t>Διαχ</w:t>
            </w:r>
            <w:r w:rsidR="0054537C">
              <w:rPr>
                <w:rFonts w:ascii="Arial Narrow" w:hAnsi="Arial Narrow"/>
                <w:b/>
                <w:color w:val="FFFFFF"/>
                <w:sz w:val="22"/>
                <w:szCs w:val="22"/>
              </w:rPr>
              <w:t>ρονική εξέλιξη δαπανών ΠΔΕ (2011-2021</w:t>
            </w:r>
            <w:r w:rsidR="0054537C" w:rsidRPr="00F54EA6">
              <w:rPr>
                <w:rFonts w:ascii="Arial Narrow" w:hAnsi="Arial Narrow"/>
                <w:b/>
                <w:color w:val="FFFFFF"/>
                <w:sz w:val="22"/>
                <w:szCs w:val="22"/>
              </w:rPr>
              <w:t>)</w:t>
            </w:r>
          </w:p>
          <w:p w:rsidR="0054537C" w:rsidRPr="00F54EA6" w:rsidRDefault="0054537C" w:rsidP="0054537C">
            <w:pPr>
              <w:spacing w:after="80"/>
              <w:jc w:val="center"/>
              <w:rPr>
                <w:rFonts w:ascii="Arial Narrow" w:hAnsi="Arial Narrow"/>
                <w:b/>
                <w:color w:val="FFFFFF"/>
                <w:sz w:val="22"/>
                <w:szCs w:val="22"/>
              </w:rPr>
            </w:pPr>
            <w:r w:rsidRPr="00F54EA6">
              <w:rPr>
                <w:rFonts w:ascii="Arial Narrow" w:hAnsi="Arial Narrow"/>
                <w:b/>
                <w:color w:val="FFFFFF"/>
                <w:sz w:val="22"/>
                <w:szCs w:val="22"/>
              </w:rPr>
              <w:t>(σε εκατ. ευρώ)</w:t>
            </w:r>
          </w:p>
        </w:tc>
      </w:tr>
      <w:tr w:rsidR="0054537C" w:rsidRPr="00F54EA6" w:rsidTr="0054537C">
        <w:trPr>
          <w:jc w:val="center"/>
        </w:trPr>
        <w:tc>
          <w:tcPr>
            <w:tcW w:w="6011" w:type="dxa"/>
            <w:gridSpan w:val="4"/>
            <w:tcBorders>
              <w:left w:val="single" w:sz="4" w:space="0" w:color="auto"/>
              <w:bottom w:val="single" w:sz="4" w:space="0" w:color="auto"/>
              <w:right w:val="single" w:sz="4" w:space="0" w:color="auto"/>
            </w:tcBorders>
            <w:shd w:val="clear" w:color="auto" w:fill="auto"/>
            <w:tcMar>
              <w:left w:w="28" w:type="dxa"/>
              <w:right w:w="28" w:type="dxa"/>
            </w:tcMar>
            <w:vAlign w:val="center"/>
          </w:tcPr>
          <w:p w:rsidR="0054537C" w:rsidRPr="00F54EA6" w:rsidRDefault="0054537C" w:rsidP="0054537C">
            <w:pPr>
              <w:jc w:val="center"/>
              <w:rPr>
                <w:rFonts w:ascii="Arial Narrow" w:hAnsi="Arial Narrow"/>
                <w:b/>
                <w:sz w:val="22"/>
                <w:szCs w:val="22"/>
              </w:rPr>
            </w:pPr>
          </w:p>
        </w:tc>
      </w:tr>
      <w:tr w:rsidR="0054537C" w:rsidRPr="00EC191C" w:rsidTr="0054537C">
        <w:trPr>
          <w:jc w:val="center"/>
        </w:trPr>
        <w:tc>
          <w:tcPr>
            <w:tcW w:w="1332"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54537C" w:rsidRPr="00EC191C" w:rsidRDefault="0054537C" w:rsidP="0054537C">
            <w:pPr>
              <w:jc w:val="center"/>
              <w:rPr>
                <w:rFonts w:ascii="Arial Narrow" w:hAnsi="Arial Narrow"/>
                <w:b/>
                <w:sz w:val="16"/>
                <w:szCs w:val="16"/>
              </w:rPr>
            </w:pPr>
            <w:r w:rsidRPr="00EC191C">
              <w:rPr>
                <w:rFonts w:ascii="Arial Narrow" w:hAnsi="Arial Narrow"/>
                <w:b/>
                <w:sz w:val="16"/>
                <w:szCs w:val="16"/>
              </w:rPr>
              <w:t>Έτη</w:t>
            </w:r>
          </w:p>
        </w:tc>
        <w:tc>
          <w:tcPr>
            <w:tcW w:w="467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4537C" w:rsidRPr="00EC191C" w:rsidRDefault="0054537C" w:rsidP="0054537C">
            <w:pPr>
              <w:jc w:val="center"/>
              <w:rPr>
                <w:rFonts w:ascii="Arial Narrow" w:hAnsi="Arial Narrow"/>
                <w:b/>
                <w:sz w:val="16"/>
                <w:szCs w:val="16"/>
              </w:rPr>
            </w:pPr>
            <w:r w:rsidRPr="00EC191C">
              <w:rPr>
                <w:rFonts w:ascii="Arial Narrow" w:hAnsi="Arial Narrow"/>
                <w:b/>
                <w:sz w:val="16"/>
                <w:szCs w:val="16"/>
              </w:rPr>
              <w:t>ΠΔΕ</w:t>
            </w:r>
          </w:p>
        </w:tc>
      </w:tr>
      <w:tr w:rsidR="0054537C" w:rsidRPr="00EC191C" w:rsidTr="0054537C">
        <w:trPr>
          <w:jc w:val="center"/>
        </w:trPr>
        <w:tc>
          <w:tcPr>
            <w:tcW w:w="1332" w:type="dxa"/>
            <w:vMerge/>
            <w:tcBorders>
              <w:left w:val="single" w:sz="4" w:space="0" w:color="auto"/>
              <w:bottom w:val="single" w:sz="4" w:space="0" w:color="auto"/>
              <w:right w:val="single" w:sz="4" w:space="0" w:color="auto"/>
            </w:tcBorders>
            <w:shd w:val="clear" w:color="auto" w:fill="auto"/>
            <w:tcMar>
              <w:left w:w="28" w:type="dxa"/>
              <w:right w:w="28" w:type="dxa"/>
            </w:tcMar>
          </w:tcPr>
          <w:p w:rsidR="0054537C" w:rsidRPr="00EC191C" w:rsidRDefault="0054537C" w:rsidP="0054537C">
            <w:pPr>
              <w:jc w:val="center"/>
              <w:rPr>
                <w:rFonts w:ascii="Arial Narrow" w:hAnsi="Arial Narrow"/>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4537C" w:rsidRPr="00EC191C" w:rsidRDefault="0054537C" w:rsidP="0054537C">
            <w:pPr>
              <w:jc w:val="center"/>
              <w:rPr>
                <w:rFonts w:ascii="Arial Narrow" w:hAnsi="Arial Narrow"/>
                <w:b/>
                <w:sz w:val="16"/>
                <w:szCs w:val="16"/>
              </w:rPr>
            </w:pPr>
            <w:r w:rsidRPr="00EC191C">
              <w:rPr>
                <w:rFonts w:ascii="Arial Narrow" w:hAnsi="Arial Narrow"/>
                <w:b/>
                <w:sz w:val="16"/>
                <w:szCs w:val="16"/>
              </w:rPr>
              <w:t>Λοιποί</w:t>
            </w:r>
          </w:p>
          <w:p w:rsidR="0054537C" w:rsidRPr="00EC191C" w:rsidRDefault="0054537C" w:rsidP="0054537C">
            <w:pPr>
              <w:jc w:val="center"/>
              <w:rPr>
                <w:rFonts w:ascii="Arial Narrow" w:hAnsi="Arial Narrow"/>
                <w:b/>
                <w:sz w:val="16"/>
                <w:szCs w:val="16"/>
              </w:rPr>
            </w:pPr>
            <w:r w:rsidRPr="00EC191C">
              <w:rPr>
                <w:rFonts w:ascii="Arial Narrow" w:hAnsi="Arial Narrow"/>
                <w:b/>
                <w:sz w:val="16"/>
                <w:szCs w:val="16"/>
              </w:rPr>
              <w:t>εθνικοί πόροι</w:t>
            </w:r>
          </w:p>
        </w:tc>
        <w:tc>
          <w:tcPr>
            <w:tcW w:w="177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4537C" w:rsidRPr="00EC191C" w:rsidRDefault="0054537C" w:rsidP="0054537C">
            <w:pPr>
              <w:jc w:val="center"/>
              <w:rPr>
                <w:rFonts w:ascii="Arial Narrow" w:hAnsi="Arial Narrow"/>
                <w:b/>
                <w:sz w:val="16"/>
                <w:szCs w:val="16"/>
              </w:rPr>
            </w:pPr>
            <w:r w:rsidRPr="00EC191C">
              <w:rPr>
                <w:rFonts w:ascii="Arial Narrow" w:hAnsi="Arial Narrow"/>
                <w:b/>
                <w:sz w:val="16"/>
                <w:szCs w:val="16"/>
              </w:rPr>
              <w:t>Συγχρηματοδοτούμενο</w:t>
            </w:r>
          </w:p>
        </w:tc>
        <w:tc>
          <w:tcPr>
            <w:tcW w:w="1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4537C" w:rsidRPr="00EC191C" w:rsidRDefault="0054537C" w:rsidP="0054537C">
            <w:pPr>
              <w:jc w:val="center"/>
              <w:rPr>
                <w:rFonts w:ascii="Arial Narrow" w:hAnsi="Arial Narrow"/>
                <w:b/>
                <w:sz w:val="16"/>
                <w:szCs w:val="16"/>
              </w:rPr>
            </w:pPr>
            <w:r w:rsidRPr="00EC191C">
              <w:rPr>
                <w:rFonts w:ascii="Arial Narrow" w:hAnsi="Arial Narrow"/>
                <w:b/>
                <w:sz w:val="16"/>
                <w:szCs w:val="16"/>
              </w:rPr>
              <w:t>Σύνολο</w:t>
            </w:r>
          </w:p>
        </w:tc>
      </w:tr>
      <w:tr w:rsidR="0054537C" w:rsidRPr="00EC191C" w:rsidTr="0054537C">
        <w:tblPrEx>
          <w:tblLook w:val="01E0"/>
        </w:tblPrEx>
        <w:trPr>
          <w:jc w:val="center"/>
        </w:trPr>
        <w:tc>
          <w:tcPr>
            <w:tcW w:w="1332" w:type="dxa"/>
            <w:tcBorders>
              <w:top w:val="nil"/>
              <w:left w:val="single" w:sz="4" w:space="0" w:color="auto"/>
              <w:bottom w:val="nil"/>
            </w:tcBorders>
            <w:shd w:val="clear" w:color="auto" w:fill="D9D9D9" w:themeFill="background1" w:themeFillShade="D9"/>
            <w:tcMar>
              <w:left w:w="28" w:type="dxa"/>
              <w:right w:w="28" w:type="dxa"/>
            </w:tcMar>
            <w:vAlign w:val="center"/>
          </w:tcPr>
          <w:p w:rsidR="0054537C" w:rsidRPr="00EC191C" w:rsidRDefault="0054537C" w:rsidP="0054537C">
            <w:pPr>
              <w:tabs>
                <w:tab w:val="decimal" w:pos="755"/>
              </w:tabs>
              <w:spacing w:before="20" w:after="20"/>
              <w:jc w:val="both"/>
              <w:rPr>
                <w:rFonts w:ascii="Arial Narrow" w:hAnsi="Arial Narrow"/>
                <w:sz w:val="16"/>
                <w:szCs w:val="16"/>
              </w:rPr>
            </w:pPr>
            <w:r>
              <w:rPr>
                <w:rFonts w:ascii="Arial Narrow" w:hAnsi="Arial Narrow"/>
                <w:sz w:val="16"/>
                <w:szCs w:val="16"/>
              </w:rPr>
              <w:t>2011</w:t>
            </w:r>
          </w:p>
        </w:tc>
        <w:tc>
          <w:tcPr>
            <w:tcW w:w="1417" w:type="dxa"/>
            <w:tcBorders>
              <w:top w:val="nil"/>
              <w:bottom w:val="nil"/>
            </w:tcBorders>
            <w:shd w:val="clear" w:color="auto" w:fill="D9D9D9" w:themeFill="background1" w:themeFillShade="D9"/>
            <w:tcMar>
              <w:left w:w="28" w:type="dxa"/>
              <w:right w:w="28" w:type="dxa"/>
            </w:tcMar>
            <w:vAlign w:val="center"/>
          </w:tcPr>
          <w:p w:rsidR="0054537C" w:rsidRDefault="0054537C" w:rsidP="0054537C">
            <w:pPr>
              <w:spacing w:before="20" w:after="20"/>
              <w:ind w:right="541"/>
              <w:jc w:val="right"/>
              <w:rPr>
                <w:rFonts w:ascii="Arial Narrow" w:hAnsi="Arial Narrow"/>
                <w:color w:val="000000"/>
                <w:sz w:val="16"/>
                <w:szCs w:val="16"/>
              </w:rPr>
            </w:pPr>
            <w:r>
              <w:rPr>
                <w:rFonts w:ascii="Arial Narrow" w:hAnsi="Arial Narrow"/>
                <w:color w:val="000000"/>
                <w:sz w:val="16"/>
                <w:szCs w:val="16"/>
              </w:rPr>
              <w:t>1.885</w:t>
            </w:r>
          </w:p>
        </w:tc>
        <w:tc>
          <w:tcPr>
            <w:tcW w:w="1774" w:type="dxa"/>
            <w:tcBorders>
              <w:top w:val="nil"/>
              <w:bottom w:val="nil"/>
            </w:tcBorders>
            <w:shd w:val="clear" w:color="auto" w:fill="D9D9D9" w:themeFill="background1" w:themeFillShade="D9"/>
            <w:tcMar>
              <w:left w:w="28" w:type="dxa"/>
              <w:right w:w="28" w:type="dxa"/>
            </w:tcMar>
            <w:vAlign w:val="center"/>
          </w:tcPr>
          <w:p w:rsidR="0054537C" w:rsidRDefault="0054537C" w:rsidP="0054537C">
            <w:pPr>
              <w:spacing w:before="20" w:after="20"/>
              <w:ind w:right="541"/>
              <w:jc w:val="right"/>
              <w:rPr>
                <w:rFonts w:ascii="Arial Narrow" w:hAnsi="Arial Narrow"/>
                <w:color w:val="000000"/>
                <w:sz w:val="16"/>
                <w:szCs w:val="16"/>
              </w:rPr>
            </w:pPr>
            <w:r>
              <w:rPr>
                <w:rFonts w:ascii="Arial Narrow" w:hAnsi="Arial Narrow"/>
                <w:color w:val="000000"/>
                <w:sz w:val="16"/>
                <w:szCs w:val="16"/>
              </w:rPr>
              <w:t>4.722</w:t>
            </w:r>
          </w:p>
        </w:tc>
        <w:tc>
          <w:tcPr>
            <w:tcW w:w="1488" w:type="dxa"/>
            <w:tcBorders>
              <w:top w:val="nil"/>
              <w:bottom w:val="nil"/>
              <w:right w:val="single" w:sz="4" w:space="0" w:color="auto"/>
            </w:tcBorders>
            <w:shd w:val="clear" w:color="auto" w:fill="D9D9D9" w:themeFill="background1" w:themeFillShade="D9"/>
            <w:tcMar>
              <w:left w:w="28" w:type="dxa"/>
              <w:right w:w="28" w:type="dxa"/>
            </w:tcMar>
            <w:vAlign w:val="center"/>
          </w:tcPr>
          <w:p w:rsidR="0054537C" w:rsidRDefault="0054537C" w:rsidP="0054537C">
            <w:pPr>
              <w:spacing w:before="20" w:after="20"/>
              <w:ind w:right="541"/>
              <w:jc w:val="right"/>
              <w:rPr>
                <w:rFonts w:ascii="Arial Narrow" w:hAnsi="Arial Narrow"/>
                <w:color w:val="000000"/>
                <w:sz w:val="16"/>
                <w:szCs w:val="16"/>
              </w:rPr>
            </w:pPr>
            <w:r>
              <w:rPr>
                <w:rFonts w:ascii="Arial Narrow" w:hAnsi="Arial Narrow"/>
                <w:color w:val="000000"/>
                <w:sz w:val="16"/>
                <w:szCs w:val="16"/>
              </w:rPr>
              <w:t>6.608</w:t>
            </w:r>
          </w:p>
        </w:tc>
      </w:tr>
      <w:tr w:rsidR="0054537C" w:rsidRPr="00EC191C" w:rsidTr="0054537C">
        <w:tblPrEx>
          <w:tblLook w:val="01E0"/>
        </w:tblPrEx>
        <w:trPr>
          <w:jc w:val="center"/>
        </w:trPr>
        <w:tc>
          <w:tcPr>
            <w:tcW w:w="1332" w:type="dxa"/>
            <w:tcBorders>
              <w:top w:val="nil"/>
              <w:left w:val="single" w:sz="4" w:space="0" w:color="auto"/>
              <w:bottom w:val="nil"/>
            </w:tcBorders>
            <w:shd w:val="clear" w:color="auto" w:fill="auto"/>
            <w:tcMar>
              <w:left w:w="28" w:type="dxa"/>
              <w:right w:w="28" w:type="dxa"/>
            </w:tcMar>
            <w:vAlign w:val="center"/>
          </w:tcPr>
          <w:p w:rsidR="0054537C" w:rsidRPr="00EC191C" w:rsidRDefault="0054537C" w:rsidP="0054537C">
            <w:pPr>
              <w:tabs>
                <w:tab w:val="decimal" w:pos="755"/>
              </w:tabs>
              <w:spacing w:before="20" w:after="20"/>
              <w:jc w:val="both"/>
              <w:rPr>
                <w:rFonts w:ascii="Arial Narrow" w:hAnsi="Arial Narrow"/>
                <w:sz w:val="16"/>
                <w:szCs w:val="16"/>
              </w:rPr>
            </w:pPr>
            <w:r>
              <w:rPr>
                <w:rFonts w:ascii="Arial Narrow" w:hAnsi="Arial Narrow"/>
                <w:sz w:val="16"/>
                <w:szCs w:val="16"/>
              </w:rPr>
              <w:t>2012</w:t>
            </w:r>
          </w:p>
        </w:tc>
        <w:tc>
          <w:tcPr>
            <w:tcW w:w="1417" w:type="dxa"/>
            <w:tcBorders>
              <w:top w:val="nil"/>
              <w:bottom w:val="nil"/>
            </w:tcBorders>
            <w:shd w:val="clear" w:color="auto" w:fill="auto"/>
            <w:tcMar>
              <w:left w:w="28" w:type="dxa"/>
              <w:right w:w="28" w:type="dxa"/>
            </w:tcMar>
            <w:vAlign w:val="center"/>
          </w:tcPr>
          <w:p w:rsidR="0054537C" w:rsidRDefault="0054537C" w:rsidP="0054537C">
            <w:pPr>
              <w:spacing w:before="20" w:after="20"/>
              <w:ind w:right="541"/>
              <w:jc w:val="right"/>
              <w:rPr>
                <w:rFonts w:ascii="Arial Narrow" w:hAnsi="Arial Narrow"/>
                <w:color w:val="000000"/>
                <w:sz w:val="16"/>
                <w:szCs w:val="16"/>
              </w:rPr>
            </w:pPr>
            <w:r>
              <w:rPr>
                <w:rFonts w:ascii="Arial Narrow" w:hAnsi="Arial Narrow"/>
                <w:color w:val="000000"/>
                <w:sz w:val="16"/>
                <w:szCs w:val="16"/>
              </w:rPr>
              <w:t>1.412</w:t>
            </w:r>
          </w:p>
        </w:tc>
        <w:tc>
          <w:tcPr>
            <w:tcW w:w="1774" w:type="dxa"/>
            <w:tcBorders>
              <w:top w:val="nil"/>
              <w:bottom w:val="nil"/>
            </w:tcBorders>
            <w:shd w:val="clear" w:color="auto" w:fill="auto"/>
            <w:tcMar>
              <w:left w:w="28" w:type="dxa"/>
              <w:right w:w="28" w:type="dxa"/>
            </w:tcMar>
            <w:vAlign w:val="center"/>
          </w:tcPr>
          <w:p w:rsidR="0054537C" w:rsidRDefault="0054537C" w:rsidP="0054537C">
            <w:pPr>
              <w:spacing w:before="20" w:after="20"/>
              <w:ind w:right="541"/>
              <w:jc w:val="right"/>
              <w:rPr>
                <w:rFonts w:ascii="Arial Narrow" w:hAnsi="Arial Narrow"/>
                <w:color w:val="000000"/>
                <w:sz w:val="16"/>
                <w:szCs w:val="16"/>
              </w:rPr>
            </w:pPr>
            <w:r>
              <w:rPr>
                <w:rFonts w:ascii="Arial Narrow" w:hAnsi="Arial Narrow"/>
                <w:color w:val="000000"/>
                <w:sz w:val="16"/>
                <w:szCs w:val="16"/>
              </w:rPr>
              <w:t>4.710</w:t>
            </w:r>
          </w:p>
        </w:tc>
        <w:tc>
          <w:tcPr>
            <w:tcW w:w="1488" w:type="dxa"/>
            <w:tcBorders>
              <w:top w:val="nil"/>
              <w:bottom w:val="nil"/>
              <w:right w:val="single" w:sz="4" w:space="0" w:color="auto"/>
            </w:tcBorders>
            <w:shd w:val="clear" w:color="auto" w:fill="auto"/>
            <w:tcMar>
              <w:left w:w="28" w:type="dxa"/>
              <w:right w:w="28" w:type="dxa"/>
            </w:tcMar>
            <w:vAlign w:val="center"/>
          </w:tcPr>
          <w:p w:rsidR="0054537C" w:rsidRDefault="0054537C" w:rsidP="0054537C">
            <w:pPr>
              <w:spacing w:before="20" w:after="20"/>
              <w:ind w:right="541"/>
              <w:jc w:val="right"/>
              <w:rPr>
                <w:rFonts w:ascii="Arial Narrow" w:hAnsi="Arial Narrow"/>
                <w:color w:val="000000"/>
                <w:sz w:val="16"/>
                <w:szCs w:val="16"/>
              </w:rPr>
            </w:pPr>
            <w:r>
              <w:rPr>
                <w:rFonts w:ascii="Arial Narrow" w:hAnsi="Arial Narrow"/>
                <w:color w:val="000000"/>
                <w:sz w:val="16"/>
                <w:szCs w:val="16"/>
              </w:rPr>
              <w:t>6.122</w:t>
            </w:r>
          </w:p>
        </w:tc>
      </w:tr>
      <w:tr w:rsidR="0054537C" w:rsidRPr="00EC191C" w:rsidTr="0054537C">
        <w:tblPrEx>
          <w:tblLook w:val="01E0"/>
        </w:tblPrEx>
        <w:trPr>
          <w:jc w:val="center"/>
        </w:trPr>
        <w:tc>
          <w:tcPr>
            <w:tcW w:w="1332" w:type="dxa"/>
            <w:tcBorders>
              <w:top w:val="nil"/>
              <w:left w:val="single" w:sz="4" w:space="0" w:color="auto"/>
              <w:bottom w:val="nil"/>
            </w:tcBorders>
            <w:shd w:val="clear" w:color="auto" w:fill="D9D9D9" w:themeFill="background1" w:themeFillShade="D9"/>
            <w:tcMar>
              <w:left w:w="28" w:type="dxa"/>
              <w:right w:w="28" w:type="dxa"/>
            </w:tcMar>
            <w:vAlign w:val="center"/>
          </w:tcPr>
          <w:p w:rsidR="0054537C" w:rsidRPr="00EC191C" w:rsidRDefault="0054537C" w:rsidP="0054537C">
            <w:pPr>
              <w:tabs>
                <w:tab w:val="decimal" w:pos="755"/>
              </w:tabs>
              <w:spacing w:before="20" w:after="20"/>
              <w:jc w:val="both"/>
              <w:rPr>
                <w:rFonts w:ascii="Arial Narrow" w:hAnsi="Arial Narrow"/>
                <w:sz w:val="16"/>
                <w:szCs w:val="16"/>
              </w:rPr>
            </w:pPr>
            <w:r w:rsidRPr="00EC191C">
              <w:rPr>
                <w:rFonts w:ascii="Arial Narrow" w:hAnsi="Arial Narrow"/>
                <w:sz w:val="16"/>
                <w:szCs w:val="16"/>
              </w:rPr>
              <w:t>20</w:t>
            </w:r>
            <w:r>
              <w:rPr>
                <w:rFonts w:ascii="Arial Narrow" w:hAnsi="Arial Narrow"/>
                <w:sz w:val="16"/>
                <w:szCs w:val="16"/>
              </w:rPr>
              <w:t>13</w:t>
            </w:r>
          </w:p>
        </w:tc>
        <w:tc>
          <w:tcPr>
            <w:tcW w:w="1417" w:type="dxa"/>
            <w:tcBorders>
              <w:top w:val="nil"/>
              <w:bottom w:val="nil"/>
            </w:tcBorders>
            <w:shd w:val="clear" w:color="auto" w:fill="D9D9D9" w:themeFill="background1" w:themeFillShade="D9"/>
            <w:tcMar>
              <w:left w:w="28" w:type="dxa"/>
              <w:right w:w="28" w:type="dxa"/>
            </w:tcMar>
            <w:vAlign w:val="center"/>
          </w:tcPr>
          <w:p w:rsidR="0054537C" w:rsidRDefault="0054537C" w:rsidP="0054537C">
            <w:pPr>
              <w:spacing w:before="20" w:after="20"/>
              <w:ind w:right="541"/>
              <w:jc w:val="right"/>
              <w:rPr>
                <w:rFonts w:ascii="Arial Narrow" w:hAnsi="Arial Narrow"/>
                <w:color w:val="000000"/>
                <w:sz w:val="16"/>
                <w:szCs w:val="16"/>
              </w:rPr>
            </w:pPr>
            <w:r>
              <w:rPr>
                <w:rFonts w:ascii="Arial Narrow" w:hAnsi="Arial Narrow"/>
                <w:color w:val="000000"/>
                <w:sz w:val="16"/>
                <w:szCs w:val="16"/>
              </w:rPr>
              <w:t>783</w:t>
            </w:r>
          </w:p>
        </w:tc>
        <w:tc>
          <w:tcPr>
            <w:tcW w:w="1774" w:type="dxa"/>
            <w:tcBorders>
              <w:top w:val="nil"/>
              <w:bottom w:val="nil"/>
            </w:tcBorders>
            <w:shd w:val="clear" w:color="auto" w:fill="D9D9D9" w:themeFill="background1" w:themeFillShade="D9"/>
            <w:tcMar>
              <w:left w:w="28" w:type="dxa"/>
              <w:right w:w="28" w:type="dxa"/>
            </w:tcMar>
            <w:vAlign w:val="center"/>
          </w:tcPr>
          <w:p w:rsidR="0054537C" w:rsidRDefault="0054537C" w:rsidP="0054537C">
            <w:pPr>
              <w:spacing w:before="20" w:after="20"/>
              <w:ind w:right="541"/>
              <w:jc w:val="right"/>
              <w:rPr>
                <w:rFonts w:ascii="Arial Narrow" w:hAnsi="Arial Narrow"/>
                <w:color w:val="000000"/>
                <w:sz w:val="16"/>
                <w:szCs w:val="16"/>
              </w:rPr>
            </w:pPr>
            <w:r>
              <w:rPr>
                <w:rFonts w:ascii="Arial Narrow" w:hAnsi="Arial Narrow"/>
                <w:color w:val="000000"/>
                <w:sz w:val="16"/>
                <w:szCs w:val="16"/>
              </w:rPr>
              <w:t>5.867</w:t>
            </w:r>
          </w:p>
        </w:tc>
        <w:tc>
          <w:tcPr>
            <w:tcW w:w="1488" w:type="dxa"/>
            <w:tcBorders>
              <w:top w:val="nil"/>
              <w:bottom w:val="nil"/>
              <w:right w:val="single" w:sz="4" w:space="0" w:color="auto"/>
            </w:tcBorders>
            <w:shd w:val="clear" w:color="auto" w:fill="D9D9D9" w:themeFill="background1" w:themeFillShade="D9"/>
            <w:tcMar>
              <w:left w:w="28" w:type="dxa"/>
              <w:right w:w="28" w:type="dxa"/>
            </w:tcMar>
            <w:vAlign w:val="center"/>
          </w:tcPr>
          <w:p w:rsidR="0054537C" w:rsidRDefault="0054537C" w:rsidP="0054537C">
            <w:pPr>
              <w:spacing w:before="20" w:after="20"/>
              <w:ind w:right="541"/>
              <w:jc w:val="right"/>
              <w:rPr>
                <w:rFonts w:ascii="Arial Narrow" w:hAnsi="Arial Narrow"/>
                <w:color w:val="000000"/>
                <w:sz w:val="16"/>
                <w:szCs w:val="16"/>
              </w:rPr>
            </w:pPr>
            <w:r>
              <w:rPr>
                <w:rFonts w:ascii="Arial Narrow" w:hAnsi="Arial Narrow"/>
                <w:color w:val="000000"/>
                <w:sz w:val="16"/>
                <w:szCs w:val="16"/>
              </w:rPr>
              <w:t>6.650</w:t>
            </w:r>
          </w:p>
        </w:tc>
      </w:tr>
      <w:tr w:rsidR="0054537C" w:rsidRPr="00EC191C" w:rsidTr="0054537C">
        <w:tblPrEx>
          <w:tblLook w:val="01E0"/>
        </w:tblPrEx>
        <w:trPr>
          <w:jc w:val="center"/>
        </w:trPr>
        <w:tc>
          <w:tcPr>
            <w:tcW w:w="1332" w:type="dxa"/>
            <w:tcBorders>
              <w:top w:val="nil"/>
              <w:left w:val="single" w:sz="4" w:space="0" w:color="auto"/>
              <w:bottom w:val="nil"/>
            </w:tcBorders>
            <w:shd w:val="clear" w:color="auto" w:fill="auto"/>
            <w:tcMar>
              <w:left w:w="28" w:type="dxa"/>
              <w:right w:w="28" w:type="dxa"/>
            </w:tcMar>
            <w:vAlign w:val="center"/>
          </w:tcPr>
          <w:p w:rsidR="0054537C" w:rsidRPr="00EC191C" w:rsidRDefault="0054537C" w:rsidP="0054537C">
            <w:pPr>
              <w:tabs>
                <w:tab w:val="decimal" w:pos="755"/>
              </w:tabs>
              <w:spacing w:before="20" w:after="20"/>
              <w:jc w:val="both"/>
              <w:rPr>
                <w:rFonts w:ascii="Arial Narrow" w:hAnsi="Arial Narrow"/>
                <w:sz w:val="16"/>
                <w:szCs w:val="16"/>
              </w:rPr>
            </w:pPr>
            <w:r>
              <w:rPr>
                <w:rFonts w:ascii="Arial Narrow" w:hAnsi="Arial Narrow"/>
                <w:sz w:val="16"/>
                <w:szCs w:val="16"/>
              </w:rPr>
              <w:t>2014</w:t>
            </w:r>
          </w:p>
        </w:tc>
        <w:tc>
          <w:tcPr>
            <w:tcW w:w="1417" w:type="dxa"/>
            <w:tcBorders>
              <w:top w:val="nil"/>
              <w:bottom w:val="nil"/>
            </w:tcBorders>
            <w:shd w:val="clear" w:color="auto" w:fill="auto"/>
            <w:tcMar>
              <w:left w:w="28" w:type="dxa"/>
              <w:right w:w="28" w:type="dxa"/>
            </w:tcMar>
            <w:vAlign w:val="center"/>
          </w:tcPr>
          <w:p w:rsidR="0054537C" w:rsidRDefault="0054537C" w:rsidP="0054537C">
            <w:pPr>
              <w:spacing w:before="20" w:after="20"/>
              <w:ind w:right="541"/>
              <w:jc w:val="right"/>
              <w:rPr>
                <w:rFonts w:ascii="Arial Narrow" w:hAnsi="Arial Narrow"/>
                <w:color w:val="000000"/>
                <w:sz w:val="16"/>
                <w:szCs w:val="16"/>
              </w:rPr>
            </w:pPr>
            <w:r>
              <w:rPr>
                <w:rFonts w:ascii="Arial Narrow" w:hAnsi="Arial Narrow"/>
                <w:color w:val="000000"/>
                <w:sz w:val="16"/>
                <w:szCs w:val="16"/>
              </w:rPr>
              <w:t>710</w:t>
            </w:r>
          </w:p>
        </w:tc>
        <w:tc>
          <w:tcPr>
            <w:tcW w:w="1774" w:type="dxa"/>
            <w:tcBorders>
              <w:top w:val="nil"/>
              <w:bottom w:val="nil"/>
            </w:tcBorders>
            <w:shd w:val="clear" w:color="auto" w:fill="auto"/>
            <w:tcMar>
              <w:left w:w="28" w:type="dxa"/>
              <w:right w:w="28" w:type="dxa"/>
            </w:tcMar>
            <w:vAlign w:val="center"/>
          </w:tcPr>
          <w:p w:rsidR="0054537C" w:rsidRDefault="0054537C" w:rsidP="0054537C">
            <w:pPr>
              <w:spacing w:before="20" w:after="20"/>
              <w:ind w:right="541"/>
              <w:jc w:val="right"/>
              <w:rPr>
                <w:rFonts w:ascii="Arial Narrow" w:hAnsi="Arial Narrow"/>
                <w:color w:val="000000"/>
                <w:sz w:val="16"/>
                <w:szCs w:val="16"/>
              </w:rPr>
            </w:pPr>
            <w:r>
              <w:rPr>
                <w:rFonts w:ascii="Arial Narrow" w:hAnsi="Arial Narrow"/>
                <w:color w:val="000000"/>
                <w:sz w:val="16"/>
                <w:szCs w:val="16"/>
              </w:rPr>
              <w:t>5.882</w:t>
            </w:r>
          </w:p>
        </w:tc>
        <w:tc>
          <w:tcPr>
            <w:tcW w:w="1488" w:type="dxa"/>
            <w:tcBorders>
              <w:top w:val="nil"/>
              <w:bottom w:val="nil"/>
              <w:right w:val="single" w:sz="4" w:space="0" w:color="auto"/>
            </w:tcBorders>
            <w:shd w:val="clear" w:color="auto" w:fill="auto"/>
            <w:tcMar>
              <w:left w:w="28" w:type="dxa"/>
              <w:right w:w="28" w:type="dxa"/>
            </w:tcMar>
            <w:vAlign w:val="center"/>
          </w:tcPr>
          <w:p w:rsidR="0054537C" w:rsidRDefault="0054537C" w:rsidP="0054537C">
            <w:pPr>
              <w:spacing w:before="20" w:after="20"/>
              <w:ind w:right="541"/>
              <w:jc w:val="right"/>
              <w:rPr>
                <w:rFonts w:ascii="Arial Narrow" w:hAnsi="Arial Narrow"/>
                <w:color w:val="000000"/>
                <w:sz w:val="16"/>
                <w:szCs w:val="16"/>
              </w:rPr>
            </w:pPr>
            <w:r>
              <w:rPr>
                <w:rFonts w:ascii="Arial Narrow" w:hAnsi="Arial Narrow"/>
                <w:color w:val="000000"/>
                <w:sz w:val="16"/>
                <w:szCs w:val="16"/>
              </w:rPr>
              <w:t>6.592</w:t>
            </w:r>
          </w:p>
        </w:tc>
      </w:tr>
      <w:tr w:rsidR="0054537C" w:rsidRPr="00EC191C" w:rsidTr="0054537C">
        <w:tblPrEx>
          <w:tblLook w:val="01E0"/>
        </w:tblPrEx>
        <w:trPr>
          <w:jc w:val="center"/>
        </w:trPr>
        <w:tc>
          <w:tcPr>
            <w:tcW w:w="1332" w:type="dxa"/>
            <w:tcBorders>
              <w:top w:val="nil"/>
              <w:left w:val="single" w:sz="4" w:space="0" w:color="auto"/>
              <w:bottom w:val="nil"/>
            </w:tcBorders>
            <w:shd w:val="clear" w:color="auto" w:fill="D9D9D9" w:themeFill="background1" w:themeFillShade="D9"/>
            <w:tcMar>
              <w:left w:w="28" w:type="dxa"/>
              <w:right w:w="28" w:type="dxa"/>
            </w:tcMar>
            <w:vAlign w:val="center"/>
          </w:tcPr>
          <w:p w:rsidR="0054537C" w:rsidRPr="00EC191C" w:rsidRDefault="0054537C" w:rsidP="0054537C">
            <w:pPr>
              <w:tabs>
                <w:tab w:val="decimal" w:pos="755"/>
              </w:tabs>
              <w:spacing w:before="20" w:after="20"/>
              <w:jc w:val="both"/>
              <w:rPr>
                <w:rFonts w:ascii="Arial Narrow" w:hAnsi="Arial Narrow"/>
                <w:sz w:val="16"/>
                <w:szCs w:val="16"/>
              </w:rPr>
            </w:pPr>
            <w:r>
              <w:rPr>
                <w:rFonts w:ascii="Arial Narrow" w:hAnsi="Arial Narrow"/>
                <w:sz w:val="16"/>
                <w:szCs w:val="16"/>
              </w:rPr>
              <w:t>2015</w:t>
            </w:r>
          </w:p>
        </w:tc>
        <w:tc>
          <w:tcPr>
            <w:tcW w:w="1417" w:type="dxa"/>
            <w:tcBorders>
              <w:top w:val="nil"/>
              <w:bottom w:val="nil"/>
            </w:tcBorders>
            <w:shd w:val="clear" w:color="auto" w:fill="D9D9D9" w:themeFill="background1" w:themeFillShade="D9"/>
            <w:tcMar>
              <w:left w:w="28" w:type="dxa"/>
              <w:right w:w="28" w:type="dxa"/>
            </w:tcMar>
            <w:vAlign w:val="center"/>
          </w:tcPr>
          <w:p w:rsidR="0054537C" w:rsidRDefault="0054537C" w:rsidP="0054537C">
            <w:pPr>
              <w:spacing w:before="20" w:after="20"/>
              <w:ind w:right="541"/>
              <w:jc w:val="right"/>
              <w:rPr>
                <w:rFonts w:ascii="Arial Narrow" w:hAnsi="Arial Narrow"/>
                <w:color w:val="000000"/>
                <w:sz w:val="16"/>
                <w:szCs w:val="16"/>
              </w:rPr>
            </w:pPr>
            <w:r>
              <w:rPr>
                <w:rFonts w:ascii="Arial Narrow" w:hAnsi="Arial Narrow"/>
                <w:color w:val="000000"/>
                <w:sz w:val="16"/>
                <w:szCs w:val="16"/>
              </w:rPr>
              <w:t>681</w:t>
            </w:r>
          </w:p>
        </w:tc>
        <w:tc>
          <w:tcPr>
            <w:tcW w:w="1774" w:type="dxa"/>
            <w:tcBorders>
              <w:top w:val="nil"/>
              <w:bottom w:val="nil"/>
            </w:tcBorders>
            <w:shd w:val="clear" w:color="auto" w:fill="D9D9D9" w:themeFill="background1" w:themeFillShade="D9"/>
            <w:tcMar>
              <w:left w:w="28" w:type="dxa"/>
              <w:right w:w="28" w:type="dxa"/>
            </w:tcMar>
            <w:vAlign w:val="center"/>
          </w:tcPr>
          <w:p w:rsidR="0054537C" w:rsidRDefault="0054537C" w:rsidP="0054537C">
            <w:pPr>
              <w:spacing w:before="20" w:after="20"/>
              <w:ind w:right="541"/>
              <w:jc w:val="right"/>
              <w:rPr>
                <w:rFonts w:ascii="Arial Narrow" w:hAnsi="Arial Narrow"/>
                <w:color w:val="000000"/>
                <w:sz w:val="16"/>
                <w:szCs w:val="16"/>
              </w:rPr>
            </w:pPr>
            <w:r>
              <w:rPr>
                <w:rFonts w:ascii="Arial Narrow" w:hAnsi="Arial Narrow"/>
                <w:color w:val="000000"/>
                <w:sz w:val="16"/>
                <w:szCs w:val="16"/>
              </w:rPr>
              <w:t>5.725</w:t>
            </w:r>
          </w:p>
        </w:tc>
        <w:tc>
          <w:tcPr>
            <w:tcW w:w="1488" w:type="dxa"/>
            <w:tcBorders>
              <w:top w:val="nil"/>
              <w:bottom w:val="nil"/>
              <w:right w:val="single" w:sz="4" w:space="0" w:color="auto"/>
            </w:tcBorders>
            <w:shd w:val="clear" w:color="auto" w:fill="D9D9D9" w:themeFill="background1" w:themeFillShade="D9"/>
            <w:tcMar>
              <w:left w:w="28" w:type="dxa"/>
              <w:right w:w="28" w:type="dxa"/>
            </w:tcMar>
            <w:vAlign w:val="center"/>
          </w:tcPr>
          <w:p w:rsidR="0054537C" w:rsidRDefault="0054537C" w:rsidP="0054537C">
            <w:pPr>
              <w:spacing w:before="20" w:after="20"/>
              <w:ind w:right="541"/>
              <w:jc w:val="right"/>
              <w:rPr>
                <w:rFonts w:ascii="Arial Narrow" w:hAnsi="Arial Narrow"/>
                <w:color w:val="000000"/>
                <w:sz w:val="16"/>
                <w:szCs w:val="16"/>
              </w:rPr>
            </w:pPr>
            <w:r>
              <w:rPr>
                <w:rFonts w:ascii="Arial Narrow" w:hAnsi="Arial Narrow"/>
                <w:color w:val="000000"/>
                <w:sz w:val="16"/>
                <w:szCs w:val="16"/>
              </w:rPr>
              <w:t>6.406</w:t>
            </w:r>
          </w:p>
        </w:tc>
      </w:tr>
      <w:tr w:rsidR="0054537C" w:rsidRPr="00EC191C" w:rsidTr="0054537C">
        <w:tblPrEx>
          <w:tblLook w:val="01E0"/>
        </w:tblPrEx>
        <w:trPr>
          <w:jc w:val="center"/>
        </w:trPr>
        <w:tc>
          <w:tcPr>
            <w:tcW w:w="1332" w:type="dxa"/>
            <w:tcBorders>
              <w:top w:val="nil"/>
              <w:left w:val="single" w:sz="4" w:space="0" w:color="auto"/>
            </w:tcBorders>
            <w:shd w:val="clear" w:color="auto" w:fill="auto"/>
            <w:tcMar>
              <w:left w:w="28" w:type="dxa"/>
              <w:right w:w="28" w:type="dxa"/>
            </w:tcMar>
            <w:vAlign w:val="center"/>
          </w:tcPr>
          <w:p w:rsidR="0054537C" w:rsidRPr="00EC191C" w:rsidRDefault="0054537C" w:rsidP="0054537C">
            <w:pPr>
              <w:tabs>
                <w:tab w:val="decimal" w:pos="755"/>
              </w:tabs>
              <w:spacing w:before="20" w:after="20"/>
              <w:jc w:val="both"/>
              <w:rPr>
                <w:rFonts w:ascii="Arial Narrow" w:hAnsi="Arial Narrow"/>
                <w:sz w:val="16"/>
                <w:szCs w:val="16"/>
              </w:rPr>
            </w:pPr>
            <w:r>
              <w:rPr>
                <w:rFonts w:ascii="Arial Narrow" w:hAnsi="Arial Narrow"/>
                <w:sz w:val="16"/>
                <w:szCs w:val="16"/>
              </w:rPr>
              <w:t>2016</w:t>
            </w:r>
          </w:p>
        </w:tc>
        <w:tc>
          <w:tcPr>
            <w:tcW w:w="1417" w:type="dxa"/>
            <w:tcBorders>
              <w:top w:val="nil"/>
            </w:tcBorders>
            <w:shd w:val="clear" w:color="auto" w:fill="auto"/>
            <w:tcMar>
              <w:left w:w="28" w:type="dxa"/>
              <w:right w:w="28" w:type="dxa"/>
            </w:tcMar>
            <w:vAlign w:val="center"/>
          </w:tcPr>
          <w:p w:rsidR="0054537C" w:rsidRDefault="0054537C" w:rsidP="0054537C">
            <w:pPr>
              <w:spacing w:before="20" w:after="20"/>
              <w:ind w:right="541"/>
              <w:jc w:val="right"/>
              <w:rPr>
                <w:rFonts w:ascii="Arial Narrow" w:hAnsi="Arial Narrow"/>
                <w:color w:val="000000"/>
                <w:sz w:val="16"/>
                <w:szCs w:val="16"/>
              </w:rPr>
            </w:pPr>
            <w:r>
              <w:rPr>
                <w:rFonts w:ascii="Arial Narrow" w:hAnsi="Arial Narrow"/>
                <w:color w:val="000000"/>
                <w:sz w:val="16"/>
                <w:szCs w:val="16"/>
              </w:rPr>
              <w:t>833</w:t>
            </w:r>
          </w:p>
        </w:tc>
        <w:tc>
          <w:tcPr>
            <w:tcW w:w="1774" w:type="dxa"/>
            <w:tcBorders>
              <w:top w:val="nil"/>
            </w:tcBorders>
            <w:shd w:val="clear" w:color="auto" w:fill="auto"/>
            <w:tcMar>
              <w:left w:w="28" w:type="dxa"/>
              <w:right w:w="28" w:type="dxa"/>
            </w:tcMar>
            <w:vAlign w:val="center"/>
          </w:tcPr>
          <w:p w:rsidR="0054537C" w:rsidRDefault="0054537C" w:rsidP="0054537C">
            <w:pPr>
              <w:spacing w:before="20" w:after="20"/>
              <w:ind w:right="541"/>
              <w:jc w:val="right"/>
              <w:rPr>
                <w:rFonts w:ascii="Arial Narrow" w:hAnsi="Arial Narrow"/>
                <w:sz w:val="16"/>
                <w:szCs w:val="16"/>
              </w:rPr>
            </w:pPr>
            <w:r>
              <w:rPr>
                <w:rFonts w:ascii="Arial Narrow" w:hAnsi="Arial Narrow"/>
                <w:sz w:val="16"/>
                <w:szCs w:val="16"/>
              </w:rPr>
              <w:t>5.454</w:t>
            </w:r>
          </w:p>
        </w:tc>
        <w:tc>
          <w:tcPr>
            <w:tcW w:w="1488" w:type="dxa"/>
            <w:tcBorders>
              <w:top w:val="nil"/>
              <w:right w:val="single" w:sz="4" w:space="0" w:color="auto"/>
            </w:tcBorders>
            <w:shd w:val="clear" w:color="auto" w:fill="auto"/>
            <w:tcMar>
              <w:left w:w="28" w:type="dxa"/>
              <w:right w:w="28" w:type="dxa"/>
            </w:tcMar>
            <w:vAlign w:val="center"/>
          </w:tcPr>
          <w:p w:rsidR="0054537C" w:rsidRDefault="0054537C" w:rsidP="0054537C">
            <w:pPr>
              <w:spacing w:before="20" w:after="20"/>
              <w:ind w:right="541"/>
              <w:jc w:val="right"/>
              <w:rPr>
                <w:rFonts w:ascii="Arial Narrow" w:hAnsi="Arial Narrow"/>
                <w:sz w:val="16"/>
                <w:szCs w:val="16"/>
              </w:rPr>
            </w:pPr>
            <w:r>
              <w:rPr>
                <w:rFonts w:ascii="Arial Narrow" w:hAnsi="Arial Narrow"/>
                <w:sz w:val="16"/>
                <w:szCs w:val="16"/>
              </w:rPr>
              <w:t>6.28</w:t>
            </w:r>
            <w:r w:rsidR="002B02AA">
              <w:rPr>
                <w:rFonts w:ascii="Arial Narrow" w:hAnsi="Arial Narrow"/>
                <w:sz w:val="16"/>
                <w:szCs w:val="16"/>
              </w:rPr>
              <w:t>7</w:t>
            </w:r>
          </w:p>
        </w:tc>
      </w:tr>
      <w:tr w:rsidR="0054537C" w:rsidRPr="00EC191C" w:rsidTr="0054537C">
        <w:tblPrEx>
          <w:tblLook w:val="01E0"/>
        </w:tblPrEx>
        <w:trPr>
          <w:jc w:val="center"/>
        </w:trPr>
        <w:tc>
          <w:tcPr>
            <w:tcW w:w="1332" w:type="dxa"/>
            <w:tcBorders>
              <w:top w:val="nil"/>
              <w:left w:val="single" w:sz="4" w:space="0" w:color="auto"/>
            </w:tcBorders>
            <w:shd w:val="clear" w:color="auto" w:fill="D9D9D9" w:themeFill="background1" w:themeFillShade="D9"/>
            <w:tcMar>
              <w:left w:w="28" w:type="dxa"/>
              <w:right w:w="28" w:type="dxa"/>
            </w:tcMar>
            <w:vAlign w:val="center"/>
          </w:tcPr>
          <w:p w:rsidR="0054537C" w:rsidRPr="00EC191C" w:rsidRDefault="0054537C" w:rsidP="0054537C">
            <w:pPr>
              <w:tabs>
                <w:tab w:val="decimal" w:pos="755"/>
              </w:tabs>
              <w:spacing w:before="20" w:after="20"/>
              <w:jc w:val="both"/>
              <w:rPr>
                <w:rFonts w:ascii="Arial Narrow" w:hAnsi="Arial Narrow"/>
                <w:sz w:val="16"/>
                <w:szCs w:val="16"/>
              </w:rPr>
            </w:pPr>
            <w:r>
              <w:rPr>
                <w:rFonts w:ascii="Arial Narrow" w:hAnsi="Arial Narrow"/>
                <w:sz w:val="16"/>
                <w:szCs w:val="16"/>
              </w:rPr>
              <w:t>2017</w:t>
            </w:r>
          </w:p>
        </w:tc>
        <w:tc>
          <w:tcPr>
            <w:tcW w:w="1417" w:type="dxa"/>
            <w:tcBorders>
              <w:top w:val="nil"/>
            </w:tcBorders>
            <w:shd w:val="clear" w:color="auto" w:fill="D9D9D9" w:themeFill="background1" w:themeFillShade="D9"/>
            <w:tcMar>
              <w:left w:w="28" w:type="dxa"/>
              <w:right w:w="28" w:type="dxa"/>
            </w:tcMar>
            <w:vAlign w:val="center"/>
          </w:tcPr>
          <w:p w:rsidR="0054537C" w:rsidRDefault="0054537C" w:rsidP="0054537C">
            <w:pPr>
              <w:spacing w:before="20" w:after="20"/>
              <w:ind w:right="541"/>
              <w:jc w:val="right"/>
              <w:rPr>
                <w:rFonts w:ascii="Arial Narrow" w:hAnsi="Arial Narrow"/>
                <w:color w:val="000000"/>
                <w:sz w:val="16"/>
                <w:szCs w:val="16"/>
              </w:rPr>
            </w:pPr>
            <w:r>
              <w:rPr>
                <w:rFonts w:ascii="Arial Narrow" w:hAnsi="Arial Narrow"/>
                <w:color w:val="000000"/>
                <w:sz w:val="16"/>
                <w:szCs w:val="16"/>
              </w:rPr>
              <w:t>1.327</w:t>
            </w:r>
          </w:p>
        </w:tc>
        <w:tc>
          <w:tcPr>
            <w:tcW w:w="1774" w:type="dxa"/>
            <w:tcBorders>
              <w:top w:val="nil"/>
            </w:tcBorders>
            <w:shd w:val="clear" w:color="auto" w:fill="D9D9D9" w:themeFill="background1" w:themeFillShade="D9"/>
            <w:tcMar>
              <w:left w:w="28" w:type="dxa"/>
              <w:right w:w="28" w:type="dxa"/>
            </w:tcMar>
            <w:vAlign w:val="center"/>
          </w:tcPr>
          <w:p w:rsidR="0054537C" w:rsidRDefault="0054537C" w:rsidP="0054537C">
            <w:pPr>
              <w:spacing w:before="20" w:after="20"/>
              <w:ind w:right="541"/>
              <w:jc w:val="right"/>
              <w:rPr>
                <w:rFonts w:ascii="Arial Narrow" w:hAnsi="Arial Narrow"/>
                <w:color w:val="000000"/>
                <w:sz w:val="16"/>
                <w:szCs w:val="16"/>
              </w:rPr>
            </w:pPr>
            <w:r>
              <w:rPr>
                <w:rFonts w:ascii="Arial Narrow" w:hAnsi="Arial Narrow"/>
                <w:color w:val="000000"/>
                <w:sz w:val="16"/>
                <w:szCs w:val="16"/>
              </w:rPr>
              <w:t>4.623</w:t>
            </w:r>
          </w:p>
        </w:tc>
        <w:tc>
          <w:tcPr>
            <w:tcW w:w="1488" w:type="dxa"/>
            <w:tcBorders>
              <w:top w:val="nil"/>
              <w:right w:val="single" w:sz="4" w:space="0" w:color="auto"/>
            </w:tcBorders>
            <w:shd w:val="clear" w:color="auto" w:fill="D9D9D9" w:themeFill="background1" w:themeFillShade="D9"/>
            <w:tcMar>
              <w:left w:w="28" w:type="dxa"/>
              <w:right w:w="28" w:type="dxa"/>
            </w:tcMar>
            <w:vAlign w:val="center"/>
          </w:tcPr>
          <w:p w:rsidR="0054537C" w:rsidRDefault="0054537C" w:rsidP="0054537C">
            <w:pPr>
              <w:spacing w:before="20" w:after="20"/>
              <w:ind w:right="541"/>
              <w:jc w:val="right"/>
              <w:rPr>
                <w:rFonts w:ascii="Arial Narrow" w:hAnsi="Arial Narrow"/>
                <w:color w:val="000000"/>
                <w:sz w:val="16"/>
                <w:szCs w:val="16"/>
              </w:rPr>
            </w:pPr>
            <w:r>
              <w:rPr>
                <w:rFonts w:ascii="Arial Narrow" w:hAnsi="Arial Narrow"/>
                <w:color w:val="000000"/>
                <w:sz w:val="16"/>
                <w:szCs w:val="16"/>
              </w:rPr>
              <w:t>5.950</w:t>
            </w:r>
          </w:p>
        </w:tc>
      </w:tr>
      <w:tr w:rsidR="0054537C" w:rsidRPr="00EC191C" w:rsidTr="0054537C">
        <w:tblPrEx>
          <w:tblLook w:val="01E0"/>
        </w:tblPrEx>
        <w:trPr>
          <w:jc w:val="center"/>
        </w:trPr>
        <w:tc>
          <w:tcPr>
            <w:tcW w:w="1332" w:type="dxa"/>
            <w:tcBorders>
              <w:top w:val="nil"/>
              <w:left w:val="single" w:sz="4" w:space="0" w:color="auto"/>
            </w:tcBorders>
            <w:shd w:val="clear" w:color="auto" w:fill="auto"/>
            <w:tcMar>
              <w:left w:w="28" w:type="dxa"/>
              <w:right w:w="28" w:type="dxa"/>
            </w:tcMar>
            <w:vAlign w:val="center"/>
          </w:tcPr>
          <w:p w:rsidR="0054537C" w:rsidRPr="00EC191C" w:rsidRDefault="0054537C" w:rsidP="0054537C">
            <w:pPr>
              <w:tabs>
                <w:tab w:val="decimal" w:pos="755"/>
              </w:tabs>
              <w:spacing w:before="20" w:after="20"/>
              <w:jc w:val="both"/>
              <w:rPr>
                <w:rFonts w:ascii="Arial Narrow" w:hAnsi="Arial Narrow"/>
                <w:sz w:val="16"/>
                <w:szCs w:val="16"/>
              </w:rPr>
            </w:pPr>
            <w:r>
              <w:rPr>
                <w:rFonts w:ascii="Arial Narrow" w:hAnsi="Arial Narrow"/>
                <w:sz w:val="16"/>
                <w:szCs w:val="16"/>
              </w:rPr>
              <w:t>2018</w:t>
            </w:r>
          </w:p>
        </w:tc>
        <w:tc>
          <w:tcPr>
            <w:tcW w:w="1417" w:type="dxa"/>
            <w:tcBorders>
              <w:top w:val="nil"/>
            </w:tcBorders>
            <w:shd w:val="clear" w:color="auto" w:fill="auto"/>
            <w:tcMar>
              <w:left w:w="28" w:type="dxa"/>
              <w:right w:w="28" w:type="dxa"/>
            </w:tcMar>
            <w:vAlign w:val="center"/>
          </w:tcPr>
          <w:p w:rsidR="0054537C" w:rsidRDefault="0054537C" w:rsidP="0054537C">
            <w:pPr>
              <w:spacing w:before="20" w:after="20"/>
              <w:ind w:right="541"/>
              <w:jc w:val="right"/>
              <w:rPr>
                <w:rFonts w:ascii="Arial Narrow" w:hAnsi="Arial Narrow"/>
                <w:color w:val="000000"/>
                <w:sz w:val="16"/>
                <w:szCs w:val="16"/>
              </w:rPr>
            </w:pPr>
            <w:r>
              <w:rPr>
                <w:rFonts w:ascii="Arial Narrow" w:hAnsi="Arial Narrow"/>
                <w:color w:val="000000"/>
                <w:sz w:val="16"/>
                <w:szCs w:val="16"/>
              </w:rPr>
              <w:t>2.638</w:t>
            </w:r>
          </w:p>
        </w:tc>
        <w:tc>
          <w:tcPr>
            <w:tcW w:w="1774" w:type="dxa"/>
            <w:tcBorders>
              <w:top w:val="nil"/>
            </w:tcBorders>
            <w:shd w:val="clear" w:color="auto" w:fill="auto"/>
            <w:tcMar>
              <w:left w:w="28" w:type="dxa"/>
              <w:right w:w="28" w:type="dxa"/>
            </w:tcMar>
            <w:vAlign w:val="center"/>
          </w:tcPr>
          <w:p w:rsidR="0054537C" w:rsidRDefault="0054537C" w:rsidP="0054537C">
            <w:pPr>
              <w:spacing w:before="20" w:after="20"/>
              <w:ind w:right="541"/>
              <w:jc w:val="right"/>
              <w:rPr>
                <w:rFonts w:ascii="Arial Narrow" w:hAnsi="Arial Narrow"/>
                <w:sz w:val="16"/>
                <w:szCs w:val="16"/>
              </w:rPr>
            </w:pPr>
            <w:r>
              <w:rPr>
                <w:rFonts w:ascii="Arial Narrow" w:hAnsi="Arial Narrow"/>
                <w:sz w:val="16"/>
                <w:szCs w:val="16"/>
              </w:rPr>
              <w:t>3.599</w:t>
            </w:r>
          </w:p>
        </w:tc>
        <w:tc>
          <w:tcPr>
            <w:tcW w:w="1488" w:type="dxa"/>
            <w:tcBorders>
              <w:top w:val="nil"/>
              <w:right w:val="single" w:sz="4" w:space="0" w:color="auto"/>
            </w:tcBorders>
            <w:shd w:val="clear" w:color="auto" w:fill="auto"/>
            <w:tcMar>
              <w:left w:w="28" w:type="dxa"/>
              <w:right w:w="28" w:type="dxa"/>
            </w:tcMar>
            <w:vAlign w:val="center"/>
          </w:tcPr>
          <w:p w:rsidR="0054537C" w:rsidRDefault="0054537C" w:rsidP="0054537C">
            <w:pPr>
              <w:spacing w:before="20" w:after="20"/>
              <w:ind w:right="541"/>
              <w:jc w:val="right"/>
              <w:rPr>
                <w:rFonts w:ascii="Arial Narrow" w:hAnsi="Arial Narrow"/>
                <w:color w:val="000000"/>
                <w:sz w:val="16"/>
                <w:szCs w:val="16"/>
              </w:rPr>
            </w:pPr>
            <w:r>
              <w:rPr>
                <w:rFonts w:ascii="Arial Narrow" w:hAnsi="Arial Narrow"/>
                <w:color w:val="000000"/>
                <w:sz w:val="16"/>
                <w:szCs w:val="16"/>
              </w:rPr>
              <w:t>6.237</w:t>
            </w:r>
          </w:p>
        </w:tc>
      </w:tr>
      <w:tr w:rsidR="0054537C" w:rsidRPr="00EC191C" w:rsidTr="0054537C">
        <w:tblPrEx>
          <w:tblLook w:val="01E0"/>
        </w:tblPrEx>
        <w:trPr>
          <w:jc w:val="center"/>
        </w:trPr>
        <w:tc>
          <w:tcPr>
            <w:tcW w:w="1332" w:type="dxa"/>
            <w:tcBorders>
              <w:top w:val="nil"/>
              <w:left w:val="single" w:sz="4" w:space="0" w:color="auto"/>
              <w:bottom w:val="nil"/>
            </w:tcBorders>
            <w:shd w:val="clear" w:color="auto" w:fill="D9D9D9" w:themeFill="background1" w:themeFillShade="D9"/>
            <w:tcMar>
              <w:left w:w="28" w:type="dxa"/>
              <w:right w:w="28" w:type="dxa"/>
            </w:tcMar>
            <w:vAlign w:val="center"/>
          </w:tcPr>
          <w:p w:rsidR="0054537C" w:rsidRPr="00EC191C" w:rsidRDefault="0054537C" w:rsidP="0054537C">
            <w:pPr>
              <w:tabs>
                <w:tab w:val="decimal" w:pos="755"/>
              </w:tabs>
              <w:spacing w:before="20" w:after="20"/>
              <w:jc w:val="both"/>
              <w:rPr>
                <w:rFonts w:ascii="Arial Narrow" w:hAnsi="Arial Narrow"/>
                <w:sz w:val="16"/>
                <w:szCs w:val="16"/>
              </w:rPr>
            </w:pPr>
            <w:r>
              <w:rPr>
                <w:rFonts w:ascii="Arial Narrow" w:hAnsi="Arial Narrow"/>
                <w:sz w:val="16"/>
                <w:szCs w:val="16"/>
              </w:rPr>
              <w:t>2019</w:t>
            </w:r>
          </w:p>
        </w:tc>
        <w:tc>
          <w:tcPr>
            <w:tcW w:w="1417" w:type="dxa"/>
            <w:tcBorders>
              <w:top w:val="nil"/>
              <w:bottom w:val="nil"/>
            </w:tcBorders>
            <w:shd w:val="clear" w:color="auto" w:fill="D9D9D9" w:themeFill="background1" w:themeFillShade="D9"/>
            <w:tcMar>
              <w:left w:w="28" w:type="dxa"/>
              <w:right w:w="28" w:type="dxa"/>
            </w:tcMar>
            <w:vAlign w:val="center"/>
          </w:tcPr>
          <w:p w:rsidR="0054537C" w:rsidRDefault="00A65833" w:rsidP="0054537C">
            <w:pPr>
              <w:spacing w:before="20" w:after="20"/>
              <w:ind w:right="541"/>
              <w:jc w:val="right"/>
              <w:rPr>
                <w:rFonts w:ascii="Arial Narrow" w:hAnsi="Arial Narrow"/>
                <w:color w:val="000000"/>
                <w:sz w:val="16"/>
                <w:szCs w:val="16"/>
              </w:rPr>
            </w:pPr>
            <w:r>
              <w:rPr>
                <w:rFonts w:ascii="Arial Narrow" w:hAnsi="Arial Narrow"/>
                <w:color w:val="000000"/>
                <w:sz w:val="16"/>
                <w:szCs w:val="16"/>
              </w:rPr>
              <w:t>1.892</w:t>
            </w:r>
          </w:p>
        </w:tc>
        <w:tc>
          <w:tcPr>
            <w:tcW w:w="1774" w:type="dxa"/>
            <w:tcBorders>
              <w:top w:val="nil"/>
              <w:bottom w:val="nil"/>
            </w:tcBorders>
            <w:shd w:val="clear" w:color="auto" w:fill="D9D9D9" w:themeFill="background1" w:themeFillShade="D9"/>
            <w:tcMar>
              <w:left w:w="28" w:type="dxa"/>
              <w:right w:w="28" w:type="dxa"/>
            </w:tcMar>
            <w:vAlign w:val="center"/>
          </w:tcPr>
          <w:p w:rsidR="0054537C" w:rsidRDefault="00A65833" w:rsidP="0054537C">
            <w:pPr>
              <w:spacing w:before="20" w:after="20"/>
              <w:ind w:right="541"/>
              <w:jc w:val="right"/>
              <w:rPr>
                <w:rFonts w:ascii="Arial Narrow" w:hAnsi="Arial Narrow"/>
                <w:color w:val="000000"/>
                <w:sz w:val="16"/>
                <w:szCs w:val="16"/>
              </w:rPr>
            </w:pPr>
            <w:r>
              <w:rPr>
                <w:rFonts w:ascii="Arial Narrow" w:hAnsi="Arial Narrow"/>
                <w:color w:val="000000"/>
                <w:sz w:val="16"/>
                <w:szCs w:val="16"/>
              </w:rPr>
              <w:t>3.750</w:t>
            </w:r>
          </w:p>
        </w:tc>
        <w:tc>
          <w:tcPr>
            <w:tcW w:w="1488" w:type="dxa"/>
            <w:tcBorders>
              <w:top w:val="nil"/>
              <w:bottom w:val="nil"/>
              <w:right w:val="single" w:sz="4" w:space="0" w:color="auto"/>
            </w:tcBorders>
            <w:shd w:val="clear" w:color="auto" w:fill="D9D9D9" w:themeFill="background1" w:themeFillShade="D9"/>
            <w:tcMar>
              <w:left w:w="28" w:type="dxa"/>
              <w:right w:w="28" w:type="dxa"/>
            </w:tcMar>
            <w:vAlign w:val="center"/>
          </w:tcPr>
          <w:p w:rsidR="0054537C" w:rsidRDefault="002B02AA" w:rsidP="0054537C">
            <w:pPr>
              <w:spacing w:before="20" w:after="20"/>
              <w:ind w:right="541"/>
              <w:jc w:val="right"/>
              <w:rPr>
                <w:rFonts w:ascii="Arial Narrow" w:hAnsi="Arial Narrow"/>
                <w:color w:val="000000"/>
                <w:sz w:val="16"/>
                <w:szCs w:val="16"/>
              </w:rPr>
            </w:pPr>
            <w:r>
              <w:rPr>
                <w:rFonts w:ascii="Arial Narrow" w:hAnsi="Arial Narrow"/>
                <w:color w:val="000000"/>
                <w:sz w:val="16"/>
                <w:szCs w:val="16"/>
              </w:rPr>
              <w:t>5.642</w:t>
            </w:r>
          </w:p>
        </w:tc>
      </w:tr>
      <w:tr w:rsidR="0054537C" w:rsidRPr="00EC191C" w:rsidTr="0054537C">
        <w:tblPrEx>
          <w:tblLook w:val="01E0"/>
        </w:tblPrEx>
        <w:trPr>
          <w:jc w:val="center"/>
        </w:trPr>
        <w:tc>
          <w:tcPr>
            <w:tcW w:w="1332" w:type="dxa"/>
            <w:tcBorders>
              <w:top w:val="nil"/>
              <w:left w:val="single" w:sz="4" w:space="0" w:color="auto"/>
              <w:bottom w:val="nil"/>
            </w:tcBorders>
            <w:shd w:val="clear" w:color="auto" w:fill="auto"/>
            <w:tcMar>
              <w:left w:w="28" w:type="dxa"/>
              <w:right w:w="28" w:type="dxa"/>
            </w:tcMar>
            <w:vAlign w:val="center"/>
          </w:tcPr>
          <w:p w:rsidR="0054537C" w:rsidRDefault="0054537C" w:rsidP="0054537C">
            <w:pPr>
              <w:tabs>
                <w:tab w:val="decimal" w:pos="755"/>
              </w:tabs>
              <w:spacing w:before="20" w:after="20"/>
              <w:jc w:val="both"/>
              <w:rPr>
                <w:rFonts w:ascii="Arial Narrow" w:hAnsi="Arial Narrow"/>
                <w:sz w:val="16"/>
                <w:szCs w:val="16"/>
              </w:rPr>
            </w:pPr>
            <w:r w:rsidRPr="0053150F">
              <w:rPr>
                <w:rFonts w:ascii="Arial Narrow" w:hAnsi="Arial Narrow"/>
                <w:sz w:val="16"/>
                <w:szCs w:val="16"/>
              </w:rPr>
              <w:t>2020*</w:t>
            </w:r>
          </w:p>
        </w:tc>
        <w:tc>
          <w:tcPr>
            <w:tcW w:w="1417" w:type="dxa"/>
            <w:tcBorders>
              <w:top w:val="nil"/>
              <w:bottom w:val="nil"/>
            </w:tcBorders>
            <w:shd w:val="clear" w:color="auto" w:fill="auto"/>
            <w:tcMar>
              <w:left w:w="28" w:type="dxa"/>
              <w:right w:w="28" w:type="dxa"/>
            </w:tcMar>
            <w:vAlign w:val="center"/>
          </w:tcPr>
          <w:p w:rsidR="0054537C" w:rsidRDefault="00A65833" w:rsidP="0054537C">
            <w:pPr>
              <w:spacing w:before="20" w:after="20"/>
              <w:ind w:right="541"/>
              <w:jc w:val="right"/>
              <w:rPr>
                <w:rFonts w:ascii="Arial Narrow" w:hAnsi="Arial Narrow"/>
                <w:color w:val="000000"/>
                <w:sz w:val="16"/>
                <w:szCs w:val="16"/>
              </w:rPr>
            </w:pPr>
            <w:r>
              <w:rPr>
                <w:rFonts w:ascii="Arial Narrow" w:hAnsi="Arial Narrow"/>
                <w:color w:val="000000"/>
                <w:sz w:val="16"/>
                <w:szCs w:val="16"/>
              </w:rPr>
              <w:t>2.021</w:t>
            </w:r>
          </w:p>
        </w:tc>
        <w:tc>
          <w:tcPr>
            <w:tcW w:w="1774" w:type="dxa"/>
            <w:tcBorders>
              <w:top w:val="nil"/>
              <w:bottom w:val="nil"/>
            </w:tcBorders>
            <w:shd w:val="clear" w:color="auto" w:fill="auto"/>
            <w:tcMar>
              <w:left w:w="28" w:type="dxa"/>
              <w:right w:w="28" w:type="dxa"/>
            </w:tcMar>
            <w:vAlign w:val="center"/>
          </w:tcPr>
          <w:p w:rsidR="0054537C" w:rsidRDefault="00A65833" w:rsidP="0054537C">
            <w:pPr>
              <w:spacing w:before="20" w:after="20"/>
              <w:ind w:right="541"/>
              <w:jc w:val="right"/>
              <w:rPr>
                <w:rFonts w:ascii="Arial Narrow" w:hAnsi="Arial Narrow"/>
                <w:color w:val="000000"/>
                <w:sz w:val="16"/>
                <w:szCs w:val="16"/>
              </w:rPr>
            </w:pPr>
            <w:r>
              <w:rPr>
                <w:rFonts w:ascii="Arial Narrow" w:hAnsi="Arial Narrow"/>
                <w:color w:val="000000"/>
                <w:sz w:val="16"/>
                <w:szCs w:val="16"/>
              </w:rPr>
              <w:t>8.400</w:t>
            </w:r>
          </w:p>
        </w:tc>
        <w:tc>
          <w:tcPr>
            <w:tcW w:w="1488" w:type="dxa"/>
            <w:tcBorders>
              <w:top w:val="nil"/>
              <w:bottom w:val="nil"/>
              <w:right w:val="single" w:sz="4" w:space="0" w:color="auto"/>
            </w:tcBorders>
            <w:shd w:val="clear" w:color="auto" w:fill="auto"/>
            <w:tcMar>
              <w:left w:w="28" w:type="dxa"/>
              <w:right w:w="28" w:type="dxa"/>
            </w:tcMar>
            <w:vAlign w:val="center"/>
          </w:tcPr>
          <w:p w:rsidR="0054537C" w:rsidRDefault="002B02AA" w:rsidP="0054537C">
            <w:pPr>
              <w:spacing w:before="20" w:after="20"/>
              <w:ind w:right="541"/>
              <w:jc w:val="right"/>
              <w:rPr>
                <w:rFonts w:ascii="Arial Narrow" w:hAnsi="Arial Narrow"/>
                <w:color w:val="000000"/>
                <w:sz w:val="16"/>
                <w:szCs w:val="16"/>
              </w:rPr>
            </w:pPr>
            <w:r>
              <w:rPr>
                <w:rFonts w:ascii="Arial Narrow" w:hAnsi="Arial Narrow"/>
                <w:color w:val="000000"/>
                <w:sz w:val="16"/>
                <w:szCs w:val="16"/>
              </w:rPr>
              <w:t>10.421</w:t>
            </w:r>
          </w:p>
        </w:tc>
      </w:tr>
      <w:tr w:rsidR="0054537C" w:rsidRPr="00EC191C" w:rsidTr="0054537C">
        <w:tblPrEx>
          <w:tblLook w:val="01E0"/>
        </w:tblPrEx>
        <w:trPr>
          <w:jc w:val="center"/>
        </w:trPr>
        <w:tc>
          <w:tcPr>
            <w:tcW w:w="1332" w:type="dxa"/>
            <w:tcBorders>
              <w:top w:val="nil"/>
              <w:left w:val="single" w:sz="4" w:space="0" w:color="auto"/>
              <w:bottom w:val="nil"/>
            </w:tcBorders>
            <w:shd w:val="clear" w:color="auto" w:fill="D9D9D9" w:themeFill="background1" w:themeFillShade="D9"/>
            <w:tcMar>
              <w:left w:w="28" w:type="dxa"/>
              <w:right w:w="28" w:type="dxa"/>
            </w:tcMar>
            <w:vAlign w:val="center"/>
          </w:tcPr>
          <w:p w:rsidR="0054537C" w:rsidRPr="00EC191C" w:rsidRDefault="0054537C" w:rsidP="0054537C">
            <w:pPr>
              <w:tabs>
                <w:tab w:val="decimal" w:pos="755"/>
              </w:tabs>
              <w:spacing w:before="20" w:after="20"/>
              <w:jc w:val="both"/>
              <w:rPr>
                <w:rFonts w:ascii="Arial Narrow" w:hAnsi="Arial Narrow"/>
                <w:sz w:val="16"/>
                <w:szCs w:val="16"/>
              </w:rPr>
            </w:pPr>
            <w:r>
              <w:rPr>
                <w:rFonts w:ascii="Arial Narrow" w:hAnsi="Arial Narrow"/>
                <w:sz w:val="16"/>
                <w:szCs w:val="16"/>
              </w:rPr>
              <w:t>2021*</w:t>
            </w:r>
          </w:p>
        </w:tc>
        <w:tc>
          <w:tcPr>
            <w:tcW w:w="1417" w:type="dxa"/>
            <w:tcBorders>
              <w:top w:val="nil"/>
              <w:bottom w:val="nil"/>
            </w:tcBorders>
            <w:shd w:val="clear" w:color="auto" w:fill="D9D9D9" w:themeFill="background1" w:themeFillShade="D9"/>
            <w:tcMar>
              <w:left w:w="28" w:type="dxa"/>
              <w:right w:w="28" w:type="dxa"/>
            </w:tcMar>
            <w:vAlign w:val="center"/>
          </w:tcPr>
          <w:p w:rsidR="0054537C" w:rsidRDefault="00A65833" w:rsidP="0054537C">
            <w:pPr>
              <w:spacing w:before="20" w:after="20"/>
              <w:ind w:right="541"/>
              <w:jc w:val="right"/>
              <w:rPr>
                <w:rFonts w:ascii="Arial Narrow" w:hAnsi="Arial Narrow"/>
                <w:color w:val="000000"/>
                <w:sz w:val="16"/>
                <w:szCs w:val="16"/>
              </w:rPr>
            </w:pPr>
            <w:r>
              <w:rPr>
                <w:rFonts w:ascii="Arial Narrow" w:hAnsi="Arial Narrow"/>
                <w:color w:val="000000"/>
                <w:sz w:val="16"/>
                <w:szCs w:val="16"/>
              </w:rPr>
              <w:t>750</w:t>
            </w:r>
          </w:p>
        </w:tc>
        <w:tc>
          <w:tcPr>
            <w:tcW w:w="1774" w:type="dxa"/>
            <w:tcBorders>
              <w:top w:val="nil"/>
              <w:bottom w:val="nil"/>
            </w:tcBorders>
            <w:shd w:val="clear" w:color="auto" w:fill="D9D9D9" w:themeFill="background1" w:themeFillShade="D9"/>
            <w:tcMar>
              <w:left w:w="28" w:type="dxa"/>
              <w:right w:w="28" w:type="dxa"/>
            </w:tcMar>
            <w:vAlign w:val="center"/>
          </w:tcPr>
          <w:p w:rsidR="0054537C" w:rsidRDefault="00A65833" w:rsidP="0054537C">
            <w:pPr>
              <w:spacing w:before="20" w:after="20"/>
              <w:ind w:right="541"/>
              <w:jc w:val="right"/>
              <w:rPr>
                <w:rFonts w:ascii="Arial Narrow" w:hAnsi="Arial Narrow"/>
                <w:color w:val="000000"/>
                <w:sz w:val="16"/>
                <w:szCs w:val="16"/>
              </w:rPr>
            </w:pPr>
            <w:r>
              <w:rPr>
                <w:rFonts w:ascii="Arial Narrow" w:hAnsi="Arial Narrow"/>
                <w:color w:val="000000"/>
                <w:sz w:val="16"/>
                <w:szCs w:val="16"/>
              </w:rPr>
              <w:t>6.000</w:t>
            </w:r>
          </w:p>
        </w:tc>
        <w:tc>
          <w:tcPr>
            <w:tcW w:w="1488" w:type="dxa"/>
            <w:tcBorders>
              <w:top w:val="nil"/>
              <w:bottom w:val="nil"/>
              <w:right w:val="single" w:sz="4" w:space="0" w:color="auto"/>
            </w:tcBorders>
            <w:shd w:val="clear" w:color="auto" w:fill="D9D9D9" w:themeFill="background1" w:themeFillShade="D9"/>
            <w:tcMar>
              <w:left w:w="28" w:type="dxa"/>
              <w:right w:w="28" w:type="dxa"/>
            </w:tcMar>
            <w:vAlign w:val="center"/>
          </w:tcPr>
          <w:p w:rsidR="0054537C" w:rsidRDefault="002B02AA" w:rsidP="0054537C">
            <w:pPr>
              <w:spacing w:before="20" w:after="20"/>
              <w:ind w:right="541"/>
              <w:jc w:val="right"/>
              <w:rPr>
                <w:rFonts w:ascii="Arial Narrow" w:hAnsi="Arial Narrow"/>
                <w:color w:val="000000"/>
                <w:sz w:val="16"/>
                <w:szCs w:val="16"/>
              </w:rPr>
            </w:pPr>
            <w:r>
              <w:rPr>
                <w:rFonts w:ascii="Arial Narrow" w:hAnsi="Arial Narrow"/>
                <w:color w:val="000000"/>
                <w:sz w:val="16"/>
                <w:szCs w:val="16"/>
              </w:rPr>
              <w:t>6.750</w:t>
            </w:r>
          </w:p>
        </w:tc>
      </w:tr>
      <w:tr w:rsidR="0054537C" w:rsidRPr="00EC191C" w:rsidTr="0054537C">
        <w:tblPrEx>
          <w:tblLook w:val="01E0"/>
        </w:tblPrEx>
        <w:trPr>
          <w:jc w:val="center"/>
        </w:trPr>
        <w:tc>
          <w:tcPr>
            <w:tcW w:w="1332" w:type="dxa"/>
            <w:tcBorders>
              <w:top w:val="nil"/>
              <w:left w:val="single" w:sz="4" w:space="0" w:color="auto"/>
              <w:bottom w:val="single" w:sz="4" w:space="0" w:color="auto"/>
            </w:tcBorders>
            <w:shd w:val="clear" w:color="auto" w:fill="auto"/>
            <w:tcMar>
              <w:left w:w="28" w:type="dxa"/>
              <w:right w:w="28" w:type="dxa"/>
            </w:tcMar>
            <w:vAlign w:val="center"/>
          </w:tcPr>
          <w:p w:rsidR="0054537C" w:rsidRPr="0053150F" w:rsidRDefault="0054537C" w:rsidP="0054537C">
            <w:pPr>
              <w:tabs>
                <w:tab w:val="decimal" w:pos="755"/>
              </w:tabs>
              <w:spacing w:before="20" w:after="20"/>
              <w:jc w:val="both"/>
              <w:rPr>
                <w:rFonts w:ascii="Arial Narrow" w:hAnsi="Arial Narrow"/>
                <w:sz w:val="16"/>
                <w:szCs w:val="16"/>
              </w:rPr>
            </w:pPr>
          </w:p>
        </w:tc>
        <w:tc>
          <w:tcPr>
            <w:tcW w:w="1417" w:type="dxa"/>
            <w:tcBorders>
              <w:top w:val="nil"/>
              <w:bottom w:val="single" w:sz="4" w:space="0" w:color="auto"/>
            </w:tcBorders>
            <w:shd w:val="clear" w:color="auto" w:fill="auto"/>
            <w:tcMar>
              <w:left w:w="28" w:type="dxa"/>
              <w:right w:w="28" w:type="dxa"/>
            </w:tcMar>
            <w:vAlign w:val="center"/>
          </w:tcPr>
          <w:p w:rsidR="0054537C" w:rsidRDefault="0054537C" w:rsidP="0054537C">
            <w:pPr>
              <w:spacing w:before="20" w:after="20"/>
              <w:ind w:right="541"/>
              <w:jc w:val="right"/>
              <w:rPr>
                <w:rFonts w:ascii="Arial Narrow" w:hAnsi="Arial Narrow"/>
                <w:color w:val="000000"/>
                <w:sz w:val="16"/>
                <w:szCs w:val="16"/>
              </w:rPr>
            </w:pPr>
          </w:p>
        </w:tc>
        <w:tc>
          <w:tcPr>
            <w:tcW w:w="1774" w:type="dxa"/>
            <w:tcBorders>
              <w:top w:val="nil"/>
              <w:bottom w:val="single" w:sz="4" w:space="0" w:color="auto"/>
            </w:tcBorders>
            <w:shd w:val="clear" w:color="auto" w:fill="auto"/>
            <w:tcMar>
              <w:left w:w="28" w:type="dxa"/>
              <w:right w:w="28" w:type="dxa"/>
            </w:tcMar>
            <w:vAlign w:val="center"/>
          </w:tcPr>
          <w:p w:rsidR="0054537C" w:rsidRDefault="0054537C" w:rsidP="0054537C">
            <w:pPr>
              <w:spacing w:before="20" w:after="20"/>
              <w:ind w:right="541"/>
              <w:jc w:val="right"/>
              <w:rPr>
                <w:rFonts w:ascii="Arial Narrow" w:hAnsi="Arial Narrow"/>
                <w:color w:val="000000"/>
                <w:sz w:val="16"/>
                <w:szCs w:val="16"/>
              </w:rPr>
            </w:pPr>
          </w:p>
        </w:tc>
        <w:tc>
          <w:tcPr>
            <w:tcW w:w="1488" w:type="dxa"/>
            <w:tcBorders>
              <w:top w:val="nil"/>
              <w:bottom w:val="single" w:sz="4" w:space="0" w:color="auto"/>
              <w:right w:val="single" w:sz="4" w:space="0" w:color="auto"/>
            </w:tcBorders>
            <w:shd w:val="clear" w:color="auto" w:fill="auto"/>
            <w:tcMar>
              <w:left w:w="28" w:type="dxa"/>
              <w:right w:w="28" w:type="dxa"/>
            </w:tcMar>
            <w:vAlign w:val="center"/>
          </w:tcPr>
          <w:p w:rsidR="0054537C" w:rsidRDefault="0054537C" w:rsidP="0054537C">
            <w:pPr>
              <w:spacing w:before="20" w:after="20"/>
              <w:ind w:right="541"/>
              <w:jc w:val="right"/>
              <w:rPr>
                <w:rFonts w:ascii="Arial Narrow" w:hAnsi="Arial Narrow"/>
                <w:color w:val="000000"/>
                <w:sz w:val="16"/>
                <w:szCs w:val="16"/>
              </w:rPr>
            </w:pPr>
          </w:p>
        </w:tc>
      </w:tr>
    </w:tbl>
    <w:p w:rsidR="0054537C" w:rsidRPr="00EC191C" w:rsidRDefault="00635C0D" w:rsidP="0054537C">
      <w:pPr>
        <w:tabs>
          <w:tab w:val="left" w:pos="1843"/>
        </w:tabs>
        <w:spacing w:before="100" w:beforeAutospacing="1" w:after="100" w:afterAutospacing="1"/>
        <w:ind w:firstLine="1560"/>
        <w:contextualSpacing/>
        <w:jc w:val="both"/>
        <w:rPr>
          <w:rFonts w:ascii="Arial Narrow" w:hAnsi="Arial Narrow"/>
          <w:sz w:val="16"/>
          <w:szCs w:val="16"/>
        </w:rPr>
      </w:pPr>
      <w:r>
        <w:rPr>
          <w:rFonts w:ascii="Arial Narrow" w:hAnsi="Arial Narrow"/>
          <w:sz w:val="16"/>
          <w:szCs w:val="16"/>
        </w:rPr>
        <w:t>*</w:t>
      </w:r>
      <w:r>
        <w:rPr>
          <w:rFonts w:ascii="Arial Narrow" w:hAnsi="Arial Narrow"/>
          <w:sz w:val="16"/>
          <w:szCs w:val="16"/>
        </w:rPr>
        <w:tab/>
        <w:t>Τα ποσά των ετών 2020 και 2021</w:t>
      </w:r>
      <w:r w:rsidR="0054537C">
        <w:rPr>
          <w:rFonts w:ascii="Arial Narrow" w:hAnsi="Arial Narrow"/>
          <w:sz w:val="16"/>
          <w:szCs w:val="16"/>
        </w:rPr>
        <w:t xml:space="preserve"> αποτελούν εκτιμήσεις και προβλέψεις αντίστοιχα.</w:t>
      </w:r>
    </w:p>
    <w:p w:rsidR="0054537C" w:rsidRDefault="0054537C" w:rsidP="0054537C">
      <w:pPr>
        <w:spacing w:before="100" w:beforeAutospacing="1" w:after="100" w:afterAutospacing="1"/>
        <w:ind w:firstLine="1560"/>
        <w:contextualSpacing/>
        <w:jc w:val="both"/>
        <w:rPr>
          <w:rFonts w:ascii="Arial Narrow" w:hAnsi="Arial Narrow"/>
          <w:sz w:val="16"/>
          <w:szCs w:val="16"/>
        </w:rPr>
      </w:pPr>
      <w:r>
        <w:rPr>
          <w:rFonts w:ascii="Arial Narrow" w:hAnsi="Arial Narrow"/>
          <w:sz w:val="16"/>
          <w:szCs w:val="16"/>
        </w:rPr>
        <w:t xml:space="preserve">Πηγή: </w:t>
      </w:r>
      <w:r w:rsidR="00635C0D">
        <w:rPr>
          <w:rFonts w:ascii="Arial Narrow" w:hAnsi="Arial Narrow"/>
          <w:sz w:val="16"/>
          <w:szCs w:val="16"/>
        </w:rPr>
        <w:t>Υπουργείο Ανάπτυξης και Επενδύσεων (</w:t>
      </w:r>
      <w:r>
        <w:rPr>
          <w:rFonts w:ascii="Arial Narrow" w:hAnsi="Arial Narrow"/>
          <w:sz w:val="16"/>
          <w:szCs w:val="16"/>
        </w:rPr>
        <w:t>Διεύθυνση Δημοσίων Επενδύσεων</w:t>
      </w:r>
      <w:r w:rsidR="00635C0D">
        <w:rPr>
          <w:rFonts w:ascii="Arial Narrow" w:hAnsi="Arial Narrow"/>
          <w:sz w:val="16"/>
          <w:szCs w:val="16"/>
        </w:rPr>
        <w:t>).</w:t>
      </w:r>
    </w:p>
    <w:p w:rsidR="00D65C89" w:rsidRDefault="00D65C89" w:rsidP="0054537C">
      <w:pPr>
        <w:spacing w:before="100" w:beforeAutospacing="1" w:after="100" w:afterAutospacing="1"/>
        <w:ind w:firstLine="1560"/>
        <w:contextualSpacing/>
        <w:jc w:val="both"/>
        <w:rPr>
          <w:rFonts w:ascii="Arial Narrow" w:hAnsi="Arial Narrow"/>
          <w:sz w:val="16"/>
          <w:szCs w:val="16"/>
        </w:rPr>
      </w:pPr>
      <w:r>
        <w:rPr>
          <w:rFonts w:ascii="Arial Narrow" w:hAnsi="Arial Narrow"/>
          <w:sz w:val="16"/>
          <w:szCs w:val="16"/>
        </w:rPr>
        <w:t>Παρατήρηση: Στις προβλέψεις του 2021 δεν περιλαμβάνεται το ποσό των 2.635 εκατ. ευρώ που αφορά</w:t>
      </w:r>
    </w:p>
    <w:p w:rsidR="00D65C89" w:rsidRDefault="00D65C89" w:rsidP="0054537C">
      <w:pPr>
        <w:spacing w:before="100" w:beforeAutospacing="1" w:after="100" w:afterAutospacing="1"/>
        <w:ind w:firstLine="1560"/>
        <w:contextualSpacing/>
        <w:jc w:val="both"/>
        <w:rPr>
          <w:rFonts w:ascii="Arial Narrow" w:hAnsi="Arial Narrow"/>
          <w:sz w:val="16"/>
          <w:szCs w:val="16"/>
        </w:rPr>
      </w:pPr>
      <w:r>
        <w:rPr>
          <w:rFonts w:ascii="Arial Narrow" w:hAnsi="Arial Narrow"/>
          <w:sz w:val="16"/>
          <w:szCs w:val="16"/>
        </w:rPr>
        <w:t>δαπάνες χρηματοδοτούμενες από το Ταμείο Ανάκαμψης και Σταθερότητας.</w:t>
      </w:r>
      <w:r>
        <w:rPr>
          <w:rFonts w:ascii="Arial Narrow" w:hAnsi="Arial Narrow"/>
          <w:sz w:val="16"/>
          <w:szCs w:val="16"/>
        </w:rPr>
        <w:tab/>
      </w:r>
    </w:p>
    <w:p w:rsidR="0054537C" w:rsidRDefault="0054537C" w:rsidP="0054537C">
      <w:pPr>
        <w:tabs>
          <w:tab w:val="left" w:pos="180"/>
        </w:tabs>
        <w:spacing w:line="235" w:lineRule="auto"/>
        <w:jc w:val="both"/>
        <w:rPr>
          <w:sz w:val="22"/>
          <w:szCs w:val="22"/>
        </w:rPr>
      </w:pPr>
    </w:p>
    <w:p w:rsidR="00D127FE" w:rsidRDefault="00D127FE" w:rsidP="00DD06FE">
      <w:pPr>
        <w:jc w:val="both"/>
        <w:rPr>
          <w:sz w:val="22"/>
          <w:szCs w:val="22"/>
        </w:rPr>
      </w:pPr>
    </w:p>
    <w:p w:rsidR="00DD06FE" w:rsidRPr="00B536A3" w:rsidRDefault="00DD06FE" w:rsidP="00DD06FE">
      <w:pPr>
        <w:jc w:val="both"/>
        <w:rPr>
          <w:sz w:val="22"/>
          <w:szCs w:val="22"/>
        </w:rPr>
      </w:pPr>
      <w:r w:rsidRPr="00B536A3">
        <w:rPr>
          <w:sz w:val="22"/>
          <w:szCs w:val="22"/>
        </w:rPr>
        <w:t>Η εκτίμηση για τη συνολικά θετική συμβολή του ΠΔΕ στην οικονομία της χώρας παραμένει και εν</w:t>
      </w:r>
      <w:r w:rsidRPr="00B536A3">
        <w:rPr>
          <w:sz w:val="22"/>
          <w:szCs w:val="22"/>
        </w:rPr>
        <w:t>ι</w:t>
      </w:r>
      <w:r w:rsidRPr="00B536A3">
        <w:rPr>
          <w:sz w:val="22"/>
          <w:szCs w:val="22"/>
        </w:rPr>
        <w:t>σχύεται. Από το 2013 και μετά, οι ακαθάριστες επενδύσεις παγίου κεφαλαίου της Γενικής Κυβέρν</w:t>
      </w:r>
      <w:r w:rsidRPr="00B536A3">
        <w:rPr>
          <w:sz w:val="22"/>
          <w:szCs w:val="22"/>
        </w:rPr>
        <w:t>η</w:t>
      </w:r>
      <w:r w:rsidRPr="00B536A3">
        <w:rPr>
          <w:sz w:val="22"/>
          <w:szCs w:val="22"/>
        </w:rPr>
        <w:t>σης στην Ελλάδα κυμαίνονται σε ποσοστά πάνω από το 3,5% του ΑΕΠ (με εξαίρεση τα έτη 2018 και 2019), το οποίο υπερτερεί συγκρινόμενο με το αντίστοιχο μέγεθος των υπόλοιπων χωρών της Ευρ</w:t>
      </w:r>
      <w:r w:rsidRPr="00B536A3">
        <w:rPr>
          <w:sz w:val="22"/>
          <w:szCs w:val="22"/>
        </w:rPr>
        <w:t>ω</w:t>
      </w:r>
      <w:r w:rsidRPr="00B536A3">
        <w:rPr>
          <w:sz w:val="22"/>
          <w:szCs w:val="22"/>
        </w:rPr>
        <w:t>ζώνης. Το 2020 εκτιμάται ότι το ποσοστό του σχηματισμού ακαθάριστου παγίου κεφαλαίου της Γεν</w:t>
      </w:r>
      <w:r w:rsidRPr="00B536A3">
        <w:rPr>
          <w:sz w:val="22"/>
          <w:szCs w:val="22"/>
        </w:rPr>
        <w:t>ι</w:t>
      </w:r>
      <w:r w:rsidRPr="00B536A3">
        <w:rPr>
          <w:sz w:val="22"/>
          <w:szCs w:val="22"/>
        </w:rPr>
        <w:t xml:space="preserve">κής Κυβέρνησης της χώρας θα ανέλθει στο 3,6% του ΑΕΠ έναντι 3,1% του μέσου όρου των κρατών μελών της Ευρωζώνης. </w:t>
      </w:r>
      <w:r w:rsidR="00296593">
        <w:rPr>
          <w:sz w:val="22"/>
          <w:szCs w:val="22"/>
        </w:rPr>
        <w:t xml:space="preserve">Το 2021 και με δεδομένο ότι, πέραν των συνήθων επενδυτικών δαπανών </w:t>
      </w:r>
      <w:r w:rsidR="00296593">
        <w:rPr>
          <w:sz w:val="22"/>
          <w:szCs w:val="22"/>
        </w:rPr>
        <w:t>ε</w:t>
      </w:r>
      <w:r w:rsidR="00296593">
        <w:rPr>
          <w:sz w:val="22"/>
          <w:szCs w:val="22"/>
        </w:rPr>
        <w:lastRenderedPageBreak/>
        <w:t>ντάσσεται στο επενδυτικό σκέλος του προϋπολογισμού και το σύνολο του Ταμείου Ανάκαμψης και Σταθερότητας, το εν λόγω ποσοστό για τη χώρα προβλέπεται ότι θα διαμορφωθεί στο 6,6% περίπου, ωστόσο είναι πρόωρη η σύγκριση με τον μέσο όρο των κρατών-μελών της Ευρωζώνης την παρούσα χρονική στιγμή.</w:t>
      </w:r>
    </w:p>
    <w:p w:rsidR="007232A9" w:rsidRDefault="007232A9">
      <w:pPr>
        <w:rPr>
          <w:sz w:val="22"/>
        </w:rPr>
      </w:pPr>
    </w:p>
    <w:p w:rsidR="00112CDE" w:rsidRDefault="00112CDE">
      <w:pPr>
        <w:rPr>
          <w:sz w:val="22"/>
        </w:rPr>
      </w:pPr>
    </w:p>
    <w:p w:rsidR="00D127FE" w:rsidRDefault="00D127FE">
      <w:pPr>
        <w:rPr>
          <w:sz w:val="22"/>
        </w:rPr>
      </w:pPr>
    </w:p>
    <w:p w:rsidR="007232A9" w:rsidRDefault="007232A9">
      <w:pPr>
        <w:rPr>
          <w:sz w:val="22"/>
        </w:rPr>
      </w:pPr>
    </w:p>
    <w:tbl>
      <w:tblPr>
        <w:tblW w:w="0" w:type="auto"/>
        <w:jc w:val="center"/>
        <w:tblLook w:val="00A0"/>
      </w:tblPr>
      <w:tblGrid>
        <w:gridCol w:w="1733"/>
        <w:gridCol w:w="1842"/>
        <w:gridCol w:w="2439"/>
      </w:tblGrid>
      <w:tr w:rsidR="00981389" w:rsidRPr="00F54EA6" w:rsidTr="00C9462A">
        <w:trPr>
          <w:jc w:val="center"/>
        </w:trPr>
        <w:tc>
          <w:tcPr>
            <w:tcW w:w="6014" w:type="dxa"/>
            <w:gridSpan w:val="3"/>
            <w:tcBorders>
              <w:top w:val="single" w:sz="4" w:space="0" w:color="auto"/>
              <w:left w:val="single" w:sz="4" w:space="0" w:color="auto"/>
              <w:right w:val="single" w:sz="4" w:space="0" w:color="auto"/>
            </w:tcBorders>
            <w:shd w:val="clear" w:color="auto" w:fill="404040" w:themeFill="text1" w:themeFillTint="BF"/>
            <w:tcMar>
              <w:left w:w="28" w:type="dxa"/>
              <w:right w:w="28" w:type="dxa"/>
            </w:tcMar>
            <w:vAlign w:val="center"/>
          </w:tcPr>
          <w:p w:rsidR="00981389" w:rsidRDefault="00D127FE" w:rsidP="00853402">
            <w:pPr>
              <w:spacing w:before="80"/>
              <w:jc w:val="center"/>
              <w:rPr>
                <w:rFonts w:ascii="Arial Narrow" w:hAnsi="Arial Narrow"/>
                <w:b/>
                <w:color w:val="FFFFFF"/>
                <w:sz w:val="22"/>
                <w:szCs w:val="22"/>
              </w:rPr>
            </w:pPr>
            <w:r>
              <w:rPr>
                <w:rFonts w:ascii="Arial Narrow" w:hAnsi="Arial Narrow"/>
                <w:b/>
                <w:color w:val="FFFFFF"/>
                <w:sz w:val="22"/>
                <w:szCs w:val="22"/>
              </w:rPr>
              <w:t xml:space="preserve">Πίνακας 3.9 </w:t>
            </w:r>
            <w:r w:rsidR="00981389">
              <w:rPr>
                <w:rFonts w:ascii="Arial Narrow" w:hAnsi="Arial Narrow"/>
                <w:b/>
                <w:color w:val="FFFFFF"/>
                <w:sz w:val="22"/>
                <w:szCs w:val="22"/>
              </w:rPr>
              <w:t xml:space="preserve"> Ακαθάριστες επενδύσεις παγίου κεφαλαίου</w:t>
            </w:r>
          </w:p>
          <w:p w:rsidR="00981389" w:rsidRPr="00F54EA6" w:rsidRDefault="00981389" w:rsidP="00981389">
            <w:pPr>
              <w:spacing w:after="120"/>
              <w:jc w:val="center"/>
              <w:rPr>
                <w:rFonts w:ascii="Arial Narrow" w:hAnsi="Arial Narrow"/>
                <w:b/>
                <w:color w:val="FFFFFF"/>
                <w:sz w:val="22"/>
                <w:szCs w:val="22"/>
              </w:rPr>
            </w:pPr>
            <w:r>
              <w:rPr>
                <w:rFonts w:ascii="Arial Narrow" w:hAnsi="Arial Narrow"/>
                <w:b/>
                <w:color w:val="FFFFFF"/>
                <w:sz w:val="22"/>
                <w:szCs w:val="22"/>
              </w:rPr>
              <w:t>Γενικής Κυβέρνησης (% ΑΕΠ)</w:t>
            </w:r>
          </w:p>
        </w:tc>
      </w:tr>
      <w:tr w:rsidR="00981389" w:rsidRPr="00F54EA6" w:rsidTr="00C9462A">
        <w:trPr>
          <w:jc w:val="center"/>
        </w:trPr>
        <w:tc>
          <w:tcPr>
            <w:tcW w:w="6014" w:type="dxa"/>
            <w:gridSpan w:val="3"/>
            <w:tcBorders>
              <w:left w:val="single" w:sz="4" w:space="0" w:color="auto"/>
              <w:bottom w:val="single" w:sz="4" w:space="0" w:color="auto"/>
              <w:right w:val="single" w:sz="4" w:space="0" w:color="auto"/>
            </w:tcBorders>
            <w:shd w:val="clear" w:color="auto" w:fill="auto"/>
            <w:tcMar>
              <w:left w:w="28" w:type="dxa"/>
              <w:right w:w="28" w:type="dxa"/>
            </w:tcMar>
            <w:vAlign w:val="center"/>
          </w:tcPr>
          <w:p w:rsidR="00981389" w:rsidRPr="00F54EA6" w:rsidRDefault="00981389" w:rsidP="00853402">
            <w:pPr>
              <w:jc w:val="center"/>
              <w:rPr>
                <w:rFonts w:ascii="Arial Narrow" w:hAnsi="Arial Narrow"/>
                <w:b/>
                <w:sz w:val="22"/>
                <w:szCs w:val="22"/>
              </w:rPr>
            </w:pPr>
          </w:p>
        </w:tc>
      </w:tr>
      <w:tr w:rsidR="00C9462A" w:rsidRPr="00EC191C" w:rsidTr="00C9462A">
        <w:trPr>
          <w:trHeight w:val="377"/>
          <w:jc w:val="center"/>
        </w:trPr>
        <w:tc>
          <w:tcPr>
            <w:tcW w:w="17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9462A" w:rsidRPr="00EC191C" w:rsidRDefault="00C9462A" w:rsidP="00C9462A">
            <w:pPr>
              <w:jc w:val="center"/>
              <w:rPr>
                <w:rFonts w:ascii="Arial Narrow" w:hAnsi="Arial Narrow"/>
                <w:b/>
                <w:sz w:val="16"/>
                <w:szCs w:val="16"/>
              </w:rPr>
            </w:pPr>
            <w:r w:rsidRPr="00EC191C">
              <w:rPr>
                <w:rFonts w:ascii="Arial Narrow" w:hAnsi="Arial Narrow"/>
                <w:b/>
                <w:sz w:val="16"/>
                <w:szCs w:val="16"/>
              </w:rPr>
              <w:t>Έτη</w:t>
            </w:r>
          </w:p>
        </w:tc>
        <w:tc>
          <w:tcPr>
            <w:tcW w:w="184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9462A" w:rsidRPr="00EC191C" w:rsidRDefault="00C9462A" w:rsidP="00C9462A">
            <w:pPr>
              <w:jc w:val="center"/>
              <w:rPr>
                <w:rFonts w:ascii="Arial Narrow" w:hAnsi="Arial Narrow"/>
                <w:b/>
                <w:sz w:val="16"/>
                <w:szCs w:val="16"/>
              </w:rPr>
            </w:pPr>
            <w:r>
              <w:rPr>
                <w:rFonts w:ascii="Arial Narrow" w:hAnsi="Arial Narrow"/>
                <w:b/>
                <w:sz w:val="16"/>
                <w:szCs w:val="16"/>
              </w:rPr>
              <w:t>Ελλάδα</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C9462A" w:rsidRDefault="00C9462A" w:rsidP="00C9462A">
            <w:pPr>
              <w:jc w:val="center"/>
              <w:rPr>
                <w:rFonts w:ascii="Arial Narrow" w:hAnsi="Arial Narrow"/>
                <w:b/>
                <w:sz w:val="16"/>
                <w:szCs w:val="16"/>
              </w:rPr>
            </w:pPr>
            <w:r>
              <w:rPr>
                <w:rFonts w:ascii="Arial Narrow" w:hAnsi="Arial Narrow"/>
                <w:b/>
                <w:sz w:val="16"/>
                <w:szCs w:val="16"/>
              </w:rPr>
              <w:t>Κράτη – Μέλη Ευρωζώνης</w:t>
            </w:r>
          </w:p>
          <w:p w:rsidR="00C9462A" w:rsidRPr="00EC191C" w:rsidRDefault="00C9462A" w:rsidP="00C9462A">
            <w:pPr>
              <w:jc w:val="center"/>
              <w:rPr>
                <w:rFonts w:ascii="Arial Narrow" w:hAnsi="Arial Narrow"/>
                <w:b/>
                <w:sz w:val="16"/>
                <w:szCs w:val="16"/>
              </w:rPr>
            </w:pPr>
            <w:r>
              <w:rPr>
                <w:rFonts w:ascii="Arial Narrow" w:hAnsi="Arial Narrow"/>
                <w:b/>
                <w:sz w:val="16"/>
                <w:szCs w:val="16"/>
              </w:rPr>
              <w:t>(19 μέλη)</w:t>
            </w:r>
          </w:p>
        </w:tc>
      </w:tr>
      <w:tr w:rsidR="00C9462A" w:rsidRPr="00EC191C" w:rsidTr="00C9462A">
        <w:tblPrEx>
          <w:tblLook w:val="01E0"/>
        </w:tblPrEx>
        <w:trPr>
          <w:jc w:val="center"/>
        </w:trPr>
        <w:tc>
          <w:tcPr>
            <w:tcW w:w="1733" w:type="dxa"/>
            <w:tcBorders>
              <w:top w:val="single" w:sz="4" w:space="0" w:color="auto"/>
              <w:left w:val="single" w:sz="4" w:space="0" w:color="auto"/>
              <w:bottom w:val="nil"/>
            </w:tcBorders>
            <w:shd w:val="clear" w:color="auto" w:fill="D9D9D9" w:themeFill="background1" w:themeFillShade="D9"/>
            <w:tcMar>
              <w:left w:w="28" w:type="dxa"/>
              <w:right w:w="28" w:type="dxa"/>
            </w:tcMar>
            <w:vAlign w:val="center"/>
          </w:tcPr>
          <w:p w:rsidR="00C9462A" w:rsidRPr="00EC191C" w:rsidRDefault="00C9462A" w:rsidP="00C9462A">
            <w:pPr>
              <w:spacing w:before="20" w:after="20"/>
              <w:jc w:val="center"/>
              <w:rPr>
                <w:rFonts w:ascii="Arial Narrow" w:hAnsi="Arial Narrow"/>
                <w:sz w:val="16"/>
                <w:szCs w:val="16"/>
              </w:rPr>
            </w:pPr>
            <w:r>
              <w:rPr>
                <w:rFonts w:ascii="Arial Narrow" w:hAnsi="Arial Narrow"/>
                <w:sz w:val="16"/>
                <w:szCs w:val="16"/>
              </w:rPr>
              <w:t>2011</w:t>
            </w:r>
          </w:p>
        </w:tc>
        <w:tc>
          <w:tcPr>
            <w:tcW w:w="1842" w:type="dxa"/>
            <w:tcBorders>
              <w:top w:val="single" w:sz="4" w:space="0" w:color="auto"/>
              <w:bottom w:val="nil"/>
            </w:tcBorders>
            <w:shd w:val="clear" w:color="auto" w:fill="D9D9D9" w:themeFill="background1" w:themeFillShade="D9"/>
            <w:tcMar>
              <w:left w:w="28" w:type="dxa"/>
              <w:right w:w="28" w:type="dxa"/>
            </w:tcMar>
            <w:vAlign w:val="center"/>
          </w:tcPr>
          <w:p w:rsidR="00C9462A" w:rsidRPr="009D7F62" w:rsidRDefault="00C9462A" w:rsidP="00853402">
            <w:pPr>
              <w:jc w:val="center"/>
              <w:rPr>
                <w:rFonts w:ascii="Arial Narrow" w:hAnsi="Arial Narrow"/>
                <w:sz w:val="16"/>
                <w:szCs w:val="16"/>
              </w:rPr>
            </w:pPr>
            <w:r w:rsidRPr="009D7F62">
              <w:rPr>
                <w:rFonts w:ascii="Arial Narrow" w:hAnsi="Arial Narrow"/>
                <w:sz w:val="16"/>
                <w:szCs w:val="16"/>
              </w:rPr>
              <w:t>2,5%</w:t>
            </w:r>
          </w:p>
        </w:tc>
        <w:tc>
          <w:tcPr>
            <w:tcW w:w="2439" w:type="dxa"/>
            <w:tcBorders>
              <w:top w:val="single" w:sz="4" w:space="0" w:color="auto"/>
              <w:bottom w:val="nil"/>
              <w:right w:val="single" w:sz="4" w:space="0" w:color="auto"/>
            </w:tcBorders>
            <w:shd w:val="clear" w:color="auto" w:fill="D9D9D9" w:themeFill="background1" w:themeFillShade="D9"/>
            <w:tcMar>
              <w:left w:w="28" w:type="dxa"/>
              <w:right w:w="28" w:type="dxa"/>
            </w:tcMar>
            <w:vAlign w:val="center"/>
          </w:tcPr>
          <w:p w:rsidR="00C9462A" w:rsidRPr="009D7F62" w:rsidRDefault="00C9462A" w:rsidP="00853402">
            <w:pPr>
              <w:jc w:val="center"/>
              <w:rPr>
                <w:rFonts w:ascii="Arial Narrow" w:hAnsi="Arial Narrow"/>
                <w:sz w:val="16"/>
                <w:szCs w:val="16"/>
              </w:rPr>
            </w:pPr>
            <w:r w:rsidRPr="009D7F62">
              <w:rPr>
                <w:rFonts w:ascii="Arial Narrow" w:hAnsi="Arial Narrow"/>
                <w:sz w:val="16"/>
                <w:szCs w:val="16"/>
              </w:rPr>
              <w:t>3,2%</w:t>
            </w:r>
          </w:p>
        </w:tc>
      </w:tr>
      <w:tr w:rsidR="00C9462A" w:rsidRPr="00EC191C" w:rsidTr="00C9462A">
        <w:tblPrEx>
          <w:tblLook w:val="01E0"/>
        </w:tblPrEx>
        <w:trPr>
          <w:jc w:val="center"/>
        </w:trPr>
        <w:tc>
          <w:tcPr>
            <w:tcW w:w="1733" w:type="dxa"/>
            <w:tcBorders>
              <w:top w:val="nil"/>
              <w:left w:val="single" w:sz="4" w:space="0" w:color="auto"/>
              <w:bottom w:val="nil"/>
            </w:tcBorders>
            <w:shd w:val="clear" w:color="auto" w:fill="auto"/>
            <w:tcMar>
              <w:left w:w="28" w:type="dxa"/>
              <w:right w:w="28" w:type="dxa"/>
            </w:tcMar>
            <w:vAlign w:val="center"/>
          </w:tcPr>
          <w:p w:rsidR="00C9462A" w:rsidRPr="00EC191C" w:rsidRDefault="00C9462A" w:rsidP="00C9462A">
            <w:pPr>
              <w:spacing w:before="20" w:after="20"/>
              <w:jc w:val="center"/>
              <w:rPr>
                <w:rFonts w:ascii="Arial Narrow" w:hAnsi="Arial Narrow"/>
                <w:sz w:val="16"/>
                <w:szCs w:val="16"/>
              </w:rPr>
            </w:pPr>
            <w:r>
              <w:rPr>
                <w:rFonts w:ascii="Arial Narrow" w:hAnsi="Arial Narrow"/>
                <w:sz w:val="16"/>
                <w:szCs w:val="16"/>
              </w:rPr>
              <w:t>2012</w:t>
            </w:r>
          </w:p>
        </w:tc>
        <w:tc>
          <w:tcPr>
            <w:tcW w:w="1842" w:type="dxa"/>
            <w:tcBorders>
              <w:top w:val="nil"/>
              <w:bottom w:val="nil"/>
            </w:tcBorders>
            <w:shd w:val="clear" w:color="auto" w:fill="auto"/>
            <w:tcMar>
              <w:left w:w="28" w:type="dxa"/>
              <w:right w:w="28" w:type="dxa"/>
            </w:tcMar>
            <w:vAlign w:val="center"/>
          </w:tcPr>
          <w:p w:rsidR="00C9462A" w:rsidRPr="009D7F62" w:rsidRDefault="00C9462A" w:rsidP="00853402">
            <w:pPr>
              <w:jc w:val="center"/>
              <w:rPr>
                <w:rFonts w:ascii="Arial Narrow" w:hAnsi="Arial Narrow"/>
                <w:sz w:val="16"/>
                <w:szCs w:val="16"/>
              </w:rPr>
            </w:pPr>
            <w:r w:rsidRPr="009D7F62">
              <w:rPr>
                <w:rFonts w:ascii="Arial Narrow" w:hAnsi="Arial Narrow"/>
                <w:sz w:val="16"/>
                <w:szCs w:val="16"/>
              </w:rPr>
              <w:t>2,6%</w:t>
            </w:r>
          </w:p>
        </w:tc>
        <w:tc>
          <w:tcPr>
            <w:tcW w:w="2439" w:type="dxa"/>
            <w:tcBorders>
              <w:top w:val="nil"/>
              <w:bottom w:val="nil"/>
              <w:right w:val="single" w:sz="4" w:space="0" w:color="auto"/>
            </w:tcBorders>
            <w:shd w:val="clear" w:color="auto" w:fill="auto"/>
            <w:tcMar>
              <w:left w:w="28" w:type="dxa"/>
              <w:right w:w="28" w:type="dxa"/>
            </w:tcMar>
            <w:vAlign w:val="center"/>
          </w:tcPr>
          <w:p w:rsidR="00C9462A" w:rsidRPr="009D7F62" w:rsidRDefault="00C9462A" w:rsidP="00853402">
            <w:pPr>
              <w:jc w:val="center"/>
              <w:rPr>
                <w:rFonts w:ascii="Arial Narrow" w:hAnsi="Arial Narrow"/>
                <w:sz w:val="16"/>
                <w:szCs w:val="16"/>
              </w:rPr>
            </w:pPr>
            <w:r w:rsidRPr="009D7F62">
              <w:rPr>
                <w:rFonts w:ascii="Arial Narrow" w:hAnsi="Arial Narrow"/>
                <w:sz w:val="16"/>
                <w:szCs w:val="16"/>
              </w:rPr>
              <w:t>2,9%</w:t>
            </w:r>
          </w:p>
        </w:tc>
      </w:tr>
      <w:tr w:rsidR="00C9462A" w:rsidRPr="00EC191C" w:rsidTr="00C9462A">
        <w:tblPrEx>
          <w:tblLook w:val="01E0"/>
        </w:tblPrEx>
        <w:trPr>
          <w:jc w:val="center"/>
        </w:trPr>
        <w:tc>
          <w:tcPr>
            <w:tcW w:w="1733" w:type="dxa"/>
            <w:tcBorders>
              <w:top w:val="nil"/>
              <w:left w:val="single" w:sz="4" w:space="0" w:color="auto"/>
              <w:bottom w:val="nil"/>
            </w:tcBorders>
            <w:shd w:val="clear" w:color="auto" w:fill="D9D9D9" w:themeFill="background1" w:themeFillShade="D9"/>
            <w:tcMar>
              <w:left w:w="28" w:type="dxa"/>
              <w:right w:w="28" w:type="dxa"/>
            </w:tcMar>
            <w:vAlign w:val="center"/>
          </w:tcPr>
          <w:p w:rsidR="00C9462A" w:rsidRPr="00EC191C" w:rsidRDefault="00C9462A" w:rsidP="00C9462A">
            <w:pPr>
              <w:spacing w:before="20" w:after="20"/>
              <w:jc w:val="center"/>
              <w:rPr>
                <w:rFonts w:ascii="Arial Narrow" w:hAnsi="Arial Narrow"/>
                <w:sz w:val="16"/>
                <w:szCs w:val="16"/>
              </w:rPr>
            </w:pPr>
            <w:r w:rsidRPr="00EC191C">
              <w:rPr>
                <w:rFonts w:ascii="Arial Narrow" w:hAnsi="Arial Narrow"/>
                <w:sz w:val="16"/>
                <w:szCs w:val="16"/>
              </w:rPr>
              <w:t>20</w:t>
            </w:r>
            <w:r>
              <w:rPr>
                <w:rFonts w:ascii="Arial Narrow" w:hAnsi="Arial Narrow"/>
                <w:sz w:val="16"/>
                <w:szCs w:val="16"/>
              </w:rPr>
              <w:t>13</w:t>
            </w:r>
          </w:p>
        </w:tc>
        <w:tc>
          <w:tcPr>
            <w:tcW w:w="1842" w:type="dxa"/>
            <w:tcBorders>
              <w:top w:val="nil"/>
              <w:bottom w:val="nil"/>
            </w:tcBorders>
            <w:shd w:val="clear" w:color="auto" w:fill="D9D9D9" w:themeFill="background1" w:themeFillShade="D9"/>
            <w:tcMar>
              <w:left w:w="28" w:type="dxa"/>
              <w:right w:w="28" w:type="dxa"/>
            </w:tcMar>
            <w:vAlign w:val="center"/>
          </w:tcPr>
          <w:p w:rsidR="00C9462A" w:rsidRPr="009D7F62" w:rsidRDefault="00C9462A" w:rsidP="00853402">
            <w:pPr>
              <w:jc w:val="center"/>
              <w:rPr>
                <w:rFonts w:ascii="Arial Narrow" w:hAnsi="Arial Narrow"/>
                <w:sz w:val="16"/>
                <w:szCs w:val="16"/>
              </w:rPr>
            </w:pPr>
            <w:r w:rsidRPr="009D7F62">
              <w:rPr>
                <w:rFonts w:ascii="Arial Narrow" w:hAnsi="Arial Narrow"/>
                <w:sz w:val="16"/>
                <w:szCs w:val="16"/>
              </w:rPr>
              <w:t>3,5%</w:t>
            </w:r>
          </w:p>
        </w:tc>
        <w:tc>
          <w:tcPr>
            <w:tcW w:w="2439" w:type="dxa"/>
            <w:tcBorders>
              <w:top w:val="nil"/>
              <w:bottom w:val="nil"/>
              <w:right w:val="single" w:sz="4" w:space="0" w:color="auto"/>
            </w:tcBorders>
            <w:shd w:val="clear" w:color="auto" w:fill="D9D9D9" w:themeFill="background1" w:themeFillShade="D9"/>
            <w:tcMar>
              <w:left w:w="28" w:type="dxa"/>
              <w:right w:w="28" w:type="dxa"/>
            </w:tcMar>
            <w:vAlign w:val="center"/>
          </w:tcPr>
          <w:p w:rsidR="00C9462A" w:rsidRPr="009D7F62" w:rsidRDefault="00C9462A" w:rsidP="00853402">
            <w:pPr>
              <w:jc w:val="center"/>
              <w:rPr>
                <w:rFonts w:ascii="Arial Narrow" w:hAnsi="Arial Narrow"/>
                <w:sz w:val="16"/>
                <w:szCs w:val="16"/>
              </w:rPr>
            </w:pPr>
            <w:r w:rsidRPr="009D7F62">
              <w:rPr>
                <w:rFonts w:ascii="Arial Narrow" w:hAnsi="Arial Narrow"/>
                <w:sz w:val="16"/>
                <w:szCs w:val="16"/>
              </w:rPr>
              <w:t>2,9%</w:t>
            </w:r>
          </w:p>
        </w:tc>
      </w:tr>
      <w:tr w:rsidR="00C9462A" w:rsidRPr="00EC191C" w:rsidTr="00C9462A">
        <w:tblPrEx>
          <w:tblLook w:val="01E0"/>
        </w:tblPrEx>
        <w:trPr>
          <w:jc w:val="center"/>
        </w:trPr>
        <w:tc>
          <w:tcPr>
            <w:tcW w:w="1733" w:type="dxa"/>
            <w:tcBorders>
              <w:top w:val="nil"/>
              <w:left w:val="single" w:sz="4" w:space="0" w:color="auto"/>
              <w:bottom w:val="nil"/>
            </w:tcBorders>
            <w:shd w:val="clear" w:color="auto" w:fill="auto"/>
            <w:tcMar>
              <w:left w:w="28" w:type="dxa"/>
              <w:right w:w="28" w:type="dxa"/>
            </w:tcMar>
            <w:vAlign w:val="center"/>
          </w:tcPr>
          <w:p w:rsidR="00C9462A" w:rsidRPr="00EC191C" w:rsidRDefault="00C9462A" w:rsidP="00C9462A">
            <w:pPr>
              <w:spacing w:before="20" w:after="20"/>
              <w:jc w:val="center"/>
              <w:rPr>
                <w:rFonts w:ascii="Arial Narrow" w:hAnsi="Arial Narrow"/>
                <w:sz w:val="16"/>
                <w:szCs w:val="16"/>
              </w:rPr>
            </w:pPr>
            <w:r>
              <w:rPr>
                <w:rFonts w:ascii="Arial Narrow" w:hAnsi="Arial Narrow"/>
                <w:sz w:val="16"/>
                <w:szCs w:val="16"/>
              </w:rPr>
              <w:t>2014</w:t>
            </w:r>
          </w:p>
        </w:tc>
        <w:tc>
          <w:tcPr>
            <w:tcW w:w="1842" w:type="dxa"/>
            <w:tcBorders>
              <w:top w:val="nil"/>
              <w:bottom w:val="nil"/>
            </w:tcBorders>
            <w:shd w:val="clear" w:color="auto" w:fill="auto"/>
            <w:tcMar>
              <w:left w:w="28" w:type="dxa"/>
              <w:right w:w="28" w:type="dxa"/>
            </w:tcMar>
            <w:vAlign w:val="center"/>
          </w:tcPr>
          <w:p w:rsidR="00C9462A" w:rsidRPr="009D7F62" w:rsidRDefault="00C9462A" w:rsidP="00853402">
            <w:pPr>
              <w:jc w:val="center"/>
              <w:rPr>
                <w:rFonts w:ascii="Arial Narrow" w:hAnsi="Arial Narrow"/>
                <w:sz w:val="16"/>
                <w:szCs w:val="16"/>
              </w:rPr>
            </w:pPr>
            <w:r w:rsidRPr="009D7F62">
              <w:rPr>
                <w:rFonts w:ascii="Arial Narrow" w:hAnsi="Arial Narrow"/>
                <w:sz w:val="16"/>
                <w:szCs w:val="16"/>
              </w:rPr>
              <w:t>3,7%</w:t>
            </w:r>
          </w:p>
        </w:tc>
        <w:tc>
          <w:tcPr>
            <w:tcW w:w="2439" w:type="dxa"/>
            <w:tcBorders>
              <w:top w:val="nil"/>
              <w:bottom w:val="nil"/>
              <w:right w:val="single" w:sz="4" w:space="0" w:color="auto"/>
            </w:tcBorders>
            <w:shd w:val="clear" w:color="auto" w:fill="auto"/>
            <w:tcMar>
              <w:left w:w="28" w:type="dxa"/>
              <w:right w:w="28" w:type="dxa"/>
            </w:tcMar>
            <w:vAlign w:val="center"/>
          </w:tcPr>
          <w:p w:rsidR="00C9462A" w:rsidRPr="009D7F62" w:rsidRDefault="00C9462A" w:rsidP="00853402">
            <w:pPr>
              <w:jc w:val="center"/>
              <w:rPr>
                <w:rFonts w:ascii="Arial Narrow" w:hAnsi="Arial Narrow"/>
                <w:sz w:val="16"/>
                <w:szCs w:val="16"/>
              </w:rPr>
            </w:pPr>
            <w:r w:rsidRPr="009D7F62">
              <w:rPr>
                <w:rFonts w:ascii="Arial Narrow" w:hAnsi="Arial Narrow"/>
                <w:sz w:val="16"/>
                <w:szCs w:val="16"/>
              </w:rPr>
              <w:t>2,7%</w:t>
            </w:r>
          </w:p>
        </w:tc>
      </w:tr>
      <w:tr w:rsidR="00C9462A" w:rsidRPr="00EC191C" w:rsidTr="00C9462A">
        <w:tblPrEx>
          <w:tblLook w:val="01E0"/>
        </w:tblPrEx>
        <w:trPr>
          <w:jc w:val="center"/>
        </w:trPr>
        <w:tc>
          <w:tcPr>
            <w:tcW w:w="1733" w:type="dxa"/>
            <w:tcBorders>
              <w:top w:val="nil"/>
              <w:left w:val="single" w:sz="4" w:space="0" w:color="auto"/>
              <w:bottom w:val="nil"/>
            </w:tcBorders>
            <w:shd w:val="clear" w:color="auto" w:fill="D9D9D9" w:themeFill="background1" w:themeFillShade="D9"/>
            <w:tcMar>
              <w:left w:w="28" w:type="dxa"/>
              <w:right w:w="28" w:type="dxa"/>
            </w:tcMar>
            <w:vAlign w:val="center"/>
          </w:tcPr>
          <w:p w:rsidR="00C9462A" w:rsidRPr="00EC191C" w:rsidRDefault="00C9462A" w:rsidP="00C9462A">
            <w:pPr>
              <w:spacing w:before="20" w:after="20"/>
              <w:jc w:val="center"/>
              <w:rPr>
                <w:rFonts w:ascii="Arial Narrow" w:hAnsi="Arial Narrow"/>
                <w:sz w:val="16"/>
                <w:szCs w:val="16"/>
              </w:rPr>
            </w:pPr>
            <w:r>
              <w:rPr>
                <w:rFonts w:ascii="Arial Narrow" w:hAnsi="Arial Narrow"/>
                <w:sz w:val="16"/>
                <w:szCs w:val="16"/>
              </w:rPr>
              <w:t>2015</w:t>
            </w:r>
          </w:p>
        </w:tc>
        <w:tc>
          <w:tcPr>
            <w:tcW w:w="1842" w:type="dxa"/>
            <w:tcBorders>
              <w:top w:val="nil"/>
              <w:bottom w:val="nil"/>
            </w:tcBorders>
            <w:shd w:val="clear" w:color="auto" w:fill="D9D9D9" w:themeFill="background1" w:themeFillShade="D9"/>
            <w:tcMar>
              <w:left w:w="28" w:type="dxa"/>
              <w:right w:w="28" w:type="dxa"/>
            </w:tcMar>
            <w:vAlign w:val="center"/>
          </w:tcPr>
          <w:p w:rsidR="00C9462A" w:rsidRPr="009D7F62" w:rsidRDefault="00C9462A" w:rsidP="00853402">
            <w:pPr>
              <w:jc w:val="center"/>
              <w:rPr>
                <w:rFonts w:ascii="Arial Narrow" w:hAnsi="Arial Narrow"/>
                <w:sz w:val="16"/>
                <w:szCs w:val="16"/>
              </w:rPr>
            </w:pPr>
            <w:r w:rsidRPr="009D7F62">
              <w:rPr>
                <w:rFonts w:ascii="Arial Narrow" w:hAnsi="Arial Narrow"/>
                <w:sz w:val="16"/>
                <w:szCs w:val="16"/>
              </w:rPr>
              <w:t>3,9%</w:t>
            </w:r>
          </w:p>
        </w:tc>
        <w:tc>
          <w:tcPr>
            <w:tcW w:w="2439" w:type="dxa"/>
            <w:tcBorders>
              <w:top w:val="nil"/>
              <w:bottom w:val="nil"/>
              <w:right w:val="single" w:sz="4" w:space="0" w:color="auto"/>
            </w:tcBorders>
            <w:shd w:val="clear" w:color="auto" w:fill="D9D9D9" w:themeFill="background1" w:themeFillShade="D9"/>
            <w:tcMar>
              <w:left w:w="28" w:type="dxa"/>
              <w:right w:w="28" w:type="dxa"/>
            </w:tcMar>
            <w:vAlign w:val="center"/>
          </w:tcPr>
          <w:p w:rsidR="00C9462A" w:rsidRPr="009D7F62" w:rsidRDefault="00C9462A" w:rsidP="00853402">
            <w:pPr>
              <w:jc w:val="center"/>
              <w:rPr>
                <w:rFonts w:ascii="Arial Narrow" w:hAnsi="Arial Narrow"/>
                <w:sz w:val="16"/>
                <w:szCs w:val="16"/>
              </w:rPr>
            </w:pPr>
            <w:r w:rsidRPr="009D7F62">
              <w:rPr>
                <w:rFonts w:ascii="Arial Narrow" w:hAnsi="Arial Narrow"/>
                <w:sz w:val="16"/>
                <w:szCs w:val="16"/>
              </w:rPr>
              <w:t>2,7%</w:t>
            </w:r>
          </w:p>
        </w:tc>
      </w:tr>
      <w:tr w:rsidR="00C9462A" w:rsidRPr="00EC191C" w:rsidTr="00C9462A">
        <w:tblPrEx>
          <w:tblLook w:val="01E0"/>
        </w:tblPrEx>
        <w:trPr>
          <w:jc w:val="center"/>
        </w:trPr>
        <w:tc>
          <w:tcPr>
            <w:tcW w:w="1733" w:type="dxa"/>
            <w:tcBorders>
              <w:top w:val="nil"/>
              <w:left w:val="single" w:sz="4" w:space="0" w:color="auto"/>
            </w:tcBorders>
            <w:shd w:val="clear" w:color="auto" w:fill="auto"/>
            <w:tcMar>
              <w:left w:w="28" w:type="dxa"/>
              <w:right w:w="28" w:type="dxa"/>
            </w:tcMar>
            <w:vAlign w:val="center"/>
          </w:tcPr>
          <w:p w:rsidR="00C9462A" w:rsidRPr="00EC191C" w:rsidRDefault="00C9462A" w:rsidP="00C9462A">
            <w:pPr>
              <w:spacing w:before="20" w:after="20"/>
              <w:jc w:val="center"/>
              <w:rPr>
                <w:rFonts w:ascii="Arial Narrow" w:hAnsi="Arial Narrow"/>
                <w:sz w:val="16"/>
                <w:szCs w:val="16"/>
              </w:rPr>
            </w:pPr>
            <w:r>
              <w:rPr>
                <w:rFonts w:ascii="Arial Narrow" w:hAnsi="Arial Narrow"/>
                <w:sz w:val="16"/>
                <w:szCs w:val="16"/>
              </w:rPr>
              <w:t>2016</w:t>
            </w:r>
          </w:p>
        </w:tc>
        <w:tc>
          <w:tcPr>
            <w:tcW w:w="1842" w:type="dxa"/>
            <w:tcBorders>
              <w:top w:val="nil"/>
            </w:tcBorders>
            <w:shd w:val="clear" w:color="auto" w:fill="auto"/>
            <w:tcMar>
              <w:left w:w="28" w:type="dxa"/>
              <w:right w:w="28" w:type="dxa"/>
            </w:tcMar>
            <w:vAlign w:val="center"/>
          </w:tcPr>
          <w:p w:rsidR="00C9462A" w:rsidRPr="009D7F62" w:rsidRDefault="00C9462A" w:rsidP="00853402">
            <w:pPr>
              <w:jc w:val="center"/>
              <w:rPr>
                <w:rFonts w:ascii="Arial Narrow" w:hAnsi="Arial Narrow"/>
                <w:sz w:val="16"/>
                <w:szCs w:val="16"/>
              </w:rPr>
            </w:pPr>
            <w:r w:rsidRPr="009D7F62">
              <w:rPr>
                <w:rFonts w:ascii="Arial Narrow" w:hAnsi="Arial Narrow"/>
                <w:sz w:val="16"/>
                <w:szCs w:val="16"/>
              </w:rPr>
              <w:t>3,6%</w:t>
            </w:r>
          </w:p>
        </w:tc>
        <w:tc>
          <w:tcPr>
            <w:tcW w:w="2439" w:type="dxa"/>
            <w:tcBorders>
              <w:top w:val="nil"/>
              <w:right w:val="single" w:sz="4" w:space="0" w:color="auto"/>
            </w:tcBorders>
            <w:shd w:val="clear" w:color="auto" w:fill="auto"/>
            <w:tcMar>
              <w:left w:w="28" w:type="dxa"/>
              <w:right w:w="28" w:type="dxa"/>
            </w:tcMar>
            <w:vAlign w:val="center"/>
          </w:tcPr>
          <w:p w:rsidR="00C9462A" w:rsidRPr="009D7F62" w:rsidRDefault="00C9462A" w:rsidP="00853402">
            <w:pPr>
              <w:jc w:val="center"/>
              <w:rPr>
                <w:rFonts w:ascii="Arial Narrow" w:hAnsi="Arial Narrow"/>
                <w:sz w:val="16"/>
                <w:szCs w:val="16"/>
              </w:rPr>
            </w:pPr>
            <w:r w:rsidRPr="009D7F62">
              <w:rPr>
                <w:rFonts w:ascii="Arial Narrow" w:hAnsi="Arial Narrow"/>
                <w:sz w:val="16"/>
                <w:szCs w:val="16"/>
              </w:rPr>
              <w:t>2,6%</w:t>
            </w:r>
          </w:p>
        </w:tc>
      </w:tr>
      <w:tr w:rsidR="00C9462A" w:rsidRPr="00EC191C" w:rsidTr="00C9462A">
        <w:tblPrEx>
          <w:tblLook w:val="01E0"/>
        </w:tblPrEx>
        <w:trPr>
          <w:jc w:val="center"/>
        </w:trPr>
        <w:tc>
          <w:tcPr>
            <w:tcW w:w="1733" w:type="dxa"/>
            <w:tcBorders>
              <w:top w:val="nil"/>
              <w:left w:val="single" w:sz="4" w:space="0" w:color="auto"/>
            </w:tcBorders>
            <w:shd w:val="clear" w:color="auto" w:fill="D9D9D9" w:themeFill="background1" w:themeFillShade="D9"/>
            <w:tcMar>
              <w:left w:w="28" w:type="dxa"/>
              <w:right w:w="28" w:type="dxa"/>
            </w:tcMar>
            <w:vAlign w:val="center"/>
          </w:tcPr>
          <w:p w:rsidR="00C9462A" w:rsidRPr="00EC191C" w:rsidRDefault="00C9462A" w:rsidP="00C9462A">
            <w:pPr>
              <w:spacing w:before="20" w:after="20"/>
              <w:jc w:val="center"/>
              <w:rPr>
                <w:rFonts w:ascii="Arial Narrow" w:hAnsi="Arial Narrow"/>
                <w:sz w:val="16"/>
                <w:szCs w:val="16"/>
              </w:rPr>
            </w:pPr>
            <w:r>
              <w:rPr>
                <w:rFonts w:ascii="Arial Narrow" w:hAnsi="Arial Narrow"/>
                <w:sz w:val="16"/>
                <w:szCs w:val="16"/>
              </w:rPr>
              <w:t>2017</w:t>
            </w:r>
          </w:p>
        </w:tc>
        <w:tc>
          <w:tcPr>
            <w:tcW w:w="1842" w:type="dxa"/>
            <w:tcBorders>
              <w:top w:val="nil"/>
            </w:tcBorders>
            <w:shd w:val="clear" w:color="auto" w:fill="D9D9D9" w:themeFill="background1" w:themeFillShade="D9"/>
            <w:tcMar>
              <w:left w:w="28" w:type="dxa"/>
              <w:right w:w="28" w:type="dxa"/>
            </w:tcMar>
            <w:vAlign w:val="center"/>
          </w:tcPr>
          <w:p w:rsidR="00C9462A" w:rsidRPr="009D7F62" w:rsidRDefault="00C9462A" w:rsidP="00853402">
            <w:pPr>
              <w:jc w:val="center"/>
              <w:rPr>
                <w:rFonts w:ascii="Arial Narrow" w:hAnsi="Arial Narrow"/>
                <w:sz w:val="16"/>
                <w:szCs w:val="16"/>
              </w:rPr>
            </w:pPr>
            <w:r w:rsidRPr="009D7F62">
              <w:rPr>
                <w:rFonts w:ascii="Arial Narrow" w:hAnsi="Arial Narrow"/>
                <w:sz w:val="16"/>
                <w:szCs w:val="16"/>
              </w:rPr>
              <w:t>4,5%</w:t>
            </w:r>
          </w:p>
        </w:tc>
        <w:tc>
          <w:tcPr>
            <w:tcW w:w="2439" w:type="dxa"/>
            <w:tcBorders>
              <w:top w:val="nil"/>
              <w:right w:val="single" w:sz="4" w:space="0" w:color="auto"/>
            </w:tcBorders>
            <w:shd w:val="clear" w:color="auto" w:fill="D9D9D9" w:themeFill="background1" w:themeFillShade="D9"/>
            <w:tcMar>
              <w:left w:w="28" w:type="dxa"/>
              <w:right w:w="28" w:type="dxa"/>
            </w:tcMar>
            <w:vAlign w:val="center"/>
          </w:tcPr>
          <w:p w:rsidR="00C9462A" w:rsidRPr="009D7F62" w:rsidRDefault="00C9462A" w:rsidP="00853402">
            <w:pPr>
              <w:jc w:val="center"/>
              <w:rPr>
                <w:rFonts w:ascii="Arial Narrow" w:hAnsi="Arial Narrow"/>
                <w:sz w:val="16"/>
                <w:szCs w:val="16"/>
              </w:rPr>
            </w:pPr>
            <w:r w:rsidRPr="009D7F62">
              <w:rPr>
                <w:rFonts w:ascii="Arial Narrow" w:hAnsi="Arial Narrow"/>
                <w:sz w:val="16"/>
                <w:szCs w:val="16"/>
              </w:rPr>
              <w:t>2,6%</w:t>
            </w:r>
          </w:p>
        </w:tc>
      </w:tr>
      <w:tr w:rsidR="00C9462A" w:rsidRPr="00EC191C" w:rsidTr="00C9462A">
        <w:tblPrEx>
          <w:tblLook w:val="01E0"/>
        </w:tblPrEx>
        <w:trPr>
          <w:jc w:val="center"/>
        </w:trPr>
        <w:tc>
          <w:tcPr>
            <w:tcW w:w="1733" w:type="dxa"/>
            <w:tcBorders>
              <w:top w:val="nil"/>
              <w:left w:val="single" w:sz="4" w:space="0" w:color="auto"/>
            </w:tcBorders>
            <w:shd w:val="clear" w:color="auto" w:fill="auto"/>
            <w:tcMar>
              <w:left w:w="28" w:type="dxa"/>
              <w:right w:w="28" w:type="dxa"/>
            </w:tcMar>
            <w:vAlign w:val="center"/>
          </w:tcPr>
          <w:p w:rsidR="00C9462A" w:rsidRPr="00EC191C" w:rsidRDefault="00C9462A" w:rsidP="00C9462A">
            <w:pPr>
              <w:spacing w:before="20" w:after="20"/>
              <w:jc w:val="center"/>
              <w:rPr>
                <w:rFonts w:ascii="Arial Narrow" w:hAnsi="Arial Narrow"/>
                <w:sz w:val="16"/>
                <w:szCs w:val="16"/>
              </w:rPr>
            </w:pPr>
            <w:r>
              <w:rPr>
                <w:rFonts w:ascii="Arial Narrow" w:hAnsi="Arial Narrow"/>
                <w:sz w:val="16"/>
                <w:szCs w:val="16"/>
              </w:rPr>
              <w:t>2018</w:t>
            </w:r>
          </w:p>
        </w:tc>
        <w:tc>
          <w:tcPr>
            <w:tcW w:w="1842" w:type="dxa"/>
            <w:tcBorders>
              <w:top w:val="nil"/>
            </w:tcBorders>
            <w:shd w:val="clear" w:color="auto" w:fill="auto"/>
            <w:tcMar>
              <w:left w:w="28" w:type="dxa"/>
              <w:right w:w="28" w:type="dxa"/>
            </w:tcMar>
            <w:vAlign w:val="center"/>
          </w:tcPr>
          <w:p w:rsidR="00C9462A" w:rsidRPr="009D7F62" w:rsidRDefault="00C9462A" w:rsidP="00853402">
            <w:pPr>
              <w:jc w:val="center"/>
              <w:rPr>
                <w:rFonts w:ascii="Arial Narrow" w:hAnsi="Arial Narrow"/>
                <w:sz w:val="16"/>
                <w:szCs w:val="16"/>
              </w:rPr>
            </w:pPr>
            <w:r w:rsidRPr="009D7F62">
              <w:rPr>
                <w:rFonts w:ascii="Arial Narrow" w:hAnsi="Arial Narrow"/>
                <w:sz w:val="16"/>
                <w:szCs w:val="16"/>
              </w:rPr>
              <w:t>3,3%</w:t>
            </w:r>
          </w:p>
        </w:tc>
        <w:tc>
          <w:tcPr>
            <w:tcW w:w="2439" w:type="dxa"/>
            <w:tcBorders>
              <w:top w:val="nil"/>
              <w:right w:val="single" w:sz="4" w:space="0" w:color="auto"/>
            </w:tcBorders>
            <w:shd w:val="clear" w:color="auto" w:fill="auto"/>
            <w:tcMar>
              <w:left w:w="28" w:type="dxa"/>
              <w:right w:w="28" w:type="dxa"/>
            </w:tcMar>
            <w:vAlign w:val="center"/>
          </w:tcPr>
          <w:p w:rsidR="00C9462A" w:rsidRPr="009D7F62" w:rsidRDefault="00C9462A" w:rsidP="00853402">
            <w:pPr>
              <w:jc w:val="center"/>
              <w:rPr>
                <w:rFonts w:ascii="Arial Narrow" w:hAnsi="Arial Narrow"/>
                <w:sz w:val="16"/>
                <w:szCs w:val="16"/>
              </w:rPr>
            </w:pPr>
            <w:r w:rsidRPr="009D7F62">
              <w:rPr>
                <w:rFonts w:ascii="Arial Narrow" w:hAnsi="Arial Narrow"/>
                <w:sz w:val="16"/>
                <w:szCs w:val="16"/>
              </w:rPr>
              <w:t>2,7%</w:t>
            </w:r>
          </w:p>
        </w:tc>
      </w:tr>
      <w:tr w:rsidR="00C9462A" w:rsidRPr="00EC191C" w:rsidTr="00296593">
        <w:tblPrEx>
          <w:tblLook w:val="01E0"/>
        </w:tblPrEx>
        <w:trPr>
          <w:jc w:val="center"/>
        </w:trPr>
        <w:tc>
          <w:tcPr>
            <w:tcW w:w="1733" w:type="dxa"/>
            <w:tcBorders>
              <w:top w:val="nil"/>
              <w:left w:val="single" w:sz="4" w:space="0" w:color="auto"/>
            </w:tcBorders>
            <w:shd w:val="clear" w:color="auto" w:fill="D9D9D9" w:themeFill="background1" w:themeFillShade="D9"/>
            <w:tcMar>
              <w:left w:w="28" w:type="dxa"/>
              <w:right w:w="28" w:type="dxa"/>
            </w:tcMar>
            <w:vAlign w:val="center"/>
          </w:tcPr>
          <w:p w:rsidR="00C9462A" w:rsidRPr="00EC191C" w:rsidRDefault="00C9462A" w:rsidP="00C9462A">
            <w:pPr>
              <w:spacing w:before="20" w:after="20"/>
              <w:jc w:val="center"/>
              <w:rPr>
                <w:rFonts w:ascii="Arial Narrow" w:hAnsi="Arial Narrow"/>
                <w:sz w:val="16"/>
                <w:szCs w:val="16"/>
              </w:rPr>
            </w:pPr>
            <w:r>
              <w:rPr>
                <w:rFonts w:ascii="Arial Narrow" w:hAnsi="Arial Narrow"/>
                <w:sz w:val="16"/>
                <w:szCs w:val="16"/>
              </w:rPr>
              <w:t>2019</w:t>
            </w:r>
          </w:p>
        </w:tc>
        <w:tc>
          <w:tcPr>
            <w:tcW w:w="1842" w:type="dxa"/>
            <w:tcBorders>
              <w:top w:val="nil"/>
            </w:tcBorders>
            <w:shd w:val="clear" w:color="auto" w:fill="D9D9D9" w:themeFill="background1" w:themeFillShade="D9"/>
            <w:tcMar>
              <w:left w:w="28" w:type="dxa"/>
              <w:right w:w="28" w:type="dxa"/>
            </w:tcMar>
            <w:vAlign w:val="center"/>
          </w:tcPr>
          <w:p w:rsidR="00C9462A" w:rsidRPr="009D7F62" w:rsidRDefault="00C9462A" w:rsidP="00853402">
            <w:pPr>
              <w:jc w:val="center"/>
              <w:rPr>
                <w:rFonts w:ascii="Arial Narrow" w:hAnsi="Arial Narrow"/>
                <w:sz w:val="16"/>
                <w:szCs w:val="16"/>
              </w:rPr>
            </w:pPr>
            <w:r w:rsidRPr="009D7F62">
              <w:rPr>
                <w:rFonts w:ascii="Arial Narrow" w:hAnsi="Arial Narrow"/>
                <w:sz w:val="16"/>
                <w:szCs w:val="16"/>
              </w:rPr>
              <w:t>2,5%</w:t>
            </w:r>
          </w:p>
        </w:tc>
        <w:tc>
          <w:tcPr>
            <w:tcW w:w="2439" w:type="dxa"/>
            <w:tcBorders>
              <w:top w:val="nil"/>
              <w:right w:val="single" w:sz="4" w:space="0" w:color="auto"/>
            </w:tcBorders>
            <w:shd w:val="clear" w:color="auto" w:fill="D9D9D9" w:themeFill="background1" w:themeFillShade="D9"/>
            <w:tcMar>
              <w:left w:w="28" w:type="dxa"/>
              <w:right w:w="28" w:type="dxa"/>
            </w:tcMar>
            <w:vAlign w:val="center"/>
          </w:tcPr>
          <w:p w:rsidR="00C9462A" w:rsidRPr="009D7F62" w:rsidRDefault="00C9462A" w:rsidP="00853402">
            <w:pPr>
              <w:jc w:val="center"/>
              <w:rPr>
                <w:rFonts w:ascii="Arial Narrow" w:hAnsi="Arial Narrow"/>
                <w:sz w:val="16"/>
                <w:szCs w:val="16"/>
              </w:rPr>
            </w:pPr>
            <w:r w:rsidRPr="009D7F62">
              <w:rPr>
                <w:rFonts w:ascii="Arial Narrow" w:hAnsi="Arial Narrow"/>
                <w:sz w:val="16"/>
                <w:szCs w:val="16"/>
              </w:rPr>
              <w:t>2,8%</w:t>
            </w:r>
          </w:p>
        </w:tc>
      </w:tr>
      <w:tr w:rsidR="00C9462A" w:rsidRPr="00EC191C" w:rsidTr="00296593">
        <w:tblPrEx>
          <w:tblLook w:val="01E0"/>
        </w:tblPrEx>
        <w:trPr>
          <w:jc w:val="center"/>
        </w:trPr>
        <w:tc>
          <w:tcPr>
            <w:tcW w:w="1733" w:type="dxa"/>
            <w:tcBorders>
              <w:top w:val="nil"/>
              <w:left w:val="single" w:sz="4" w:space="0" w:color="auto"/>
              <w:bottom w:val="single" w:sz="4" w:space="0" w:color="auto"/>
            </w:tcBorders>
            <w:shd w:val="clear" w:color="auto" w:fill="auto"/>
            <w:tcMar>
              <w:left w:w="28" w:type="dxa"/>
              <w:right w:w="28" w:type="dxa"/>
            </w:tcMar>
            <w:vAlign w:val="center"/>
          </w:tcPr>
          <w:p w:rsidR="00C9462A" w:rsidRDefault="00C9462A" w:rsidP="00C9462A">
            <w:pPr>
              <w:spacing w:before="20" w:after="20"/>
              <w:jc w:val="center"/>
              <w:rPr>
                <w:rFonts w:ascii="Arial Narrow" w:hAnsi="Arial Narrow"/>
                <w:sz w:val="16"/>
                <w:szCs w:val="16"/>
              </w:rPr>
            </w:pPr>
            <w:r w:rsidRPr="0053150F">
              <w:rPr>
                <w:rFonts w:ascii="Arial Narrow" w:hAnsi="Arial Narrow"/>
                <w:sz w:val="16"/>
                <w:szCs w:val="16"/>
              </w:rPr>
              <w:t>2020</w:t>
            </w:r>
          </w:p>
        </w:tc>
        <w:tc>
          <w:tcPr>
            <w:tcW w:w="1842" w:type="dxa"/>
            <w:tcBorders>
              <w:top w:val="nil"/>
              <w:bottom w:val="single" w:sz="4" w:space="0" w:color="auto"/>
            </w:tcBorders>
            <w:shd w:val="clear" w:color="auto" w:fill="auto"/>
            <w:tcMar>
              <w:left w:w="28" w:type="dxa"/>
              <w:right w:w="28" w:type="dxa"/>
            </w:tcMar>
            <w:vAlign w:val="center"/>
          </w:tcPr>
          <w:p w:rsidR="00C9462A" w:rsidRPr="009D7F62" w:rsidRDefault="00C9462A" w:rsidP="00853402">
            <w:pPr>
              <w:jc w:val="center"/>
              <w:rPr>
                <w:rFonts w:ascii="Arial Narrow" w:hAnsi="Arial Narrow"/>
                <w:sz w:val="16"/>
                <w:szCs w:val="16"/>
              </w:rPr>
            </w:pPr>
            <w:r w:rsidRPr="009D7F62">
              <w:rPr>
                <w:rFonts w:ascii="Arial Narrow" w:hAnsi="Arial Narrow"/>
                <w:sz w:val="16"/>
                <w:szCs w:val="16"/>
              </w:rPr>
              <w:t>3,6%</w:t>
            </w:r>
          </w:p>
        </w:tc>
        <w:tc>
          <w:tcPr>
            <w:tcW w:w="2439" w:type="dxa"/>
            <w:tcBorders>
              <w:top w:val="nil"/>
              <w:bottom w:val="single" w:sz="4" w:space="0" w:color="auto"/>
              <w:right w:val="single" w:sz="4" w:space="0" w:color="auto"/>
            </w:tcBorders>
            <w:shd w:val="clear" w:color="auto" w:fill="auto"/>
            <w:tcMar>
              <w:left w:w="28" w:type="dxa"/>
              <w:right w:w="28" w:type="dxa"/>
            </w:tcMar>
            <w:vAlign w:val="center"/>
          </w:tcPr>
          <w:p w:rsidR="00C9462A" w:rsidRPr="009D7F62" w:rsidRDefault="00C9462A" w:rsidP="00853402">
            <w:pPr>
              <w:jc w:val="center"/>
              <w:rPr>
                <w:rFonts w:ascii="Arial Narrow" w:hAnsi="Arial Narrow"/>
                <w:sz w:val="16"/>
                <w:szCs w:val="16"/>
              </w:rPr>
            </w:pPr>
            <w:r w:rsidRPr="009D7F62">
              <w:rPr>
                <w:rFonts w:ascii="Arial Narrow" w:hAnsi="Arial Narrow"/>
                <w:sz w:val="16"/>
                <w:szCs w:val="16"/>
              </w:rPr>
              <w:t>3,1%</w:t>
            </w:r>
          </w:p>
        </w:tc>
      </w:tr>
    </w:tbl>
    <w:p w:rsidR="00C9462A" w:rsidRPr="00B80856" w:rsidRDefault="00C9462A" w:rsidP="00B80856">
      <w:pPr>
        <w:spacing w:before="100" w:beforeAutospacing="1" w:after="100" w:afterAutospacing="1"/>
        <w:ind w:left="1560" w:right="1416"/>
        <w:contextualSpacing/>
        <w:jc w:val="both"/>
        <w:rPr>
          <w:rFonts w:ascii="Arial Narrow" w:hAnsi="Arial Narrow"/>
          <w:sz w:val="16"/>
          <w:szCs w:val="16"/>
        </w:rPr>
      </w:pPr>
      <w:r>
        <w:rPr>
          <w:rFonts w:ascii="Arial Narrow" w:hAnsi="Arial Narrow"/>
          <w:sz w:val="16"/>
          <w:szCs w:val="16"/>
        </w:rPr>
        <w:t>Πηγές:</w:t>
      </w:r>
      <w:r>
        <w:rPr>
          <w:rFonts w:ascii="Arial Narrow" w:hAnsi="Arial Narrow"/>
          <w:sz w:val="16"/>
          <w:szCs w:val="16"/>
        </w:rPr>
        <w:tab/>
        <w:t xml:space="preserve">Για την Ελλάδα: δημοσιονομικά στοιχεία Ελληνικής Στατιστικής Αρχής για την περίοδο </w:t>
      </w:r>
      <w:r w:rsidR="00B80856" w:rsidRPr="00B80856">
        <w:rPr>
          <w:rFonts w:ascii="Arial Narrow" w:hAnsi="Arial Narrow"/>
          <w:sz w:val="16"/>
          <w:szCs w:val="16"/>
        </w:rPr>
        <w:t>20</w:t>
      </w:r>
      <w:r w:rsidR="002C0B9F">
        <w:rPr>
          <w:rFonts w:ascii="Arial Narrow" w:hAnsi="Arial Narrow"/>
          <w:sz w:val="16"/>
          <w:szCs w:val="16"/>
        </w:rPr>
        <w:t>1</w:t>
      </w:r>
      <w:r w:rsidR="00B80856" w:rsidRPr="00B80856">
        <w:rPr>
          <w:rFonts w:ascii="Arial Narrow" w:hAnsi="Arial Narrow"/>
          <w:sz w:val="16"/>
          <w:szCs w:val="16"/>
        </w:rPr>
        <w:t>6</w:t>
      </w:r>
      <w:r w:rsidR="00B91170">
        <w:rPr>
          <w:rFonts w:ascii="Arial Narrow" w:hAnsi="Arial Narrow"/>
          <w:sz w:val="16"/>
          <w:szCs w:val="16"/>
        </w:rPr>
        <w:t>-20</w:t>
      </w:r>
      <w:r w:rsidR="00B91170" w:rsidRPr="00563FAE">
        <w:rPr>
          <w:rFonts w:ascii="Arial Narrow" w:hAnsi="Arial Narrow"/>
          <w:sz w:val="16"/>
          <w:szCs w:val="16"/>
        </w:rPr>
        <w:t>1</w:t>
      </w:r>
      <w:r w:rsidR="00B80856" w:rsidRPr="00B80856">
        <w:rPr>
          <w:rFonts w:ascii="Arial Narrow" w:hAnsi="Arial Narrow"/>
          <w:sz w:val="16"/>
          <w:szCs w:val="16"/>
        </w:rPr>
        <w:t>9 (</w:t>
      </w:r>
      <w:r w:rsidR="00B80856">
        <w:rPr>
          <w:rFonts w:ascii="Arial Narrow" w:hAnsi="Arial Narrow"/>
          <w:sz w:val="16"/>
          <w:szCs w:val="16"/>
        </w:rPr>
        <w:t>δεύτερη κοινοποίηση 2019, Οκτώβριος 2020), προβλέψεις του Γενικού Λογιστηρίου του Κράτους για τα έτη 2020-2021 (</w:t>
      </w:r>
      <w:r w:rsidR="00B80856">
        <w:rPr>
          <w:rFonts w:ascii="Arial Narrow" w:hAnsi="Arial Narrow"/>
          <w:sz w:val="16"/>
          <w:szCs w:val="16"/>
          <w:lang w:val="en-US"/>
        </w:rPr>
        <w:t>Draft</w:t>
      </w:r>
      <w:r w:rsidR="00B80856" w:rsidRPr="00B80856">
        <w:rPr>
          <w:rFonts w:ascii="Arial Narrow" w:hAnsi="Arial Narrow"/>
          <w:sz w:val="16"/>
          <w:szCs w:val="16"/>
        </w:rPr>
        <w:t xml:space="preserve"> </w:t>
      </w:r>
      <w:r w:rsidR="00B80856">
        <w:rPr>
          <w:rFonts w:ascii="Arial Narrow" w:hAnsi="Arial Narrow"/>
          <w:sz w:val="16"/>
          <w:szCs w:val="16"/>
          <w:lang w:val="en-US"/>
        </w:rPr>
        <w:t>Budgetary</w:t>
      </w:r>
      <w:r w:rsidR="00B80856" w:rsidRPr="00B80856">
        <w:rPr>
          <w:rFonts w:ascii="Arial Narrow" w:hAnsi="Arial Narrow"/>
          <w:sz w:val="16"/>
          <w:szCs w:val="16"/>
        </w:rPr>
        <w:t xml:space="preserve"> </w:t>
      </w:r>
      <w:r w:rsidR="00B80856">
        <w:rPr>
          <w:rFonts w:ascii="Arial Narrow" w:hAnsi="Arial Narrow"/>
          <w:sz w:val="16"/>
          <w:szCs w:val="16"/>
          <w:lang w:val="en-US"/>
        </w:rPr>
        <w:t>Plan</w:t>
      </w:r>
      <w:r w:rsidR="00B80856" w:rsidRPr="00B80856">
        <w:rPr>
          <w:rFonts w:ascii="Arial Narrow" w:hAnsi="Arial Narrow"/>
          <w:sz w:val="16"/>
          <w:szCs w:val="16"/>
        </w:rPr>
        <w:t xml:space="preserve"> 2021).</w:t>
      </w:r>
    </w:p>
    <w:p w:rsidR="00B80856" w:rsidRPr="00D64DC2" w:rsidRDefault="00B80856" w:rsidP="00B80856">
      <w:pPr>
        <w:spacing w:before="100" w:beforeAutospacing="1" w:after="100" w:afterAutospacing="1"/>
        <w:ind w:left="1560" w:right="1416"/>
        <w:contextualSpacing/>
        <w:jc w:val="both"/>
        <w:rPr>
          <w:rFonts w:ascii="Arial Narrow" w:hAnsi="Arial Narrow"/>
          <w:sz w:val="16"/>
          <w:szCs w:val="16"/>
        </w:rPr>
      </w:pPr>
      <w:r>
        <w:rPr>
          <w:rFonts w:ascii="Arial Narrow" w:hAnsi="Arial Narrow"/>
          <w:sz w:val="16"/>
          <w:szCs w:val="16"/>
        </w:rPr>
        <w:t xml:space="preserve">Για τα κράτη-μέλη Ευρωζώνης, δημοσιονομικά στοιχεία </w:t>
      </w:r>
      <w:r>
        <w:rPr>
          <w:rFonts w:ascii="Arial Narrow" w:hAnsi="Arial Narrow"/>
          <w:sz w:val="16"/>
          <w:szCs w:val="16"/>
          <w:lang w:val="en-US"/>
        </w:rPr>
        <w:t>Eurostat</w:t>
      </w:r>
      <w:r w:rsidRPr="00B80856">
        <w:rPr>
          <w:rFonts w:ascii="Arial Narrow" w:hAnsi="Arial Narrow"/>
          <w:sz w:val="16"/>
          <w:szCs w:val="16"/>
        </w:rPr>
        <w:t xml:space="preserve"> </w:t>
      </w:r>
      <w:r>
        <w:rPr>
          <w:rFonts w:ascii="Arial Narrow" w:hAnsi="Arial Narrow"/>
          <w:sz w:val="16"/>
          <w:szCs w:val="16"/>
        </w:rPr>
        <w:t xml:space="preserve">για την περίοδο 2006-2019, εαρινές εκτιμήσεις της </w:t>
      </w:r>
      <w:r>
        <w:rPr>
          <w:rFonts w:ascii="Arial Narrow" w:hAnsi="Arial Narrow"/>
          <w:sz w:val="16"/>
          <w:szCs w:val="16"/>
          <w:lang w:val="en-US"/>
        </w:rPr>
        <w:t>EC</w:t>
      </w:r>
      <w:r w:rsidRPr="00B80856">
        <w:rPr>
          <w:rFonts w:ascii="Arial Narrow" w:hAnsi="Arial Narrow"/>
          <w:sz w:val="16"/>
          <w:szCs w:val="16"/>
        </w:rPr>
        <w:t>/</w:t>
      </w:r>
      <w:r>
        <w:rPr>
          <w:rFonts w:ascii="Arial Narrow" w:hAnsi="Arial Narrow"/>
          <w:sz w:val="16"/>
          <w:szCs w:val="16"/>
          <w:lang w:val="en-US"/>
        </w:rPr>
        <w:t>DG</w:t>
      </w:r>
      <w:r w:rsidRPr="00B80856">
        <w:rPr>
          <w:rFonts w:ascii="Arial Narrow" w:hAnsi="Arial Narrow"/>
          <w:sz w:val="16"/>
          <w:szCs w:val="16"/>
        </w:rPr>
        <w:t xml:space="preserve"> </w:t>
      </w:r>
      <w:r>
        <w:rPr>
          <w:rFonts w:ascii="Arial Narrow" w:hAnsi="Arial Narrow"/>
          <w:sz w:val="16"/>
          <w:szCs w:val="16"/>
          <w:lang w:val="en-US"/>
        </w:rPr>
        <w:t>ECFIN</w:t>
      </w:r>
      <w:r w:rsidRPr="00B80856">
        <w:rPr>
          <w:rFonts w:ascii="Arial Narrow" w:hAnsi="Arial Narrow"/>
          <w:sz w:val="16"/>
          <w:szCs w:val="16"/>
        </w:rPr>
        <w:t xml:space="preserve"> </w:t>
      </w:r>
      <w:r>
        <w:rPr>
          <w:rFonts w:ascii="Arial Narrow" w:hAnsi="Arial Narrow"/>
          <w:sz w:val="16"/>
          <w:szCs w:val="16"/>
        </w:rPr>
        <w:t>για τα έτη 2020-2021 (</w:t>
      </w:r>
      <w:r>
        <w:rPr>
          <w:rFonts w:ascii="Arial Narrow" w:hAnsi="Arial Narrow"/>
          <w:sz w:val="16"/>
          <w:szCs w:val="16"/>
          <w:lang w:val="en-US"/>
        </w:rPr>
        <w:t>Statistical</w:t>
      </w:r>
      <w:r w:rsidRPr="00B80856">
        <w:rPr>
          <w:rFonts w:ascii="Arial Narrow" w:hAnsi="Arial Narrow"/>
          <w:sz w:val="16"/>
          <w:szCs w:val="16"/>
        </w:rPr>
        <w:t xml:space="preserve"> </w:t>
      </w:r>
      <w:r>
        <w:rPr>
          <w:rFonts w:ascii="Arial Narrow" w:hAnsi="Arial Narrow"/>
          <w:sz w:val="16"/>
          <w:szCs w:val="16"/>
          <w:lang w:val="en-US"/>
        </w:rPr>
        <w:t>Annex</w:t>
      </w:r>
      <w:r w:rsidRPr="00B80856">
        <w:rPr>
          <w:rFonts w:ascii="Arial Narrow" w:hAnsi="Arial Narrow"/>
          <w:sz w:val="16"/>
          <w:szCs w:val="16"/>
        </w:rPr>
        <w:t xml:space="preserve"> </w:t>
      </w:r>
      <w:r>
        <w:rPr>
          <w:rFonts w:ascii="Arial Narrow" w:hAnsi="Arial Narrow"/>
          <w:sz w:val="16"/>
          <w:szCs w:val="16"/>
          <w:lang w:val="en-US"/>
        </w:rPr>
        <w:t>of</w:t>
      </w:r>
      <w:r w:rsidRPr="00B80856">
        <w:rPr>
          <w:rFonts w:ascii="Arial Narrow" w:hAnsi="Arial Narrow"/>
          <w:sz w:val="16"/>
          <w:szCs w:val="16"/>
        </w:rPr>
        <w:t xml:space="preserve"> </w:t>
      </w:r>
      <w:r>
        <w:rPr>
          <w:rFonts w:ascii="Arial Narrow" w:hAnsi="Arial Narrow"/>
          <w:sz w:val="16"/>
          <w:szCs w:val="16"/>
          <w:lang w:val="en-US"/>
        </w:rPr>
        <w:t>European</w:t>
      </w:r>
      <w:r w:rsidRPr="00B80856">
        <w:rPr>
          <w:rFonts w:ascii="Arial Narrow" w:hAnsi="Arial Narrow"/>
          <w:sz w:val="16"/>
          <w:szCs w:val="16"/>
        </w:rPr>
        <w:t xml:space="preserve"> </w:t>
      </w:r>
      <w:r>
        <w:rPr>
          <w:rFonts w:ascii="Arial Narrow" w:hAnsi="Arial Narrow"/>
          <w:sz w:val="16"/>
          <w:szCs w:val="16"/>
          <w:lang w:val="en-US"/>
        </w:rPr>
        <w:t>Economy</w:t>
      </w:r>
      <w:r w:rsidRPr="00B80856">
        <w:rPr>
          <w:rFonts w:ascii="Arial Narrow" w:hAnsi="Arial Narrow"/>
          <w:sz w:val="16"/>
          <w:szCs w:val="16"/>
        </w:rPr>
        <w:t xml:space="preserve"> </w:t>
      </w:r>
      <w:r>
        <w:rPr>
          <w:rFonts w:ascii="Arial Narrow" w:hAnsi="Arial Narrow"/>
          <w:sz w:val="16"/>
          <w:szCs w:val="16"/>
          <w:lang w:val="en-US"/>
        </w:rPr>
        <w:t>Spring</w:t>
      </w:r>
      <w:r w:rsidRPr="00B80856">
        <w:rPr>
          <w:rFonts w:ascii="Arial Narrow" w:hAnsi="Arial Narrow"/>
          <w:sz w:val="16"/>
          <w:szCs w:val="16"/>
        </w:rPr>
        <w:t xml:space="preserve"> 2020).</w:t>
      </w:r>
    </w:p>
    <w:p w:rsidR="0067353E" w:rsidRDefault="0067353E" w:rsidP="0067353E">
      <w:pPr>
        <w:spacing w:before="100" w:beforeAutospacing="1" w:after="100" w:afterAutospacing="1"/>
        <w:ind w:right="1416"/>
        <w:contextualSpacing/>
        <w:jc w:val="both"/>
        <w:rPr>
          <w:rFonts w:ascii="Arial Narrow" w:hAnsi="Arial Narrow"/>
          <w:sz w:val="16"/>
          <w:szCs w:val="16"/>
        </w:rPr>
      </w:pPr>
    </w:p>
    <w:p w:rsidR="003438DA" w:rsidRDefault="003438DA" w:rsidP="0067353E">
      <w:pPr>
        <w:spacing w:before="100" w:beforeAutospacing="1" w:after="100" w:afterAutospacing="1"/>
        <w:ind w:right="1416"/>
        <w:contextualSpacing/>
        <w:jc w:val="both"/>
        <w:rPr>
          <w:rFonts w:ascii="Arial Narrow" w:hAnsi="Arial Narrow"/>
          <w:sz w:val="16"/>
          <w:szCs w:val="16"/>
        </w:rPr>
      </w:pPr>
    </w:p>
    <w:p w:rsidR="003438DA" w:rsidRPr="00D64DC2" w:rsidRDefault="003438DA" w:rsidP="0067353E">
      <w:pPr>
        <w:spacing w:before="100" w:beforeAutospacing="1" w:after="100" w:afterAutospacing="1"/>
        <w:ind w:right="1416"/>
        <w:contextualSpacing/>
        <w:jc w:val="both"/>
        <w:rPr>
          <w:rFonts w:ascii="Arial Narrow" w:hAnsi="Arial Narrow"/>
          <w:sz w:val="16"/>
          <w:szCs w:val="16"/>
        </w:rPr>
      </w:pPr>
    </w:p>
    <w:p w:rsidR="00607904" w:rsidRPr="007E6F6B" w:rsidRDefault="00607904" w:rsidP="00037C95">
      <w:pPr>
        <w:tabs>
          <w:tab w:val="left" w:pos="709"/>
        </w:tabs>
        <w:spacing w:line="235" w:lineRule="auto"/>
        <w:jc w:val="both"/>
        <w:rPr>
          <w:b/>
          <w:bCs/>
          <w:i/>
          <w:iCs/>
          <w:sz w:val="22"/>
          <w:szCs w:val="22"/>
        </w:rPr>
      </w:pPr>
      <w:r w:rsidRPr="007E6F6B">
        <w:rPr>
          <w:b/>
          <w:bCs/>
          <w:i/>
          <w:iCs/>
          <w:sz w:val="22"/>
          <w:szCs w:val="22"/>
        </w:rPr>
        <w:t>Συγχρηματοδοτούμενα προγράμματα ΠΔΕ</w:t>
      </w:r>
    </w:p>
    <w:p w:rsidR="0067353E" w:rsidRPr="00D64DC2" w:rsidRDefault="0067353E" w:rsidP="00853402">
      <w:pPr>
        <w:spacing w:before="100" w:beforeAutospacing="1" w:after="100" w:afterAutospacing="1"/>
        <w:ind w:right="-1"/>
        <w:contextualSpacing/>
        <w:jc w:val="both"/>
        <w:rPr>
          <w:rFonts w:ascii="Arial Narrow" w:hAnsi="Arial Narrow"/>
          <w:sz w:val="16"/>
          <w:szCs w:val="16"/>
        </w:rPr>
      </w:pPr>
    </w:p>
    <w:p w:rsidR="00853402" w:rsidRPr="00703E80" w:rsidRDefault="00853402" w:rsidP="00853402">
      <w:pPr>
        <w:tabs>
          <w:tab w:val="left" w:pos="180"/>
        </w:tabs>
        <w:jc w:val="both"/>
        <w:rPr>
          <w:sz w:val="22"/>
          <w:szCs w:val="22"/>
        </w:rPr>
      </w:pPr>
      <w:r w:rsidRPr="00703E80">
        <w:rPr>
          <w:sz w:val="22"/>
          <w:szCs w:val="22"/>
        </w:rPr>
        <w:t>Κύρια πηγή εσόδων για τη χρηματοδότηση των έργων του ΠΔΕ αποτελούν οι εισροές από την ΕΕ. Η παρούσα κατάσταση του συγχρηματοδοτούμενου σκέλους του ΠΔΕ περιγράφεται κατωτέρω:</w:t>
      </w:r>
    </w:p>
    <w:p w:rsidR="00853402" w:rsidRPr="00D64DC2" w:rsidRDefault="00853402" w:rsidP="00853402">
      <w:pPr>
        <w:tabs>
          <w:tab w:val="left" w:pos="180"/>
        </w:tabs>
        <w:jc w:val="both"/>
        <w:rPr>
          <w:sz w:val="22"/>
          <w:szCs w:val="22"/>
        </w:rPr>
      </w:pPr>
    </w:p>
    <w:p w:rsidR="00853402" w:rsidRPr="00037C95" w:rsidRDefault="00853402" w:rsidP="00037C95">
      <w:pPr>
        <w:tabs>
          <w:tab w:val="left" w:pos="709"/>
        </w:tabs>
        <w:spacing w:line="235" w:lineRule="auto"/>
        <w:jc w:val="both"/>
        <w:rPr>
          <w:b/>
          <w:bCs/>
          <w:i/>
          <w:iCs/>
          <w:sz w:val="22"/>
          <w:szCs w:val="22"/>
        </w:rPr>
      </w:pPr>
      <w:r w:rsidRPr="00037C95">
        <w:rPr>
          <w:b/>
          <w:bCs/>
          <w:i/>
          <w:iCs/>
          <w:sz w:val="22"/>
          <w:szCs w:val="22"/>
        </w:rPr>
        <w:t>Έργα ΕΣΠΑ Προγραμματικής Περιόδου 2014-2020</w:t>
      </w:r>
    </w:p>
    <w:p w:rsidR="00853402" w:rsidRDefault="00853402" w:rsidP="00853402">
      <w:pPr>
        <w:tabs>
          <w:tab w:val="left" w:pos="0"/>
        </w:tabs>
        <w:ind w:hanging="180"/>
        <w:jc w:val="both"/>
        <w:rPr>
          <w:sz w:val="22"/>
          <w:szCs w:val="22"/>
        </w:rPr>
      </w:pPr>
      <w:r w:rsidRPr="00703E80">
        <w:rPr>
          <w:sz w:val="22"/>
          <w:szCs w:val="22"/>
        </w:rPr>
        <w:tab/>
      </w:r>
    </w:p>
    <w:p w:rsidR="00037C95" w:rsidRPr="00037C95" w:rsidRDefault="00037C95" w:rsidP="00037C95">
      <w:pPr>
        <w:tabs>
          <w:tab w:val="left" w:pos="709"/>
        </w:tabs>
        <w:spacing w:line="235" w:lineRule="auto"/>
        <w:jc w:val="both"/>
        <w:rPr>
          <w:b/>
          <w:bCs/>
          <w:i/>
          <w:iCs/>
          <w:sz w:val="22"/>
          <w:szCs w:val="22"/>
        </w:rPr>
      </w:pPr>
      <w:r w:rsidRPr="00037C95">
        <w:rPr>
          <w:b/>
          <w:bCs/>
          <w:i/>
          <w:iCs/>
          <w:sz w:val="22"/>
          <w:szCs w:val="22"/>
        </w:rPr>
        <w:t>Γενικά</w:t>
      </w:r>
    </w:p>
    <w:p w:rsidR="00037C95" w:rsidRPr="00D64DC2" w:rsidRDefault="00037C95" w:rsidP="00037C95">
      <w:pPr>
        <w:tabs>
          <w:tab w:val="left" w:pos="0"/>
        </w:tabs>
        <w:jc w:val="both"/>
        <w:rPr>
          <w:sz w:val="22"/>
          <w:szCs w:val="22"/>
        </w:rPr>
      </w:pPr>
    </w:p>
    <w:p w:rsidR="00853402" w:rsidRPr="00703E80" w:rsidRDefault="00853402" w:rsidP="00613718">
      <w:pPr>
        <w:tabs>
          <w:tab w:val="left" w:pos="0"/>
        </w:tabs>
        <w:jc w:val="both"/>
        <w:rPr>
          <w:sz w:val="22"/>
          <w:szCs w:val="22"/>
        </w:rPr>
      </w:pPr>
      <w:r w:rsidRPr="00703E80">
        <w:rPr>
          <w:sz w:val="22"/>
          <w:szCs w:val="22"/>
        </w:rPr>
        <w:t>Η χρηματοδότηση από τα Ευρωπαϊκά Διαρθρωτικά και Επενδυτικά Ταμεία (ΕΔΕΤ), για την περίοδο 2014-2020 ανέρχεται σε 21 δισ. ευρώ. Το σημαντικότερο τμήμα των πόρων αυτών, που εκτιμάται ότι μαζί με την εθνική συμμετοχή θα φθάσουν στο ποσό των 27 δισ. ευρώ</w:t>
      </w:r>
      <w:r w:rsidR="00D65C89">
        <w:rPr>
          <w:sz w:val="22"/>
          <w:szCs w:val="22"/>
        </w:rPr>
        <w:t>,</w:t>
      </w:r>
      <w:r w:rsidRPr="00703E80">
        <w:rPr>
          <w:sz w:val="22"/>
          <w:szCs w:val="22"/>
        </w:rPr>
        <w:t xml:space="preserve"> αναμένεται να απορροφηθεί κατά την εκτέλεση του ΠΔΕ έως το τέλος</w:t>
      </w:r>
      <w:r w:rsidR="002F5926">
        <w:rPr>
          <w:sz w:val="22"/>
          <w:szCs w:val="22"/>
        </w:rPr>
        <w:t xml:space="preserve"> του</w:t>
      </w:r>
      <w:r w:rsidRPr="00703E80">
        <w:rPr>
          <w:sz w:val="22"/>
          <w:szCs w:val="22"/>
        </w:rPr>
        <w:t xml:space="preserve"> 2021.</w:t>
      </w:r>
    </w:p>
    <w:p w:rsidR="00853402" w:rsidRPr="00D64DC2" w:rsidRDefault="00853402" w:rsidP="00853402">
      <w:pPr>
        <w:jc w:val="both"/>
        <w:rPr>
          <w:sz w:val="22"/>
          <w:szCs w:val="22"/>
        </w:rPr>
      </w:pPr>
    </w:p>
    <w:p w:rsidR="00853402" w:rsidRPr="00703E80" w:rsidRDefault="00853402" w:rsidP="00853402">
      <w:pPr>
        <w:jc w:val="both"/>
        <w:rPr>
          <w:sz w:val="22"/>
          <w:szCs w:val="22"/>
        </w:rPr>
      </w:pPr>
      <w:r w:rsidRPr="00703E80">
        <w:rPr>
          <w:sz w:val="22"/>
          <w:szCs w:val="22"/>
        </w:rPr>
        <w:t>Μετά την εξέταση των επιδόσεων των Επιχειρησιακών Προγραμμάτων (ΕΠ) του ΕΣΠΑ από την ΕΕ</w:t>
      </w:r>
      <w:r w:rsidR="00D65C89">
        <w:rPr>
          <w:sz w:val="22"/>
          <w:szCs w:val="22"/>
        </w:rPr>
        <w:t>,</w:t>
      </w:r>
      <w:r w:rsidRPr="00703E80">
        <w:rPr>
          <w:sz w:val="22"/>
          <w:szCs w:val="22"/>
        </w:rPr>
        <w:t xml:space="preserve"> βάσει των Ετήσιων Εκθέσεων Υλοποίησης των ΕΠ έτους 2018, πραγματοποιήθηκε τον Ιανουάριο του 2020 η επόμενη αναθεώρηση των ΕΠ με στόχο την κατανομή του Απ</w:t>
      </w:r>
      <w:r>
        <w:rPr>
          <w:sz w:val="22"/>
          <w:szCs w:val="22"/>
        </w:rPr>
        <w:t>οθεματικού Επίδοσης, ύψους 1 δισ</w:t>
      </w:r>
      <w:r w:rsidRPr="00703E80">
        <w:rPr>
          <w:sz w:val="22"/>
          <w:szCs w:val="22"/>
        </w:rPr>
        <w:t>. ευρώ περίπου</w:t>
      </w:r>
      <w:r w:rsidR="00D65C89">
        <w:rPr>
          <w:sz w:val="22"/>
          <w:szCs w:val="22"/>
        </w:rPr>
        <w:t>,</w:t>
      </w:r>
      <w:r w:rsidRPr="00703E80">
        <w:rPr>
          <w:sz w:val="22"/>
          <w:szCs w:val="22"/>
        </w:rPr>
        <w:t xml:space="preserve"> σε όρους Κοινοτικής Συμμετοχής (ΚΣ). </w:t>
      </w:r>
    </w:p>
    <w:p w:rsidR="00853402" w:rsidRPr="00853402" w:rsidRDefault="00853402" w:rsidP="00853402">
      <w:pPr>
        <w:jc w:val="both"/>
        <w:rPr>
          <w:sz w:val="22"/>
          <w:szCs w:val="22"/>
        </w:rPr>
      </w:pPr>
    </w:p>
    <w:p w:rsidR="00853402" w:rsidRPr="00703E80" w:rsidRDefault="00853402" w:rsidP="00853402">
      <w:pPr>
        <w:jc w:val="both"/>
        <w:rPr>
          <w:sz w:val="22"/>
          <w:szCs w:val="22"/>
        </w:rPr>
      </w:pPr>
      <w:r w:rsidRPr="00703E80">
        <w:rPr>
          <w:sz w:val="22"/>
          <w:szCs w:val="22"/>
        </w:rPr>
        <w:t>Στη συνέχεια, λόγω νέων δεδομένων που δημιούργησε η πανδημία, έλαβε χώρα νέα αναθεώρηση των ΕΠ τον Ιούνιο 2020. Στην παρούσα χρονική περίοδο, βρίσκεται ήδη σε εξέλιξη 2</w:t>
      </w:r>
      <w:r w:rsidRPr="00703E80">
        <w:rPr>
          <w:sz w:val="22"/>
          <w:szCs w:val="22"/>
          <w:vertAlign w:val="superscript"/>
        </w:rPr>
        <w:t>η</w:t>
      </w:r>
      <w:r w:rsidRPr="00703E80">
        <w:rPr>
          <w:sz w:val="22"/>
          <w:szCs w:val="22"/>
        </w:rPr>
        <w:t xml:space="preserve"> αναθεώρηση, η </w:t>
      </w:r>
      <w:r w:rsidRPr="00703E80">
        <w:rPr>
          <w:sz w:val="22"/>
          <w:szCs w:val="22"/>
        </w:rPr>
        <w:t>ο</w:t>
      </w:r>
      <w:r w:rsidRPr="00703E80">
        <w:rPr>
          <w:sz w:val="22"/>
          <w:szCs w:val="22"/>
        </w:rPr>
        <w:t>ποία αφορά συγκεκριμένα τομεακά Προγράμματα και αναμένεται να εγκριθεί έως το τέλος του έτους. Σε αυτήν την αναθεώρηση προβλέπεται η μεταφορά πόρων ύψους 185,7 εκατ. ευρώ σε όρους ΚΣ στο Πρόγραμμα Ανταγωνιστικότητα, Επιχειρηματικότητα, Καινοτομία (ΕΠΑΝΕΚ) από τα Προγράμματα Υποδομές Μεταφορών, Περιβάλλον και Αειφόρος Ανάπτυξη και Μεταρρύθμιση Δημοσίου Τομέα</w:t>
      </w:r>
      <w:r w:rsidR="00D65C89">
        <w:rPr>
          <w:sz w:val="22"/>
          <w:szCs w:val="22"/>
        </w:rPr>
        <w:t>,</w:t>
      </w:r>
      <w:r w:rsidRPr="00703E80">
        <w:rPr>
          <w:sz w:val="22"/>
          <w:szCs w:val="22"/>
        </w:rPr>
        <w:t xml:space="preserve"> </w:t>
      </w:r>
      <w:r w:rsidRPr="00703E80">
        <w:rPr>
          <w:sz w:val="22"/>
          <w:szCs w:val="22"/>
        </w:rPr>
        <w:lastRenderedPageBreak/>
        <w:t>για την κάλυψη άμεσων αναγκών της πανδημίας. Επιπλέον, δρομολογείται η χρήση της δυνατότητας συγχρηματοδότησης σε ποσοστό 100% αξόνων προτεραιότητας του ΕΠΑΝΕΚ.</w:t>
      </w:r>
    </w:p>
    <w:p w:rsidR="00853402" w:rsidRDefault="00853402" w:rsidP="00853402">
      <w:pPr>
        <w:jc w:val="both"/>
        <w:rPr>
          <w:sz w:val="22"/>
          <w:szCs w:val="22"/>
        </w:rPr>
      </w:pPr>
    </w:p>
    <w:p w:rsidR="00853402" w:rsidRDefault="00853402" w:rsidP="00853402">
      <w:pPr>
        <w:jc w:val="both"/>
        <w:rPr>
          <w:sz w:val="22"/>
          <w:szCs w:val="22"/>
        </w:rPr>
      </w:pPr>
      <w:r w:rsidRPr="00703E80">
        <w:rPr>
          <w:sz w:val="22"/>
          <w:szCs w:val="22"/>
        </w:rPr>
        <w:t>Για την άμεση και αποτελεσματική αντιμετώπιση της κρίσης της πανδημίας προωθήθηκαν μέσω των ΕΠ του ΕΣΠΑ 2014-2020 πόροι για ένα μεγάλο πλέγμα δράσεων υγειονομικής και κοινωνικοοικον</w:t>
      </w:r>
      <w:r w:rsidRPr="00703E80">
        <w:rPr>
          <w:sz w:val="22"/>
          <w:szCs w:val="22"/>
        </w:rPr>
        <w:t>ο</w:t>
      </w:r>
      <w:r w:rsidRPr="00703E80">
        <w:rPr>
          <w:sz w:val="22"/>
          <w:szCs w:val="22"/>
        </w:rPr>
        <w:t xml:space="preserve">μικής στόχευσης, με κυριότερες: </w:t>
      </w:r>
    </w:p>
    <w:p w:rsidR="00853402" w:rsidRPr="00703E80" w:rsidRDefault="00853402" w:rsidP="00853402">
      <w:pPr>
        <w:jc w:val="both"/>
        <w:rPr>
          <w:sz w:val="22"/>
          <w:szCs w:val="22"/>
        </w:rPr>
      </w:pPr>
    </w:p>
    <w:p w:rsidR="00853402" w:rsidRPr="00853402" w:rsidRDefault="00D65C89" w:rsidP="00853402">
      <w:pPr>
        <w:pStyle w:val="af2"/>
        <w:numPr>
          <w:ilvl w:val="0"/>
          <w:numId w:val="26"/>
        </w:numPr>
        <w:spacing w:after="0" w:line="240" w:lineRule="auto"/>
        <w:ind w:left="284" w:hanging="284"/>
        <w:contextualSpacing w:val="0"/>
        <w:jc w:val="both"/>
        <w:rPr>
          <w:rFonts w:ascii="Times New Roman" w:eastAsia="Times New Roman" w:hAnsi="Times New Roman"/>
          <w:lang w:eastAsia="el-GR"/>
        </w:rPr>
      </w:pPr>
      <w:r>
        <w:rPr>
          <w:rFonts w:ascii="Times New Roman" w:eastAsia="Times New Roman" w:hAnsi="Times New Roman"/>
          <w:lang w:eastAsia="el-GR"/>
        </w:rPr>
        <w:t xml:space="preserve">δέσμη </w:t>
      </w:r>
      <w:r w:rsidR="00853402" w:rsidRPr="00853402">
        <w:rPr>
          <w:rFonts w:ascii="Times New Roman" w:eastAsia="Times New Roman" w:hAnsi="Times New Roman"/>
          <w:lang w:eastAsia="el-GR"/>
        </w:rPr>
        <w:t>δράσεων Κρατικών Ενισχύσεων</w:t>
      </w:r>
      <w:r w:rsidR="0028015E">
        <w:rPr>
          <w:rFonts w:ascii="Times New Roman" w:eastAsia="Times New Roman" w:hAnsi="Times New Roman"/>
          <w:lang w:eastAsia="el-GR"/>
        </w:rPr>
        <w:t xml:space="preserve"> που </w:t>
      </w:r>
      <w:r w:rsidR="00853402" w:rsidRPr="00853402">
        <w:rPr>
          <w:rFonts w:ascii="Times New Roman" w:eastAsia="Times New Roman" w:hAnsi="Times New Roman"/>
          <w:lang w:eastAsia="el-GR"/>
        </w:rPr>
        <w:t>αφορά στην παροχή εγγυήσεων, στην επιδότηση επ</w:t>
      </w:r>
      <w:r w:rsidR="00853402" w:rsidRPr="00853402">
        <w:rPr>
          <w:rFonts w:ascii="Times New Roman" w:eastAsia="Times New Roman" w:hAnsi="Times New Roman"/>
          <w:lang w:eastAsia="el-GR"/>
        </w:rPr>
        <w:t>ι</w:t>
      </w:r>
      <w:r w:rsidR="00853402" w:rsidRPr="00853402">
        <w:rPr>
          <w:rFonts w:ascii="Times New Roman" w:eastAsia="Times New Roman" w:hAnsi="Times New Roman"/>
          <w:lang w:eastAsia="el-GR"/>
        </w:rPr>
        <w:t xml:space="preserve">τοκίου, σε επιστρεπτέα προκαταβολή σε </w:t>
      </w:r>
      <w:r w:rsidR="00BE2F99">
        <w:rPr>
          <w:rFonts w:ascii="Times New Roman" w:eastAsia="Times New Roman" w:hAnsi="Times New Roman"/>
          <w:lang w:eastAsia="el-GR"/>
        </w:rPr>
        <w:t>κλάδους</w:t>
      </w:r>
      <w:r w:rsidR="00BE2F99" w:rsidRPr="00853402">
        <w:rPr>
          <w:rFonts w:ascii="Times New Roman" w:eastAsia="Times New Roman" w:hAnsi="Times New Roman"/>
          <w:lang w:eastAsia="el-GR"/>
        </w:rPr>
        <w:t xml:space="preserve"> </w:t>
      </w:r>
      <w:r w:rsidR="00853402" w:rsidRPr="00853402">
        <w:rPr>
          <w:rFonts w:ascii="Times New Roman" w:eastAsia="Times New Roman" w:hAnsi="Times New Roman"/>
          <w:lang w:eastAsia="el-GR"/>
        </w:rPr>
        <w:t>που επλήγησαν από την οικονομική κρίση και σε ενίσχυση του κεφαλαίου κίνησης σε ΜΜΕ</w:t>
      </w:r>
      <w:r w:rsidR="00853402">
        <w:rPr>
          <w:rFonts w:ascii="Times New Roman" w:eastAsia="Times New Roman" w:hAnsi="Times New Roman"/>
          <w:lang w:eastAsia="el-GR"/>
        </w:rPr>
        <w:t xml:space="preserve"> που επλήγησαν από την πανδημία,</w:t>
      </w:r>
    </w:p>
    <w:p w:rsidR="00853402" w:rsidRPr="00853402" w:rsidRDefault="00853402" w:rsidP="00853402">
      <w:pPr>
        <w:pStyle w:val="af2"/>
        <w:numPr>
          <w:ilvl w:val="0"/>
          <w:numId w:val="26"/>
        </w:numPr>
        <w:spacing w:after="0" w:line="240" w:lineRule="auto"/>
        <w:ind w:left="284" w:hanging="284"/>
        <w:contextualSpacing w:val="0"/>
        <w:jc w:val="both"/>
        <w:rPr>
          <w:rFonts w:ascii="Times New Roman" w:eastAsia="Times New Roman" w:hAnsi="Times New Roman"/>
          <w:lang w:eastAsia="el-GR"/>
        </w:rPr>
      </w:pPr>
      <w:r>
        <w:rPr>
          <w:rFonts w:ascii="Times New Roman" w:eastAsia="Times New Roman" w:hAnsi="Times New Roman"/>
          <w:lang w:eastAsia="el-GR"/>
        </w:rPr>
        <w:t>π</w:t>
      </w:r>
      <w:r w:rsidRPr="00853402">
        <w:rPr>
          <w:rFonts w:ascii="Times New Roman" w:eastAsia="Times New Roman" w:hAnsi="Times New Roman"/>
          <w:lang w:eastAsia="el-GR"/>
        </w:rPr>
        <w:t xml:space="preserve">ρομήθειες αναγκαίου υγειονομικού εξοπλισμού και πρόσληψη </w:t>
      </w:r>
      <w:r w:rsidR="0028015E">
        <w:rPr>
          <w:rFonts w:ascii="Times New Roman" w:eastAsia="Times New Roman" w:hAnsi="Times New Roman"/>
          <w:lang w:eastAsia="el-GR"/>
        </w:rPr>
        <w:t xml:space="preserve">ιατρικού και </w:t>
      </w:r>
      <w:r w:rsidRPr="00853402">
        <w:rPr>
          <w:rFonts w:ascii="Times New Roman" w:eastAsia="Times New Roman" w:hAnsi="Times New Roman"/>
          <w:lang w:eastAsia="el-GR"/>
        </w:rPr>
        <w:t>νοσηλευτικού πρ</w:t>
      </w:r>
      <w:r w:rsidRPr="00853402">
        <w:rPr>
          <w:rFonts w:ascii="Times New Roman" w:eastAsia="Times New Roman" w:hAnsi="Times New Roman"/>
          <w:lang w:eastAsia="el-GR"/>
        </w:rPr>
        <w:t>ο</w:t>
      </w:r>
      <w:r w:rsidRPr="00853402">
        <w:rPr>
          <w:rFonts w:ascii="Times New Roman" w:eastAsia="Times New Roman" w:hAnsi="Times New Roman"/>
          <w:lang w:eastAsia="el-GR"/>
        </w:rPr>
        <w:t xml:space="preserve">σωπικού και </w:t>
      </w:r>
      <w:r w:rsidR="0028015E">
        <w:rPr>
          <w:rFonts w:ascii="Times New Roman" w:eastAsia="Times New Roman" w:hAnsi="Times New Roman"/>
          <w:lang w:eastAsia="el-GR"/>
        </w:rPr>
        <w:t>δημιουργία υποδομών υγείας</w:t>
      </w:r>
      <w:r>
        <w:rPr>
          <w:rFonts w:ascii="Times New Roman" w:eastAsia="Times New Roman" w:hAnsi="Times New Roman"/>
          <w:lang w:eastAsia="el-GR"/>
        </w:rPr>
        <w:t>,</w:t>
      </w:r>
    </w:p>
    <w:p w:rsidR="00853402" w:rsidRDefault="00853402" w:rsidP="00853402">
      <w:pPr>
        <w:pStyle w:val="af2"/>
        <w:numPr>
          <w:ilvl w:val="0"/>
          <w:numId w:val="26"/>
        </w:numPr>
        <w:spacing w:after="0" w:line="240" w:lineRule="auto"/>
        <w:ind w:left="284" w:hanging="284"/>
        <w:contextualSpacing w:val="0"/>
        <w:jc w:val="both"/>
        <w:rPr>
          <w:rFonts w:ascii="Times New Roman" w:eastAsia="Times New Roman" w:hAnsi="Times New Roman"/>
          <w:lang w:eastAsia="el-GR"/>
        </w:rPr>
      </w:pPr>
      <w:r>
        <w:rPr>
          <w:rFonts w:ascii="Times New Roman" w:eastAsia="Times New Roman" w:hAnsi="Times New Roman"/>
          <w:lang w:eastAsia="el-GR"/>
        </w:rPr>
        <w:t>δ</w:t>
      </w:r>
      <w:r w:rsidRPr="00853402">
        <w:rPr>
          <w:rFonts w:ascii="Times New Roman" w:eastAsia="Times New Roman" w:hAnsi="Times New Roman"/>
          <w:lang w:eastAsia="el-GR"/>
        </w:rPr>
        <w:t>ράσεις οικονομικής ενίσχυσης αυτοαπασχολούμενων και μικρών εταιρειών μέχρι 20 εργαζόμ</w:t>
      </w:r>
      <w:r w:rsidRPr="00853402">
        <w:rPr>
          <w:rFonts w:ascii="Times New Roman" w:eastAsia="Times New Roman" w:hAnsi="Times New Roman"/>
          <w:lang w:eastAsia="el-GR"/>
        </w:rPr>
        <w:t>ε</w:t>
      </w:r>
      <w:r w:rsidRPr="00853402">
        <w:rPr>
          <w:rFonts w:ascii="Times New Roman" w:eastAsia="Times New Roman" w:hAnsi="Times New Roman"/>
          <w:lang w:eastAsia="el-GR"/>
        </w:rPr>
        <w:t>νων</w:t>
      </w:r>
      <w:r w:rsidR="0028015E">
        <w:rPr>
          <w:rFonts w:ascii="Times New Roman" w:eastAsia="Times New Roman" w:hAnsi="Times New Roman"/>
          <w:lang w:eastAsia="el-GR"/>
        </w:rPr>
        <w:t>,</w:t>
      </w:r>
    </w:p>
    <w:p w:rsidR="0028015E" w:rsidRPr="00853402" w:rsidRDefault="0028015E" w:rsidP="00853402">
      <w:pPr>
        <w:pStyle w:val="af2"/>
        <w:numPr>
          <w:ilvl w:val="0"/>
          <w:numId w:val="26"/>
        </w:numPr>
        <w:spacing w:after="0" w:line="240" w:lineRule="auto"/>
        <w:ind w:left="284" w:hanging="284"/>
        <w:contextualSpacing w:val="0"/>
        <w:jc w:val="both"/>
        <w:rPr>
          <w:rFonts w:ascii="Times New Roman" w:eastAsia="Times New Roman" w:hAnsi="Times New Roman"/>
          <w:lang w:eastAsia="el-GR"/>
        </w:rPr>
      </w:pPr>
      <w:r>
        <w:rPr>
          <w:rFonts w:ascii="Times New Roman" w:eastAsia="Times New Roman" w:hAnsi="Times New Roman"/>
          <w:lang w:eastAsia="el-GR"/>
        </w:rPr>
        <w:t>στήριξη του τομέα παιδείας μέσω προσλήψεων αναπληρωτών εκπαιδευτικών και προμηθειών ε</w:t>
      </w:r>
      <w:r>
        <w:rPr>
          <w:rFonts w:ascii="Times New Roman" w:eastAsia="Times New Roman" w:hAnsi="Times New Roman"/>
          <w:lang w:eastAsia="el-GR"/>
        </w:rPr>
        <w:t>κ</w:t>
      </w:r>
      <w:r>
        <w:rPr>
          <w:rFonts w:ascii="Times New Roman" w:eastAsia="Times New Roman" w:hAnsi="Times New Roman"/>
          <w:lang w:eastAsia="el-GR"/>
        </w:rPr>
        <w:t>παιδευτικού και υγειονομικού εξοπλισμού.</w:t>
      </w:r>
    </w:p>
    <w:p w:rsidR="00853402" w:rsidRPr="00703E80" w:rsidRDefault="00853402" w:rsidP="00853402">
      <w:pPr>
        <w:tabs>
          <w:tab w:val="left" w:pos="180"/>
        </w:tabs>
        <w:ind w:left="180" w:hanging="180"/>
        <w:jc w:val="both"/>
        <w:rPr>
          <w:sz w:val="22"/>
          <w:szCs w:val="22"/>
        </w:rPr>
      </w:pPr>
    </w:p>
    <w:p w:rsidR="00853402" w:rsidRDefault="00853402" w:rsidP="00853402">
      <w:pPr>
        <w:tabs>
          <w:tab w:val="left" w:pos="0"/>
        </w:tabs>
        <w:jc w:val="both"/>
        <w:rPr>
          <w:sz w:val="22"/>
          <w:szCs w:val="22"/>
        </w:rPr>
      </w:pPr>
      <w:r w:rsidRPr="00703E80">
        <w:rPr>
          <w:sz w:val="22"/>
          <w:szCs w:val="22"/>
        </w:rPr>
        <w:t>Με βάση πρόσφατα στοιχεία του Ολοκληρωμένου Πληροφοριακού Συστήματος του ΕΣΠΑ (</w:t>
      </w:r>
      <w:r w:rsidRPr="00703E80">
        <w:rPr>
          <w:bCs/>
          <w:iCs/>
          <w:sz w:val="22"/>
          <w:szCs w:val="22"/>
        </w:rPr>
        <w:t>12/10/2020</w:t>
      </w:r>
      <w:r w:rsidRPr="00703E80">
        <w:rPr>
          <w:sz w:val="22"/>
          <w:szCs w:val="22"/>
        </w:rPr>
        <w:t>), η πορεία υλοποίησης των Επιχειρησιακών Προγραμμάτων (ΕΠ) του ΕΣΠΑ 2014-2020 έχει ως εξής:</w:t>
      </w:r>
    </w:p>
    <w:p w:rsidR="00853402" w:rsidRPr="00703E80" w:rsidRDefault="00853402" w:rsidP="00853402">
      <w:pPr>
        <w:tabs>
          <w:tab w:val="left" w:pos="0"/>
        </w:tabs>
        <w:jc w:val="both"/>
        <w:rPr>
          <w:sz w:val="22"/>
          <w:szCs w:val="22"/>
        </w:rPr>
      </w:pPr>
    </w:p>
    <w:p w:rsidR="00853402" w:rsidRPr="005E0E2E" w:rsidRDefault="00853402" w:rsidP="005E0E2E">
      <w:pPr>
        <w:pStyle w:val="af2"/>
        <w:numPr>
          <w:ilvl w:val="0"/>
          <w:numId w:val="26"/>
        </w:numPr>
        <w:spacing w:after="0" w:line="240" w:lineRule="auto"/>
        <w:ind w:left="284" w:hanging="284"/>
        <w:contextualSpacing w:val="0"/>
        <w:jc w:val="both"/>
        <w:rPr>
          <w:rFonts w:ascii="Times New Roman" w:eastAsia="Times New Roman" w:hAnsi="Times New Roman"/>
          <w:lang w:eastAsia="el-GR"/>
        </w:rPr>
      </w:pPr>
      <w:r w:rsidRPr="005E0E2E">
        <w:rPr>
          <w:rFonts w:ascii="Times New Roman" w:eastAsia="Times New Roman" w:hAnsi="Times New Roman"/>
          <w:lang w:eastAsia="el-GR"/>
        </w:rPr>
        <w:t>για το σύνολο των ΕΠ έχουν δημοσιευθεί προσκλήσεις ύψους 29,4 δισ. ευρώ,</w:t>
      </w:r>
    </w:p>
    <w:p w:rsidR="00853402" w:rsidRPr="005E0E2E" w:rsidRDefault="00853402" w:rsidP="005E0E2E">
      <w:pPr>
        <w:pStyle w:val="af2"/>
        <w:numPr>
          <w:ilvl w:val="0"/>
          <w:numId w:val="26"/>
        </w:numPr>
        <w:spacing w:after="0" w:line="240" w:lineRule="auto"/>
        <w:ind w:left="284" w:hanging="284"/>
        <w:contextualSpacing w:val="0"/>
        <w:jc w:val="both"/>
        <w:rPr>
          <w:rFonts w:ascii="Times New Roman" w:eastAsia="Times New Roman" w:hAnsi="Times New Roman"/>
          <w:lang w:eastAsia="el-GR"/>
        </w:rPr>
      </w:pPr>
      <w:r w:rsidRPr="005E0E2E">
        <w:rPr>
          <w:rFonts w:ascii="Times New Roman" w:eastAsia="Times New Roman" w:hAnsi="Times New Roman"/>
          <w:lang w:eastAsia="el-GR"/>
        </w:rPr>
        <w:t>η συγχρηματοδοτούμενη δημόσια δαπάνη των ενταγμένων έργων για το σύνολο του ΕΣΠΑ ανέ</w:t>
      </w:r>
      <w:r w:rsidRPr="005E0E2E">
        <w:rPr>
          <w:rFonts w:ascii="Times New Roman" w:eastAsia="Times New Roman" w:hAnsi="Times New Roman"/>
          <w:lang w:eastAsia="el-GR"/>
        </w:rPr>
        <w:t>ρ</w:t>
      </w:r>
      <w:r w:rsidRPr="005E0E2E">
        <w:rPr>
          <w:rFonts w:ascii="Times New Roman" w:eastAsia="Times New Roman" w:hAnsi="Times New Roman"/>
          <w:lang w:eastAsia="el-GR"/>
        </w:rPr>
        <w:t>χεται στα 26,5 δισ. ευρώ,</w:t>
      </w:r>
    </w:p>
    <w:p w:rsidR="00853402" w:rsidRPr="005E0E2E" w:rsidRDefault="00853402" w:rsidP="005E0E2E">
      <w:pPr>
        <w:pStyle w:val="af2"/>
        <w:numPr>
          <w:ilvl w:val="0"/>
          <w:numId w:val="26"/>
        </w:numPr>
        <w:spacing w:after="0" w:line="240" w:lineRule="auto"/>
        <w:ind w:left="284" w:hanging="284"/>
        <w:contextualSpacing w:val="0"/>
        <w:jc w:val="both"/>
        <w:rPr>
          <w:rFonts w:ascii="Times New Roman" w:eastAsia="Times New Roman" w:hAnsi="Times New Roman"/>
          <w:lang w:eastAsia="el-GR"/>
        </w:rPr>
      </w:pPr>
      <w:r w:rsidRPr="005E0E2E">
        <w:rPr>
          <w:rFonts w:ascii="Times New Roman" w:eastAsia="Times New Roman" w:hAnsi="Times New Roman"/>
          <w:lang w:eastAsia="el-GR"/>
        </w:rPr>
        <w:t xml:space="preserve">η συγχρηματοδοτούμενη δημόσια δαπάνη των νομικών δεσμεύσεων για το σύνολο του ΕΣΠΑ </w:t>
      </w:r>
      <w:r w:rsidRPr="005E0E2E">
        <w:rPr>
          <w:rFonts w:ascii="Times New Roman" w:eastAsia="Times New Roman" w:hAnsi="Times New Roman"/>
          <w:lang w:eastAsia="el-GR"/>
        </w:rPr>
        <w:t>α</w:t>
      </w:r>
      <w:r w:rsidRPr="005E0E2E">
        <w:rPr>
          <w:rFonts w:ascii="Times New Roman" w:eastAsia="Times New Roman" w:hAnsi="Times New Roman"/>
          <w:lang w:eastAsia="el-GR"/>
        </w:rPr>
        <w:t>νέρχεται στα 18,3 δισ. ευρώ,</w:t>
      </w:r>
    </w:p>
    <w:p w:rsidR="00853402" w:rsidRPr="005E0E2E" w:rsidRDefault="00853402" w:rsidP="005E0E2E">
      <w:pPr>
        <w:pStyle w:val="af2"/>
        <w:numPr>
          <w:ilvl w:val="0"/>
          <w:numId w:val="26"/>
        </w:numPr>
        <w:spacing w:after="0" w:line="240" w:lineRule="auto"/>
        <w:ind w:left="284" w:hanging="284"/>
        <w:contextualSpacing w:val="0"/>
        <w:jc w:val="both"/>
        <w:rPr>
          <w:rFonts w:ascii="Times New Roman" w:eastAsia="Times New Roman" w:hAnsi="Times New Roman"/>
          <w:lang w:eastAsia="el-GR"/>
        </w:rPr>
      </w:pPr>
      <w:r w:rsidRPr="005E0E2E">
        <w:rPr>
          <w:rFonts w:ascii="Times New Roman" w:eastAsia="Times New Roman" w:hAnsi="Times New Roman"/>
          <w:lang w:eastAsia="el-GR"/>
        </w:rPr>
        <w:t>οι συνολικές δαπάνες ανέρχονται για το σύνολο του ΕΣΠΑ στα 9,8 δισ. ευρώ.</w:t>
      </w:r>
    </w:p>
    <w:p w:rsidR="00853402" w:rsidRPr="00703E80" w:rsidRDefault="00853402" w:rsidP="00853402">
      <w:pPr>
        <w:tabs>
          <w:tab w:val="left" w:pos="180"/>
        </w:tabs>
        <w:jc w:val="both"/>
        <w:rPr>
          <w:sz w:val="22"/>
          <w:szCs w:val="22"/>
        </w:rPr>
      </w:pPr>
    </w:p>
    <w:p w:rsidR="00853402" w:rsidRPr="00037C95" w:rsidRDefault="00853402" w:rsidP="00037C95">
      <w:pPr>
        <w:tabs>
          <w:tab w:val="left" w:pos="709"/>
        </w:tabs>
        <w:spacing w:line="235" w:lineRule="auto"/>
        <w:jc w:val="both"/>
        <w:rPr>
          <w:b/>
          <w:bCs/>
          <w:i/>
          <w:iCs/>
          <w:sz w:val="22"/>
          <w:szCs w:val="22"/>
        </w:rPr>
      </w:pPr>
      <w:r w:rsidRPr="00037C95">
        <w:rPr>
          <w:b/>
          <w:bCs/>
          <w:i/>
          <w:iCs/>
          <w:sz w:val="22"/>
          <w:szCs w:val="22"/>
        </w:rPr>
        <w:t>Υλοποιούμενες δράσεις ΕΣΠΑ 2014-2020</w:t>
      </w:r>
    </w:p>
    <w:p w:rsidR="00853402" w:rsidRPr="00703E80" w:rsidRDefault="00853402" w:rsidP="00853402">
      <w:pPr>
        <w:tabs>
          <w:tab w:val="left" w:pos="180"/>
        </w:tabs>
        <w:jc w:val="both"/>
        <w:rPr>
          <w:b/>
          <w:sz w:val="22"/>
          <w:szCs w:val="22"/>
        </w:rPr>
      </w:pPr>
    </w:p>
    <w:p w:rsidR="00853402" w:rsidRPr="00703E80" w:rsidRDefault="00853402" w:rsidP="00853402">
      <w:pPr>
        <w:tabs>
          <w:tab w:val="left" w:pos="180"/>
          <w:tab w:val="left" w:pos="426"/>
        </w:tabs>
        <w:jc w:val="both"/>
        <w:rPr>
          <w:b/>
          <w:i/>
          <w:sz w:val="22"/>
          <w:szCs w:val="22"/>
        </w:rPr>
      </w:pPr>
      <w:r w:rsidRPr="00703E80">
        <w:rPr>
          <w:b/>
          <w:i/>
          <w:sz w:val="22"/>
          <w:szCs w:val="22"/>
        </w:rPr>
        <w:t>α)</w:t>
      </w:r>
      <w:r w:rsidRPr="00703E80">
        <w:rPr>
          <w:b/>
          <w:i/>
          <w:sz w:val="22"/>
          <w:szCs w:val="22"/>
        </w:rPr>
        <w:tab/>
        <w:t>Τομεακά Επιχειρησιακά Προγράμματα</w:t>
      </w:r>
    </w:p>
    <w:p w:rsidR="00853402" w:rsidRPr="00703E80" w:rsidRDefault="00853402" w:rsidP="00853402">
      <w:pPr>
        <w:tabs>
          <w:tab w:val="left" w:pos="180"/>
          <w:tab w:val="left" w:pos="426"/>
        </w:tabs>
        <w:jc w:val="both"/>
        <w:rPr>
          <w:b/>
          <w:i/>
          <w:sz w:val="22"/>
          <w:szCs w:val="22"/>
        </w:rPr>
      </w:pPr>
      <w:r w:rsidRPr="00703E80">
        <w:rPr>
          <w:b/>
          <w:i/>
          <w:sz w:val="22"/>
          <w:szCs w:val="22"/>
        </w:rPr>
        <w:tab/>
      </w:r>
      <w:r w:rsidRPr="00703E80">
        <w:rPr>
          <w:b/>
          <w:i/>
          <w:sz w:val="22"/>
          <w:szCs w:val="22"/>
        </w:rPr>
        <w:tab/>
      </w:r>
    </w:p>
    <w:p w:rsidR="00853402" w:rsidRPr="00703E80" w:rsidRDefault="00853402" w:rsidP="00853402">
      <w:pPr>
        <w:tabs>
          <w:tab w:val="left" w:pos="180"/>
          <w:tab w:val="left" w:pos="426"/>
        </w:tabs>
        <w:jc w:val="both"/>
        <w:rPr>
          <w:sz w:val="22"/>
          <w:szCs w:val="22"/>
        </w:rPr>
      </w:pPr>
      <w:r w:rsidRPr="00703E80">
        <w:rPr>
          <w:sz w:val="22"/>
          <w:szCs w:val="22"/>
        </w:rPr>
        <w:t>Περιλαμβάνονται τα ΕΠ:</w:t>
      </w:r>
    </w:p>
    <w:p w:rsidR="00853402" w:rsidRPr="00703E80" w:rsidRDefault="00853402" w:rsidP="00853402">
      <w:pPr>
        <w:tabs>
          <w:tab w:val="left" w:pos="180"/>
          <w:tab w:val="left" w:pos="426"/>
        </w:tabs>
        <w:jc w:val="both"/>
        <w:rPr>
          <w:sz w:val="22"/>
          <w:szCs w:val="22"/>
        </w:rPr>
      </w:pPr>
    </w:p>
    <w:p w:rsidR="00853402" w:rsidRPr="00703E80" w:rsidRDefault="00853402" w:rsidP="00853402">
      <w:pPr>
        <w:tabs>
          <w:tab w:val="left" w:pos="180"/>
          <w:tab w:val="left" w:pos="426"/>
        </w:tabs>
        <w:ind w:left="426" w:hanging="426"/>
        <w:jc w:val="both"/>
        <w:rPr>
          <w:b/>
          <w:sz w:val="22"/>
          <w:szCs w:val="22"/>
        </w:rPr>
      </w:pPr>
      <w:r w:rsidRPr="00703E80">
        <w:rPr>
          <w:b/>
          <w:sz w:val="22"/>
          <w:szCs w:val="22"/>
        </w:rPr>
        <w:t>Ανταγωνιστικότητα, Επιχειρηματικότητα και Καινοτομία (ΕΠΑΝΕΚ)</w:t>
      </w:r>
    </w:p>
    <w:p w:rsidR="00853402" w:rsidRPr="00703E80" w:rsidRDefault="00853402" w:rsidP="00853402">
      <w:pPr>
        <w:tabs>
          <w:tab w:val="left" w:pos="0"/>
        </w:tabs>
        <w:jc w:val="both"/>
        <w:rPr>
          <w:sz w:val="22"/>
          <w:szCs w:val="22"/>
        </w:rPr>
      </w:pPr>
      <w:r w:rsidRPr="00703E80">
        <w:rPr>
          <w:sz w:val="22"/>
          <w:szCs w:val="22"/>
        </w:rPr>
        <w:t>Με την αναθεώρηση το 2020 το</w:t>
      </w:r>
      <w:r w:rsidR="009C205E">
        <w:rPr>
          <w:sz w:val="22"/>
          <w:szCs w:val="22"/>
        </w:rPr>
        <w:t>υ</w:t>
      </w:r>
      <w:r w:rsidRPr="00703E80">
        <w:rPr>
          <w:sz w:val="22"/>
          <w:szCs w:val="22"/>
        </w:rPr>
        <w:t xml:space="preserve"> εν λόγω ΕΠ</w:t>
      </w:r>
      <w:r w:rsidR="00BE2925">
        <w:rPr>
          <w:sz w:val="22"/>
          <w:szCs w:val="22"/>
        </w:rPr>
        <w:t>,</w:t>
      </w:r>
      <w:r w:rsidRPr="00703E80">
        <w:rPr>
          <w:sz w:val="22"/>
          <w:szCs w:val="22"/>
        </w:rPr>
        <w:t xml:space="preserve"> με σκοπό την ανάγκη στήριξης της επιχειρηματικότ</w:t>
      </w:r>
      <w:r w:rsidRPr="00703E80">
        <w:rPr>
          <w:sz w:val="22"/>
          <w:szCs w:val="22"/>
        </w:rPr>
        <w:t>η</w:t>
      </w:r>
      <w:r w:rsidRPr="00703E80">
        <w:rPr>
          <w:sz w:val="22"/>
          <w:szCs w:val="22"/>
        </w:rPr>
        <w:t xml:space="preserve">τας στο πλαίσιο της αντιμετώπισης των οικονομικών επιπτώσεων της πανδημίας </w:t>
      </w:r>
      <w:r w:rsidR="00BE2925" w:rsidRPr="00703E80">
        <w:rPr>
          <w:sz w:val="22"/>
          <w:szCs w:val="22"/>
          <w:lang w:val="en-US"/>
        </w:rPr>
        <w:t>Covid</w:t>
      </w:r>
      <w:r w:rsidRPr="00703E80">
        <w:rPr>
          <w:sz w:val="22"/>
          <w:szCs w:val="22"/>
        </w:rPr>
        <w:t>-19</w:t>
      </w:r>
      <w:r w:rsidR="00BE2925" w:rsidRPr="00703E80">
        <w:rPr>
          <w:sz w:val="22"/>
          <w:szCs w:val="22"/>
        </w:rPr>
        <w:t xml:space="preserve"> </w:t>
      </w:r>
      <w:r w:rsidRPr="007E3BA1">
        <w:rPr>
          <w:sz w:val="22"/>
          <w:szCs w:val="22"/>
        </w:rPr>
        <w:t>ενεργ</w:t>
      </w:r>
      <w:r w:rsidRPr="007E3BA1">
        <w:rPr>
          <w:sz w:val="22"/>
          <w:szCs w:val="22"/>
        </w:rPr>
        <w:t>ο</w:t>
      </w:r>
      <w:r w:rsidRPr="007E3BA1">
        <w:rPr>
          <w:sz w:val="22"/>
          <w:szCs w:val="22"/>
        </w:rPr>
        <w:t>ποιήθηκαν</w:t>
      </w:r>
      <w:r w:rsidRPr="00703E80">
        <w:rPr>
          <w:sz w:val="22"/>
          <w:szCs w:val="22"/>
        </w:rPr>
        <w:t xml:space="preserve"> οι παρακάτω χρηματοδοτικές πρωτοβουλίες για την ενίσχυση επιχειρήσεων που πλήττ</w:t>
      </w:r>
      <w:r w:rsidRPr="00703E80">
        <w:rPr>
          <w:sz w:val="22"/>
          <w:szCs w:val="22"/>
        </w:rPr>
        <w:t>ο</w:t>
      </w:r>
      <w:r w:rsidRPr="00703E80">
        <w:rPr>
          <w:sz w:val="22"/>
          <w:szCs w:val="22"/>
        </w:rPr>
        <w:t>νται:</w:t>
      </w:r>
    </w:p>
    <w:p w:rsidR="00853402" w:rsidRPr="00703E80" w:rsidRDefault="00BE2925" w:rsidP="00853402">
      <w:pPr>
        <w:pStyle w:val="af2"/>
        <w:numPr>
          <w:ilvl w:val="0"/>
          <w:numId w:val="27"/>
        </w:numPr>
        <w:autoSpaceDE w:val="0"/>
        <w:autoSpaceDN w:val="0"/>
        <w:adjustRightInd w:val="0"/>
        <w:spacing w:after="0" w:line="240" w:lineRule="auto"/>
        <w:ind w:left="284" w:hanging="284"/>
        <w:contextualSpacing w:val="0"/>
        <w:jc w:val="both"/>
        <w:rPr>
          <w:rFonts w:ascii="Times New Roman" w:hAnsi="Times New Roman"/>
        </w:rPr>
      </w:pPr>
      <w:r>
        <w:rPr>
          <w:rFonts w:ascii="Times New Roman" w:hAnsi="Times New Roman"/>
          <w:bCs/>
        </w:rPr>
        <w:t>Ταμείο Επιχειρηματικότητας ΙΙ (</w:t>
      </w:r>
      <w:r w:rsidR="00853402" w:rsidRPr="00703E80">
        <w:rPr>
          <w:rFonts w:ascii="Times New Roman" w:hAnsi="Times New Roman"/>
          <w:bCs/>
        </w:rPr>
        <w:t>ΤΕΠΙΧ ΙΙ</w:t>
      </w:r>
      <w:r>
        <w:rPr>
          <w:rFonts w:ascii="Times New Roman" w:hAnsi="Times New Roman"/>
          <w:bCs/>
        </w:rPr>
        <w:t>)</w:t>
      </w:r>
      <w:r w:rsidR="00853402" w:rsidRPr="00703E80">
        <w:rPr>
          <w:rFonts w:ascii="Times New Roman" w:hAnsi="Times New Roman"/>
          <w:bCs/>
        </w:rPr>
        <w:t>,</w:t>
      </w:r>
      <w:r w:rsidR="00853402" w:rsidRPr="00703E80">
        <w:rPr>
          <w:rFonts w:ascii="Times New Roman" w:hAnsi="Times New Roman"/>
          <w:b/>
          <w:bCs/>
        </w:rPr>
        <w:t xml:space="preserve"> </w:t>
      </w:r>
      <w:r w:rsidR="00853402" w:rsidRPr="00703E80">
        <w:rPr>
          <w:rFonts w:ascii="Times New Roman" w:hAnsi="Times New Roman"/>
        </w:rPr>
        <w:t>για την παροχή κεφαλαίου κίνησης</w:t>
      </w:r>
      <w:r w:rsidR="00741386">
        <w:rPr>
          <w:rFonts w:ascii="Times New Roman" w:hAnsi="Times New Roman"/>
        </w:rPr>
        <w:t xml:space="preserve"> σε επιχειρήσεις</w:t>
      </w:r>
      <w:r w:rsidR="00853402" w:rsidRPr="00703E80">
        <w:rPr>
          <w:rFonts w:ascii="Times New Roman" w:hAnsi="Times New Roman"/>
        </w:rPr>
        <w:t>, με επιδότηση επιτοκίου.</w:t>
      </w:r>
    </w:p>
    <w:p w:rsidR="00853402" w:rsidRPr="00703E80" w:rsidRDefault="00853402" w:rsidP="00853402">
      <w:pPr>
        <w:pStyle w:val="af2"/>
        <w:numPr>
          <w:ilvl w:val="0"/>
          <w:numId w:val="27"/>
        </w:numPr>
        <w:autoSpaceDE w:val="0"/>
        <w:autoSpaceDN w:val="0"/>
        <w:adjustRightInd w:val="0"/>
        <w:spacing w:after="0" w:line="240" w:lineRule="auto"/>
        <w:ind w:left="284" w:hanging="284"/>
        <w:contextualSpacing w:val="0"/>
        <w:jc w:val="both"/>
        <w:rPr>
          <w:rFonts w:ascii="Times New Roman" w:hAnsi="Times New Roman"/>
          <w:b/>
          <w:bCs/>
        </w:rPr>
      </w:pPr>
      <w:r w:rsidRPr="00703E80">
        <w:rPr>
          <w:rFonts w:ascii="Times New Roman" w:hAnsi="Times New Roman"/>
          <w:bCs/>
        </w:rPr>
        <w:t xml:space="preserve">Σύσταση Ταμείου Εγγυοδοσίας </w:t>
      </w:r>
      <w:r w:rsidR="00EE7E51" w:rsidRPr="00703E80">
        <w:rPr>
          <w:rFonts w:ascii="Times New Roman" w:hAnsi="Times New Roman"/>
          <w:bCs/>
        </w:rPr>
        <w:t>Επιχειρήσεων</w:t>
      </w:r>
      <w:r w:rsidRPr="00703E80">
        <w:rPr>
          <w:rFonts w:ascii="Times New Roman" w:hAnsi="Times New Roman"/>
          <w:bCs/>
        </w:rPr>
        <w:t>.</w:t>
      </w:r>
    </w:p>
    <w:p w:rsidR="00853402" w:rsidRPr="00703E80" w:rsidRDefault="00EE7E51" w:rsidP="00853402">
      <w:pPr>
        <w:pStyle w:val="af2"/>
        <w:numPr>
          <w:ilvl w:val="0"/>
          <w:numId w:val="27"/>
        </w:numPr>
        <w:autoSpaceDE w:val="0"/>
        <w:autoSpaceDN w:val="0"/>
        <w:adjustRightInd w:val="0"/>
        <w:spacing w:after="0" w:line="240" w:lineRule="auto"/>
        <w:ind w:left="284" w:hanging="284"/>
        <w:contextualSpacing w:val="0"/>
        <w:jc w:val="both"/>
        <w:rPr>
          <w:rFonts w:ascii="Times New Roman" w:hAnsi="Times New Roman"/>
          <w:bCs/>
        </w:rPr>
      </w:pPr>
      <w:r>
        <w:rPr>
          <w:rFonts w:ascii="Times New Roman" w:hAnsi="Times New Roman"/>
          <w:bCs/>
        </w:rPr>
        <w:t>Επιδότηση τόκων υφιστάμενων δανείων μικρών και μεσαίων ε</w:t>
      </w:r>
      <w:r w:rsidR="00853402" w:rsidRPr="00703E80">
        <w:rPr>
          <w:rFonts w:ascii="Times New Roman" w:hAnsi="Times New Roman"/>
          <w:bCs/>
        </w:rPr>
        <w:t>πιχειρήσεων.</w:t>
      </w:r>
    </w:p>
    <w:p w:rsidR="00853402" w:rsidRPr="00703E80" w:rsidRDefault="00853402" w:rsidP="00853402">
      <w:pPr>
        <w:pStyle w:val="af2"/>
        <w:numPr>
          <w:ilvl w:val="0"/>
          <w:numId w:val="27"/>
        </w:numPr>
        <w:autoSpaceDE w:val="0"/>
        <w:autoSpaceDN w:val="0"/>
        <w:adjustRightInd w:val="0"/>
        <w:spacing w:after="0" w:line="240" w:lineRule="auto"/>
        <w:ind w:left="284" w:hanging="284"/>
        <w:contextualSpacing w:val="0"/>
        <w:jc w:val="both"/>
        <w:rPr>
          <w:rFonts w:ascii="Times New Roman" w:hAnsi="Times New Roman"/>
        </w:rPr>
      </w:pPr>
      <w:r w:rsidRPr="00703E80">
        <w:rPr>
          <w:rFonts w:ascii="Times New Roman" w:hAnsi="Times New Roman"/>
          <w:bCs/>
        </w:rPr>
        <w:t>Ενίσχυση με τη μορφή επιστρεπτέας προκαταβολής.</w:t>
      </w:r>
    </w:p>
    <w:p w:rsidR="00853402" w:rsidRPr="00703E80" w:rsidRDefault="00853402" w:rsidP="00853402">
      <w:pPr>
        <w:tabs>
          <w:tab w:val="left" w:pos="180"/>
          <w:tab w:val="left" w:pos="426"/>
        </w:tabs>
        <w:ind w:left="426" w:hanging="426"/>
        <w:jc w:val="both"/>
        <w:rPr>
          <w:sz w:val="22"/>
          <w:szCs w:val="22"/>
        </w:rPr>
      </w:pPr>
    </w:p>
    <w:p w:rsidR="00853402" w:rsidRPr="00703E80" w:rsidRDefault="00853402" w:rsidP="00853402">
      <w:pPr>
        <w:tabs>
          <w:tab w:val="left" w:pos="180"/>
          <w:tab w:val="left" w:pos="426"/>
        </w:tabs>
        <w:ind w:left="426" w:hanging="426"/>
        <w:jc w:val="both"/>
        <w:rPr>
          <w:b/>
          <w:sz w:val="22"/>
          <w:szCs w:val="22"/>
        </w:rPr>
      </w:pPr>
      <w:r w:rsidRPr="00703E80">
        <w:rPr>
          <w:b/>
          <w:sz w:val="22"/>
          <w:szCs w:val="22"/>
        </w:rPr>
        <w:t>Υποδομές Μεταφορών, Περιβάλλον και Αειφόρος Ανάπτυξη</w:t>
      </w:r>
    </w:p>
    <w:p w:rsidR="00853402" w:rsidRPr="00703E80" w:rsidRDefault="00853402" w:rsidP="00853402">
      <w:pPr>
        <w:jc w:val="both"/>
        <w:rPr>
          <w:sz w:val="22"/>
          <w:szCs w:val="22"/>
        </w:rPr>
      </w:pPr>
      <w:r w:rsidRPr="00703E80">
        <w:rPr>
          <w:sz w:val="22"/>
          <w:szCs w:val="22"/>
        </w:rPr>
        <w:t>Με την αναθεώρηση του 2020, το σύνολο της ενωσιακής στήριξης του ΕΠ θα μειωθεί, με μεταφορά πόρων στο ΕΠΑΝΕΚ.</w:t>
      </w:r>
    </w:p>
    <w:p w:rsidR="00853402" w:rsidRPr="00703E80" w:rsidRDefault="00853402" w:rsidP="00853402">
      <w:pPr>
        <w:jc w:val="both"/>
        <w:rPr>
          <w:bCs/>
          <w:sz w:val="22"/>
          <w:szCs w:val="22"/>
        </w:rPr>
      </w:pPr>
      <w:r w:rsidRPr="00703E80">
        <w:rPr>
          <w:sz w:val="22"/>
          <w:szCs w:val="22"/>
        </w:rPr>
        <w:t>Μεταξύ των δράσεων που έχουν ενταχθεί σε αυτό είναι, δράσεις προώθησης των καθαρών αστικών μεταφορών, δράσεις διαχείρισης απορριμμάτων, δράσεις ολοκλήρωσης των υποδομών συλλογής και επεξεργασίας αστικών λυμάτων, έργα διαχείρισης υδ</w:t>
      </w:r>
      <w:r w:rsidR="00EE7E51">
        <w:rPr>
          <w:sz w:val="22"/>
          <w:szCs w:val="22"/>
        </w:rPr>
        <w:t>άτινων</w:t>
      </w:r>
      <w:r w:rsidRPr="00703E80">
        <w:rPr>
          <w:sz w:val="22"/>
          <w:szCs w:val="22"/>
        </w:rPr>
        <w:t xml:space="preserve"> πόρων, περιβαλλοντικές δράσεις που </w:t>
      </w:r>
      <w:r w:rsidRPr="00703E80">
        <w:rPr>
          <w:sz w:val="22"/>
          <w:szCs w:val="22"/>
        </w:rPr>
        <w:t>α</w:t>
      </w:r>
      <w:r w:rsidRPr="00703E80">
        <w:rPr>
          <w:sz w:val="22"/>
          <w:szCs w:val="22"/>
        </w:rPr>
        <w:t>φορούν έργα τουριστικού/πολιτιστικού ενδιαφέροντος,</w:t>
      </w:r>
      <w:r w:rsidR="00EE7E51">
        <w:rPr>
          <w:sz w:val="22"/>
          <w:szCs w:val="22"/>
        </w:rPr>
        <w:t xml:space="preserve"> κατασκευή/αναβάθμιση αυτοκινητοδρό</w:t>
      </w:r>
      <w:r w:rsidRPr="00703E80">
        <w:rPr>
          <w:sz w:val="22"/>
          <w:szCs w:val="22"/>
        </w:rPr>
        <w:t>μων στο Διευρωπαϊκό Οδικό Δίκτυο, σιδηρόδρομοι, κ.ά.</w:t>
      </w:r>
    </w:p>
    <w:p w:rsidR="00853402" w:rsidRPr="00703E80" w:rsidRDefault="00853402" w:rsidP="00853402">
      <w:pPr>
        <w:tabs>
          <w:tab w:val="left" w:pos="180"/>
          <w:tab w:val="left" w:pos="426"/>
        </w:tabs>
        <w:ind w:left="426" w:hanging="426"/>
        <w:jc w:val="both"/>
        <w:rPr>
          <w:sz w:val="22"/>
          <w:szCs w:val="22"/>
        </w:rPr>
      </w:pPr>
    </w:p>
    <w:p w:rsidR="00853402" w:rsidRPr="00703E80" w:rsidRDefault="00853402" w:rsidP="00853402">
      <w:pPr>
        <w:tabs>
          <w:tab w:val="left" w:pos="180"/>
          <w:tab w:val="left" w:pos="426"/>
        </w:tabs>
        <w:ind w:left="426" w:hanging="426"/>
        <w:jc w:val="both"/>
        <w:rPr>
          <w:b/>
          <w:sz w:val="22"/>
          <w:szCs w:val="22"/>
        </w:rPr>
      </w:pPr>
      <w:r w:rsidRPr="00703E80">
        <w:rPr>
          <w:b/>
          <w:sz w:val="22"/>
          <w:szCs w:val="22"/>
        </w:rPr>
        <w:lastRenderedPageBreak/>
        <w:t>Ανάπτυξη Ανθρώπινου Δυναμικού - Εκπαίδευση και Δια Βίου Μάθηση</w:t>
      </w:r>
    </w:p>
    <w:p w:rsidR="00853402" w:rsidRPr="00703E80" w:rsidRDefault="00853402" w:rsidP="00853402">
      <w:pPr>
        <w:jc w:val="both"/>
        <w:rPr>
          <w:sz w:val="22"/>
          <w:szCs w:val="22"/>
        </w:rPr>
      </w:pPr>
      <w:r w:rsidRPr="00703E80">
        <w:rPr>
          <w:sz w:val="22"/>
          <w:szCs w:val="22"/>
        </w:rPr>
        <w:t>Το ΕΠ συγχρηματοδοτείται από το Ευρωπαϊκό Κοινωνικό Ταμείο (ΕΚΤ) και την Πρωτοβουλία για την Απασχόληση των Νέων (ΠΑΝ).</w:t>
      </w:r>
    </w:p>
    <w:p w:rsidR="0056762D" w:rsidRDefault="0056762D" w:rsidP="00853402">
      <w:pPr>
        <w:jc w:val="both"/>
        <w:rPr>
          <w:sz w:val="22"/>
          <w:szCs w:val="22"/>
        </w:rPr>
      </w:pPr>
    </w:p>
    <w:p w:rsidR="00853402" w:rsidRPr="00703E80" w:rsidRDefault="00853402" w:rsidP="00853402">
      <w:pPr>
        <w:jc w:val="both"/>
        <w:rPr>
          <w:sz w:val="22"/>
          <w:szCs w:val="22"/>
        </w:rPr>
      </w:pPr>
      <w:r w:rsidRPr="00703E80">
        <w:rPr>
          <w:sz w:val="22"/>
          <w:szCs w:val="22"/>
        </w:rPr>
        <w:t>Το Πρόγραμμα υλοποιεί δράσεις καταπολέμησης της ανεργίας, στήριξης της κοινωνικής οικονομίας, κοινωφελούς εργασίας, εναρμόνισης οικογενειακής και επαγγελματικής ζωής, στήριξης των νέων επ</w:t>
      </w:r>
      <w:r w:rsidRPr="00703E80">
        <w:rPr>
          <w:sz w:val="22"/>
          <w:szCs w:val="22"/>
        </w:rPr>
        <w:t>ι</w:t>
      </w:r>
      <w:r w:rsidRPr="00703E80">
        <w:rPr>
          <w:sz w:val="22"/>
          <w:szCs w:val="22"/>
        </w:rPr>
        <w:t>στημόνων, απόκτησης ακαδημαϊκής διδακτικής εμπειρίας, πρακτικής άσκησης</w:t>
      </w:r>
      <w:r w:rsidR="00EE7E51">
        <w:rPr>
          <w:sz w:val="22"/>
          <w:szCs w:val="22"/>
        </w:rPr>
        <w:t xml:space="preserve"> φοιτητών, μαθητείας για απόφοιτ</w:t>
      </w:r>
      <w:r w:rsidRPr="00703E80">
        <w:rPr>
          <w:sz w:val="22"/>
          <w:szCs w:val="22"/>
        </w:rPr>
        <w:t>ους Επαγγελματικών Λυκείων (ΕΠΑΛ), πρακτικής άσκησης των Επαγγελματικών Σχολών (ΕΠΑΣ) μαθητείας του Οργανισμού Απασχόλησης Εργατικού Δυναμικού (ΟΑΕΔ), στήριξη</w:t>
      </w:r>
      <w:r w:rsidR="009C205E">
        <w:rPr>
          <w:sz w:val="22"/>
          <w:szCs w:val="22"/>
        </w:rPr>
        <w:t>ς</w:t>
      </w:r>
      <w:r w:rsidRPr="00703E80">
        <w:rPr>
          <w:sz w:val="22"/>
          <w:szCs w:val="22"/>
        </w:rPr>
        <w:t xml:space="preserve"> του σχ</w:t>
      </w:r>
      <w:r w:rsidRPr="00703E80">
        <w:rPr>
          <w:sz w:val="22"/>
          <w:szCs w:val="22"/>
        </w:rPr>
        <w:t>ο</w:t>
      </w:r>
      <w:r w:rsidRPr="00703E80">
        <w:rPr>
          <w:sz w:val="22"/>
          <w:szCs w:val="22"/>
        </w:rPr>
        <w:t>λείου για την καταπολέμηση της σχολικής διαρροής, δια βίου μάθησης και επαγγελματικής εκπαίδε</w:t>
      </w:r>
      <w:r w:rsidRPr="00703E80">
        <w:rPr>
          <w:sz w:val="22"/>
          <w:szCs w:val="22"/>
        </w:rPr>
        <w:t>υ</w:t>
      </w:r>
      <w:r w:rsidRPr="00703E80">
        <w:rPr>
          <w:sz w:val="22"/>
          <w:szCs w:val="22"/>
        </w:rPr>
        <w:t xml:space="preserve">σης. </w:t>
      </w:r>
    </w:p>
    <w:p w:rsidR="0056762D" w:rsidRDefault="0056762D" w:rsidP="00853402">
      <w:pPr>
        <w:jc w:val="both"/>
        <w:rPr>
          <w:sz w:val="22"/>
          <w:szCs w:val="22"/>
        </w:rPr>
      </w:pPr>
    </w:p>
    <w:p w:rsidR="00853402" w:rsidRDefault="00853402" w:rsidP="00853402">
      <w:pPr>
        <w:jc w:val="both"/>
        <w:rPr>
          <w:sz w:val="22"/>
          <w:szCs w:val="22"/>
        </w:rPr>
      </w:pPr>
      <w:r w:rsidRPr="00703E80">
        <w:rPr>
          <w:sz w:val="22"/>
          <w:szCs w:val="22"/>
        </w:rPr>
        <w:t>Με την αναθεώρηση του 2020 αυξάνεται ο προϋπολογισμός της ΠΑΝ, ενώ χρηματοδοτούνται δρ</w:t>
      </w:r>
      <w:r w:rsidRPr="00703E80">
        <w:rPr>
          <w:sz w:val="22"/>
          <w:szCs w:val="22"/>
        </w:rPr>
        <w:t>ά</w:t>
      </w:r>
      <w:r w:rsidRPr="00703E80">
        <w:rPr>
          <w:sz w:val="22"/>
          <w:szCs w:val="22"/>
        </w:rPr>
        <w:t>σεις για την αντιμετώπιση των συνεπειών της πανδημίας στους τομείς της απασχόλησης και της ε</w:t>
      </w:r>
      <w:r w:rsidRPr="00703E80">
        <w:rPr>
          <w:sz w:val="22"/>
          <w:szCs w:val="22"/>
        </w:rPr>
        <w:t>κ</w:t>
      </w:r>
      <w:r w:rsidRPr="00703E80">
        <w:rPr>
          <w:sz w:val="22"/>
          <w:szCs w:val="22"/>
        </w:rPr>
        <w:t>παίδευσης. Ενδεικτικά αναφέρονται οι παρακάτω δράσεις του εν λόγω ΕΠ:</w:t>
      </w:r>
    </w:p>
    <w:p w:rsidR="0056762D" w:rsidRPr="00703E80" w:rsidRDefault="0056762D" w:rsidP="00853402">
      <w:pPr>
        <w:jc w:val="both"/>
        <w:rPr>
          <w:sz w:val="22"/>
          <w:szCs w:val="22"/>
        </w:rPr>
      </w:pPr>
    </w:p>
    <w:p w:rsidR="00853402" w:rsidRPr="00703E80" w:rsidRDefault="00853402" w:rsidP="00853402">
      <w:pPr>
        <w:pStyle w:val="af2"/>
        <w:numPr>
          <w:ilvl w:val="0"/>
          <w:numId w:val="28"/>
        </w:numPr>
        <w:spacing w:after="0" w:line="240" w:lineRule="auto"/>
        <w:ind w:left="284" w:hanging="284"/>
        <w:contextualSpacing w:val="0"/>
        <w:jc w:val="both"/>
        <w:rPr>
          <w:rFonts w:ascii="Times New Roman" w:hAnsi="Times New Roman"/>
        </w:rPr>
      </w:pPr>
      <w:r w:rsidRPr="00703E80">
        <w:rPr>
          <w:rFonts w:ascii="Times New Roman" w:hAnsi="Times New Roman"/>
        </w:rPr>
        <w:t>Μέτρα στήριξης της κοινωνίας λόγω της αναστολής λειτουργίας επιχειρήσεων για τη μείωση του κινδύνου διασποράς του Covid-19/Αποζημίωση Ειδικού Σκοπού. Η δράση αποτελεί μέτρο Κρατ</w:t>
      </w:r>
      <w:r w:rsidRPr="00703E80">
        <w:rPr>
          <w:rFonts w:ascii="Times New Roman" w:hAnsi="Times New Roman"/>
        </w:rPr>
        <w:t>ι</w:t>
      </w:r>
      <w:r w:rsidRPr="00703E80">
        <w:rPr>
          <w:rFonts w:ascii="Times New Roman" w:hAnsi="Times New Roman"/>
        </w:rPr>
        <w:t>κής Ενίσχυσης ελεύθερων επαγγελματιών και αυτοαπασχολούμενων και αναφέρεται στην παροχή αποζημίωσης, ανά ωφελούμενο, ως αντιστάθμισμα για την απώλεια εισοδήματος σε κλάδους που είτε τέθηκαν σε υποχρεωτική αναστολή δραστηριότητας</w:t>
      </w:r>
      <w:r w:rsidR="009C205E">
        <w:rPr>
          <w:rFonts w:ascii="Times New Roman" w:hAnsi="Times New Roman"/>
        </w:rPr>
        <w:t>,</w:t>
      </w:r>
      <w:r w:rsidRPr="00703E80">
        <w:rPr>
          <w:rFonts w:ascii="Times New Roman" w:hAnsi="Times New Roman"/>
        </w:rPr>
        <w:t xml:space="preserve"> είτε επλήγησαν ως συνέπεια του περιορ</w:t>
      </w:r>
      <w:r w:rsidRPr="00703E80">
        <w:rPr>
          <w:rFonts w:ascii="Times New Roman" w:hAnsi="Times New Roman"/>
        </w:rPr>
        <w:t>ι</w:t>
      </w:r>
      <w:r w:rsidRPr="00703E80">
        <w:rPr>
          <w:rFonts w:ascii="Times New Roman" w:hAnsi="Times New Roman"/>
        </w:rPr>
        <w:t>σμού της οικονομικής δραστηριότητας.</w:t>
      </w:r>
    </w:p>
    <w:p w:rsidR="00853402" w:rsidRPr="00703E80" w:rsidRDefault="00853402" w:rsidP="00853402">
      <w:pPr>
        <w:pStyle w:val="af2"/>
        <w:numPr>
          <w:ilvl w:val="0"/>
          <w:numId w:val="28"/>
        </w:numPr>
        <w:spacing w:after="0" w:line="240" w:lineRule="auto"/>
        <w:ind w:left="284" w:hanging="284"/>
        <w:contextualSpacing w:val="0"/>
        <w:jc w:val="both"/>
        <w:rPr>
          <w:rFonts w:ascii="Times New Roman" w:hAnsi="Times New Roman"/>
        </w:rPr>
      </w:pPr>
      <w:r w:rsidRPr="00703E80">
        <w:rPr>
          <w:rFonts w:ascii="Times New Roman" w:hAnsi="Times New Roman"/>
        </w:rPr>
        <w:t>Υποστήριξη της ασφαλούς και ομαλής επαναλειτουργίας των προβλεπόμενων εκπαιδευτικών δρ</w:t>
      </w:r>
      <w:r w:rsidRPr="00703E80">
        <w:rPr>
          <w:rFonts w:ascii="Times New Roman" w:hAnsi="Times New Roman"/>
        </w:rPr>
        <w:t>α</w:t>
      </w:r>
      <w:r w:rsidRPr="00703E80">
        <w:rPr>
          <w:rFonts w:ascii="Times New Roman" w:hAnsi="Times New Roman"/>
        </w:rPr>
        <w:t>στηριοτήτων των ΑΕΙ με την παροχή υγειονομικού υλικού στους φοιτητές του Πολυτεχνείου Κρ</w:t>
      </w:r>
      <w:r w:rsidRPr="00703E80">
        <w:rPr>
          <w:rFonts w:ascii="Times New Roman" w:hAnsi="Times New Roman"/>
        </w:rPr>
        <w:t>ή</w:t>
      </w:r>
      <w:r w:rsidRPr="00703E80">
        <w:rPr>
          <w:rFonts w:ascii="Times New Roman" w:hAnsi="Times New Roman"/>
        </w:rPr>
        <w:t>της.</w:t>
      </w:r>
    </w:p>
    <w:p w:rsidR="00853402" w:rsidRPr="00703E80" w:rsidRDefault="00853402" w:rsidP="00853402">
      <w:pPr>
        <w:pStyle w:val="af2"/>
        <w:numPr>
          <w:ilvl w:val="0"/>
          <w:numId w:val="28"/>
        </w:numPr>
        <w:spacing w:after="0" w:line="240" w:lineRule="auto"/>
        <w:ind w:left="284" w:hanging="284"/>
        <w:contextualSpacing w:val="0"/>
        <w:jc w:val="both"/>
        <w:rPr>
          <w:rFonts w:ascii="Times New Roman" w:hAnsi="Times New Roman"/>
        </w:rPr>
      </w:pPr>
      <w:r w:rsidRPr="00703E80">
        <w:rPr>
          <w:rFonts w:ascii="Times New Roman" w:hAnsi="Times New Roman"/>
        </w:rPr>
        <w:t>Υποστήριξη σχολικών Μονάδων Πρωτοβάθμιας και Δευτεροβάθμιας Εκπαίδευσης από Ψυχολ</w:t>
      </w:r>
      <w:r w:rsidRPr="00703E80">
        <w:rPr>
          <w:rFonts w:ascii="Times New Roman" w:hAnsi="Times New Roman"/>
        </w:rPr>
        <w:t>ό</w:t>
      </w:r>
      <w:r w:rsidRPr="00703E80">
        <w:rPr>
          <w:rFonts w:ascii="Times New Roman" w:hAnsi="Times New Roman"/>
        </w:rPr>
        <w:t>γους και Κοινωνικούς Λειτουργούς.</w:t>
      </w:r>
    </w:p>
    <w:p w:rsidR="00853402" w:rsidRPr="00703E80" w:rsidRDefault="00EE7E51" w:rsidP="00853402">
      <w:pPr>
        <w:pStyle w:val="af2"/>
        <w:numPr>
          <w:ilvl w:val="0"/>
          <w:numId w:val="28"/>
        </w:numPr>
        <w:spacing w:after="0" w:line="240" w:lineRule="auto"/>
        <w:ind w:left="284" w:hanging="284"/>
        <w:contextualSpacing w:val="0"/>
        <w:jc w:val="both"/>
        <w:rPr>
          <w:rFonts w:ascii="Times New Roman" w:hAnsi="Times New Roman"/>
        </w:rPr>
      </w:pPr>
      <w:r>
        <w:rPr>
          <w:rFonts w:ascii="Times New Roman" w:hAnsi="Times New Roman"/>
        </w:rPr>
        <w:t>Στέγαση σε ξ</w:t>
      </w:r>
      <w:r w:rsidR="00853402" w:rsidRPr="00703E80">
        <w:rPr>
          <w:rFonts w:ascii="Times New Roman" w:hAnsi="Times New Roman"/>
        </w:rPr>
        <w:t>ενοδοχεία των φοιτητών των ΑΕΙ και αλλοδαπών επισκεπτών των ΑΕΙ</w:t>
      </w:r>
      <w:r>
        <w:rPr>
          <w:rFonts w:ascii="Times New Roman" w:hAnsi="Times New Roman"/>
        </w:rPr>
        <w:t>,</w:t>
      </w:r>
      <w:r w:rsidR="00853402" w:rsidRPr="00703E80">
        <w:rPr>
          <w:rFonts w:ascii="Times New Roman" w:hAnsi="Times New Roman"/>
        </w:rPr>
        <w:t xml:space="preserve"> που βρίσκ</w:t>
      </w:r>
      <w:r w:rsidR="00853402" w:rsidRPr="00703E80">
        <w:rPr>
          <w:rFonts w:ascii="Times New Roman" w:hAnsi="Times New Roman"/>
        </w:rPr>
        <w:t>ο</w:t>
      </w:r>
      <w:r w:rsidR="00853402" w:rsidRPr="00703E80">
        <w:rPr>
          <w:rFonts w:ascii="Times New Roman" w:hAnsi="Times New Roman"/>
        </w:rPr>
        <w:t>νται στην Ελλάδα μέσω ευρωπαϊκών ή διεθνών προγραμμάτων ή συνεργασιών.</w:t>
      </w:r>
    </w:p>
    <w:p w:rsidR="0056762D" w:rsidRDefault="0056762D" w:rsidP="00853402">
      <w:pPr>
        <w:tabs>
          <w:tab w:val="left" w:pos="180"/>
          <w:tab w:val="left" w:pos="426"/>
        </w:tabs>
        <w:ind w:left="426" w:hanging="426"/>
        <w:jc w:val="both"/>
        <w:rPr>
          <w:sz w:val="22"/>
          <w:szCs w:val="22"/>
        </w:rPr>
      </w:pPr>
    </w:p>
    <w:p w:rsidR="00853402" w:rsidRPr="008644F4" w:rsidRDefault="008644F4" w:rsidP="00853402">
      <w:pPr>
        <w:tabs>
          <w:tab w:val="left" w:pos="180"/>
          <w:tab w:val="left" w:pos="426"/>
        </w:tabs>
        <w:ind w:left="426" w:hanging="426"/>
        <w:jc w:val="both"/>
        <w:rPr>
          <w:b/>
          <w:sz w:val="22"/>
          <w:szCs w:val="22"/>
        </w:rPr>
      </w:pPr>
      <w:r w:rsidRPr="008644F4">
        <w:rPr>
          <w:b/>
          <w:sz w:val="22"/>
          <w:szCs w:val="22"/>
        </w:rPr>
        <w:t>Μεταρρύθμιση Δημόσιου Τομέα</w:t>
      </w:r>
    </w:p>
    <w:p w:rsidR="00853402" w:rsidRPr="00703E80" w:rsidRDefault="00853402" w:rsidP="00853402">
      <w:pPr>
        <w:jc w:val="both"/>
        <w:rPr>
          <w:sz w:val="22"/>
          <w:szCs w:val="22"/>
        </w:rPr>
      </w:pPr>
      <w:r w:rsidRPr="00703E80">
        <w:rPr>
          <w:sz w:val="22"/>
          <w:szCs w:val="22"/>
        </w:rPr>
        <w:t>Έχει ως στόχο να ενισχύσει την οργανωτική, θεσμική και επιχειρησιακή ικανότητα της δημόσιας διο</w:t>
      </w:r>
      <w:r w:rsidRPr="00703E80">
        <w:rPr>
          <w:sz w:val="22"/>
          <w:szCs w:val="22"/>
        </w:rPr>
        <w:t>ί</w:t>
      </w:r>
      <w:r w:rsidRPr="00703E80">
        <w:rPr>
          <w:sz w:val="22"/>
          <w:szCs w:val="22"/>
        </w:rPr>
        <w:t xml:space="preserve">κησης και της τοπικής αυτοδιοίκησης, να προωθήσει την ηλεκτρονική διακυβέρνηση στον Δημόσιο Τομέα και να αναπτύξει το ανθρώπινο δυναμικό του. </w:t>
      </w:r>
    </w:p>
    <w:p w:rsidR="00853402" w:rsidRPr="00703E80" w:rsidRDefault="00853402" w:rsidP="00853402">
      <w:pPr>
        <w:jc w:val="both"/>
        <w:rPr>
          <w:sz w:val="22"/>
          <w:szCs w:val="22"/>
        </w:rPr>
      </w:pPr>
      <w:r w:rsidRPr="00703E80">
        <w:rPr>
          <w:sz w:val="22"/>
          <w:szCs w:val="22"/>
        </w:rPr>
        <w:t>Με την αναθεώρηση του 2020 το σύνολο της ενωσιακής στήριξης του ΕΠ πρόκειται να μειωθεί, με μεταφορά πόρων στο ΕΠΑΝΕΚ.</w:t>
      </w:r>
    </w:p>
    <w:p w:rsidR="00853402" w:rsidRPr="00703E80" w:rsidRDefault="00853402" w:rsidP="00853402">
      <w:pPr>
        <w:jc w:val="both"/>
        <w:rPr>
          <w:sz w:val="22"/>
          <w:szCs w:val="22"/>
        </w:rPr>
      </w:pPr>
      <w:r w:rsidRPr="00703E80">
        <w:rPr>
          <w:sz w:val="22"/>
          <w:szCs w:val="22"/>
        </w:rPr>
        <w:t xml:space="preserve">Οι δράσεις του εν λόγω ΕΠ αφορούν τη Δικτύωση του Δημόσιου </w:t>
      </w:r>
      <w:r w:rsidR="00AB1409">
        <w:rPr>
          <w:sz w:val="22"/>
          <w:szCs w:val="22"/>
        </w:rPr>
        <w:t>Τομέα (ΣΥΖΕΥΞΙΣ) και τη στήριξη</w:t>
      </w:r>
      <w:r w:rsidRPr="00703E80">
        <w:rPr>
          <w:sz w:val="22"/>
          <w:szCs w:val="22"/>
        </w:rPr>
        <w:t xml:space="preserve"> της μεταρρύθμισης του ασφαλιστικού συστήματος, της πολιτικής για την αντιμετώπιση του προβλ</w:t>
      </w:r>
      <w:r w:rsidRPr="00703E80">
        <w:rPr>
          <w:sz w:val="22"/>
          <w:szCs w:val="22"/>
        </w:rPr>
        <w:t>ή</w:t>
      </w:r>
      <w:r w:rsidRPr="00703E80">
        <w:rPr>
          <w:sz w:val="22"/>
          <w:szCs w:val="22"/>
        </w:rPr>
        <w:t>ματος των κόκκινων δανείων, της μεταρρύθμισης στο χώρο της Υγείας με έμφαση στην Πρωτοβάθμια Υγεία, των επιτελικών λει</w:t>
      </w:r>
      <w:r w:rsidR="00AB1409">
        <w:rPr>
          <w:sz w:val="22"/>
          <w:szCs w:val="22"/>
        </w:rPr>
        <w:t>τουργιών της Δημόσιας Διοίκησης</w:t>
      </w:r>
      <w:r w:rsidRPr="00703E80">
        <w:rPr>
          <w:sz w:val="22"/>
          <w:szCs w:val="22"/>
        </w:rPr>
        <w:t xml:space="preserve"> και της μεταρρύθμισης στην Τοπική Α</w:t>
      </w:r>
      <w:r w:rsidRPr="00703E80">
        <w:rPr>
          <w:sz w:val="22"/>
          <w:szCs w:val="22"/>
        </w:rPr>
        <w:t>υ</w:t>
      </w:r>
      <w:r w:rsidRPr="00703E80">
        <w:rPr>
          <w:sz w:val="22"/>
          <w:szCs w:val="22"/>
        </w:rPr>
        <w:t>τοδιοίκηση.</w:t>
      </w:r>
    </w:p>
    <w:p w:rsidR="00853402" w:rsidRPr="00703E80" w:rsidRDefault="00853402" w:rsidP="00853402">
      <w:pPr>
        <w:jc w:val="both"/>
        <w:rPr>
          <w:sz w:val="22"/>
          <w:szCs w:val="22"/>
        </w:rPr>
      </w:pPr>
      <w:r w:rsidRPr="00703E80">
        <w:rPr>
          <w:sz w:val="22"/>
          <w:szCs w:val="22"/>
        </w:rPr>
        <w:t xml:space="preserve">Στο πλαίσιο αντιμετώπισης της πανδημίας </w:t>
      </w:r>
      <w:r w:rsidR="00EE7E51" w:rsidRPr="00703E80">
        <w:rPr>
          <w:sz w:val="22"/>
          <w:szCs w:val="22"/>
        </w:rPr>
        <w:t>Covid</w:t>
      </w:r>
      <w:r w:rsidRPr="00703E80">
        <w:rPr>
          <w:sz w:val="22"/>
          <w:szCs w:val="22"/>
        </w:rPr>
        <w:t>-19 έχει ενταχθεί το έργο «Δημιουργία δικτύου ν</w:t>
      </w:r>
      <w:r w:rsidRPr="00703E80">
        <w:rPr>
          <w:sz w:val="22"/>
          <w:szCs w:val="22"/>
        </w:rPr>
        <w:t>ο</w:t>
      </w:r>
      <w:r w:rsidRPr="00703E80">
        <w:rPr>
          <w:sz w:val="22"/>
          <w:szCs w:val="22"/>
        </w:rPr>
        <w:t>σηλευτών για τη λήψη δειγμάτων βιολογικού υλικού και νοσηλευτική βοήθεια στα ύποπτα κρούσμ</w:t>
      </w:r>
      <w:r w:rsidRPr="00703E80">
        <w:rPr>
          <w:sz w:val="22"/>
          <w:szCs w:val="22"/>
        </w:rPr>
        <w:t>α</w:t>
      </w:r>
      <w:r w:rsidR="00AB1409">
        <w:rPr>
          <w:sz w:val="22"/>
          <w:szCs w:val="22"/>
        </w:rPr>
        <w:t>τα κ</w:t>
      </w:r>
      <w:r w:rsidR="00EE7E51">
        <w:rPr>
          <w:sz w:val="22"/>
          <w:szCs w:val="22"/>
        </w:rPr>
        <w:t>ορ</w:t>
      </w:r>
      <w:r w:rsidR="009C205E">
        <w:rPr>
          <w:sz w:val="22"/>
          <w:szCs w:val="22"/>
        </w:rPr>
        <w:t>ω</w:t>
      </w:r>
      <w:r w:rsidR="00EE7E51">
        <w:rPr>
          <w:sz w:val="22"/>
          <w:szCs w:val="22"/>
        </w:rPr>
        <w:t xml:space="preserve">νοϊού κατ’ </w:t>
      </w:r>
      <w:r w:rsidRPr="00703E80">
        <w:rPr>
          <w:sz w:val="22"/>
          <w:szCs w:val="22"/>
        </w:rPr>
        <w:t>οίκον».</w:t>
      </w:r>
    </w:p>
    <w:p w:rsidR="00853402" w:rsidRPr="00703E80" w:rsidRDefault="00853402" w:rsidP="00853402">
      <w:pPr>
        <w:tabs>
          <w:tab w:val="left" w:pos="180"/>
          <w:tab w:val="left" w:pos="426"/>
        </w:tabs>
        <w:ind w:left="426" w:hanging="426"/>
        <w:jc w:val="both"/>
        <w:rPr>
          <w:sz w:val="22"/>
          <w:szCs w:val="22"/>
        </w:rPr>
      </w:pPr>
    </w:p>
    <w:p w:rsidR="00853402" w:rsidRPr="008644F4" w:rsidRDefault="008644F4" w:rsidP="00853402">
      <w:pPr>
        <w:tabs>
          <w:tab w:val="left" w:pos="180"/>
          <w:tab w:val="left" w:pos="426"/>
        </w:tabs>
        <w:ind w:left="426" w:hanging="426"/>
        <w:jc w:val="both"/>
        <w:rPr>
          <w:b/>
          <w:sz w:val="22"/>
          <w:szCs w:val="22"/>
        </w:rPr>
      </w:pPr>
      <w:r w:rsidRPr="008644F4">
        <w:rPr>
          <w:b/>
          <w:sz w:val="22"/>
          <w:szCs w:val="22"/>
        </w:rPr>
        <w:t>Πρόγραμμα Αγροτική Ανάπτυξη</w:t>
      </w:r>
      <w:r w:rsidR="007E3BA1">
        <w:rPr>
          <w:b/>
          <w:sz w:val="22"/>
          <w:szCs w:val="22"/>
        </w:rPr>
        <w:t xml:space="preserve"> (ΠΑΑ)</w:t>
      </w:r>
    </w:p>
    <w:p w:rsidR="00853402" w:rsidRPr="00703E80" w:rsidRDefault="00AB1409" w:rsidP="00853402">
      <w:pPr>
        <w:jc w:val="both"/>
        <w:rPr>
          <w:sz w:val="22"/>
          <w:szCs w:val="22"/>
        </w:rPr>
      </w:pPr>
      <w:r>
        <w:rPr>
          <w:sz w:val="22"/>
          <w:szCs w:val="22"/>
        </w:rPr>
        <w:t>Στοχεύει στη</w:t>
      </w:r>
      <w:r w:rsidR="00853402" w:rsidRPr="00703E80">
        <w:rPr>
          <w:sz w:val="22"/>
          <w:szCs w:val="22"/>
        </w:rPr>
        <w:t xml:space="preserve"> μετάβαση σε ένα ισχυρό αγροδιατροφικό σύστημα, στην αύξηση της προστιθέμενης </w:t>
      </w:r>
      <w:r w:rsidR="00853402" w:rsidRPr="00703E80">
        <w:rPr>
          <w:sz w:val="22"/>
          <w:szCs w:val="22"/>
        </w:rPr>
        <w:t>α</w:t>
      </w:r>
      <w:r w:rsidR="00853402" w:rsidRPr="00703E80">
        <w:rPr>
          <w:sz w:val="22"/>
          <w:szCs w:val="22"/>
        </w:rPr>
        <w:t>ξίας στην παραγωγή και τη μεταποίηση για τη δημιουργία ποιοτικών προϊόντων και στην ολοκληρ</w:t>
      </w:r>
      <w:r w:rsidR="00853402" w:rsidRPr="00703E80">
        <w:rPr>
          <w:sz w:val="22"/>
          <w:szCs w:val="22"/>
        </w:rPr>
        <w:t>ω</w:t>
      </w:r>
      <w:r w:rsidR="00853402" w:rsidRPr="00703E80">
        <w:rPr>
          <w:sz w:val="22"/>
          <w:szCs w:val="22"/>
        </w:rPr>
        <w:t>μένη ανάπτυξη του αγροτικού χώρου.</w:t>
      </w:r>
    </w:p>
    <w:p w:rsidR="008644F4" w:rsidRDefault="008644F4" w:rsidP="00853402">
      <w:pPr>
        <w:jc w:val="both"/>
        <w:rPr>
          <w:sz w:val="22"/>
          <w:szCs w:val="22"/>
        </w:rPr>
      </w:pPr>
    </w:p>
    <w:p w:rsidR="00853402" w:rsidRDefault="00853402" w:rsidP="00853402">
      <w:pPr>
        <w:jc w:val="both"/>
        <w:rPr>
          <w:sz w:val="22"/>
          <w:szCs w:val="22"/>
        </w:rPr>
      </w:pPr>
      <w:r w:rsidRPr="00703E80">
        <w:rPr>
          <w:sz w:val="22"/>
          <w:szCs w:val="22"/>
        </w:rPr>
        <w:t xml:space="preserve">Στο διάστημα από την έναρξη της πανδημίας </w:t>
      </w:r>
      <w:r w:rsidR="00AB1409" w:rsidRPr="00703E80">
        <w:rPr>
          <w:sz w:val="22"/>
          <w:szCs w:val="22"/>
          <w:lang w:val="en-US"/>
        </w:rPr>
        <w:t>Covid</w:t>
      </w:r>
      <w:r w:rsidRPr="00703E80">
        <w:rPr>
          <w:sz w:val="22"/>
          <w:szCs w:val="22"/>
        </w:rPr>
        <w:t>-19 έχουν αναληφθεί συγκεκριμένες πρωτοβουλίες και ειδικότερα:</w:t>
      </w:r>
    </w:p>
    <w:p w:rsidR="008644F4" w:rsidRPr="00703E80" w:rsidRDefault="008644F4" w:rsidP="00853402">
      <w:pPr>
        <w:jc w:val="both"/>
        <w:rPr>
          <w:sz w:val="22"/>
          <w:szCs w:val="22"/>
        </w:rPr>
      </w:pPr>
    </w:p>
    <w:p w:rsidR="00853402" w:rsidRPr="00703E80" w:rsidRDefault="00853402" w:rsidP="008644F4">
      <w:pPr>
        <w:pStyle w:val="af2"/>
        <w:numPr>
          <w:ilvl w:val="0"/>
          <w:numId w:val="29"/>
        </w:numPr>
        <w:tabs>
          <w:tab w:val="left" w:pos="284"/>
        </w:tabs>
        <w:spacing w:after="0" w:line="240" w:lineRule="auto"/>
        <w:ind w:left="284" w:hanging="284"/>
        <w:contextualSpacing w:val="0"/>
        <w:jc w:val="both"/>
        <w:rPr>
          <w:rFonts w:ascii="Times New Roman" w:hAnsi="Times New Roman"/>
        </w:rPr>
      </w:pPr>
      <w:r w:rsidRPr="00703E80">
        <w:rPr>
          <w:rFonts w:ascii="Times New Roman" w:hAnsi="Times New Roman"/>
        </w:rPr>
        <w:t>Ελήφθη δέσμη μέτρων διευκόλυνσης των ωφελουμένων του ΠΑΑ και απλοποίησης διαδικασιών και κανόνων που αφορούν στην εφαρμογή του.</w:t>
      </w:r>
    </w:p>
    <w:p w:rsidR="00853402" w:rsidRPr="00703E80" w:rsidRDefault="00853402" w:rsidP="008644F4">
      <w:pPr>
        <w:pStyle w:val="af2"/>
        <w:numPr>
          <w:ilvl w:val="0"/>
          <w:numId w:val="29"/>
        </w:numPr>
        <w:tabs>
          <w:tab w:val="left" w:pos="284"/>
        </w:tabs>
        <w:spacing w:after="0" w:line="240" w:lineRule="auto"/>
        <w:ind w:left="284" w:hanging="284"/>
        <w:contextualSpacing w:val="0"/>
        <w:jc w:val="both"/>
        <w:rPr>
          <w:rFonts w:ascii="Times New Roman" w:hAnsi="Times New Roman"/>
        </w:rPr>
      </w:pPr>
      <w:r w:rsidRPr="00703E80">
        <w:rPr>
          <w:rFonts w:ascii="Times New Roman" w:hAnsi="Times New Roman"/>
        </w:rPr>
        <w:lastRenderedPageBreak/>
        <w:t xml:space="preserve">Εγκρίθηκε η τροποποίηση του προσωρινού πλαισίου κρατικών ενισχύσεων για τη στήριξη των πληττόμενων επιχειρήσεων από την κρίση της πανδημίας, ώστε αφενός να διευρυνθεί το πεδίο </w:t>
      </w:r>
      <w:r w:rsidRPr="00703E80">
        <w:rPr>
          <w:rFonts w:ascii="Times New Roman" w:hAnsi="Times New Roman"/>
        </w:rPr>
        <w:t>ε</w:t>
      </w:r>
      <w:r w:rsidRPr="00703E80">
        <w:rPr>
          <w:rFonts w:ascii="Times New Roman" w:hAnsi="Times New Roman"/>
        </w:rPr>
        <w:t>φαρμογής του, περιλαμβάνοντας αυτοαπασχολούμενους και επιχειρήσεις που δραστηριοποιούνται στους τομείς της γεωργίας και της υδατοκαλλιέργειας, καθώς και επιδότηση των προμηθειών ε</w:t>
      </w:r>
      <w:r w:rsidRPr="00703E80">
        <w:rPr>
          <w:rFonts w:ascii="Times New Roman" w:hAnsi="Times New Roman"/>
        </w:rPr>
        <w:t>γ</w:t>
      </w:r>
      <w:r w:rsidRPr="00703E80">
        <w:rPr>
          <w:rFonts w:ascii="Times New Roman" w:hAnsi="Times New Roman"/>
        </w:rPr>
        <w:t>γύησης για τα δάνεια με τη μορφή άμεσων επιχορηγ</w:t>
      </w:r>
      <w:r w:rsidR="00AA1175">
        <w:rPr>
          <w:rFonts w:ascii="Times New Roman" w:hAnsi="Times New Roman"/>
        </w:rPr>
        <w:t>ήσεων</w:t>
      </w:r>
      <w:r w:rsidR="009C205E">
        <w:rPr>
          <w:rFonts w:ascii="Times New Roman" w:hAnsi="Times New Roman"/>
        </w:rPr>
        <w:t>,</w:t>
      </w:r>
      <w:r w:rsidR="00AA1175">
        <w:rPr>
          <w:rFonts w:ascii="Times New Roman" w:hAnsi="Times New Roman"/>
        </w:rPr>
        <w:t xml:space="preserve"> και</w:t>
      </w:r>
      <w:r w:rsidRPr="00703E80">
        <w:rPr>
          <w:rFonts w:ascii="Times New Roman" w:hAnsi="Times New Roman"/>
        </w:rPr>
        <w:t xml:space="preserve"> αφετέρου να αυξηθεί ο προϋπολ</w:t>
      </w:r>
      <w:r w:rsidRPr="00703E80">
        <w:rPr>
          <w:rFonts w:ascii="Times New Roman" w:hAnsi="Times New Roman"/>
        </w:rPr>
        <w:t>ο</w:t>
      </w:r>
      <w:r w:rsidRPr="00703E80">
        <w:rPr>
          <w:rFonts w:ascii="Times New Roman" w:hAnsi="Times New Roman"/>
        </w:rPr>
        <w:t>γισμός του. Στην κατεύθυνση αυτή αξιοποιήθηκε το νεοσυσταθέν Ταμείο Εγγυοδοσίας, με διαχε</w:t>
      </w:r>
      <w:r w:rsidRPr="00703E80">
        <w:rPr>
          <w:rFonts w:ascii="Times New Roman" w:hAnsi="Times New Roman"/>
        </w:rPr>
        <w:t>ι</w:t>
      </w:r>
      <w:r w:rsidRPr="00703E80">
        <w:rPr>
          <w:rFonts w:ascii="Times New Roman" w:hAnsi="Times New Roman"/>
        </w:rPr>
        <w:t xml:space="preserve">ριστή την Ελληνική Αναπτυξιακή Τράπεζα. </w:t>
      </w:r>
    </w:p>
    <w:p w:rsidR="00853402" w:rsidRPr="00703E80" w:rsidRDefault="00853402" w:rsidP="008644F4">
      <w:pPr>
        <w:pStyle w:val="af2"/>
        <w:numPr>
          <w:ilvl w:val="0"/>
          <w:numId w:val="29"/>
        </w:numPr>
        <w:tabs>
          <w:tab w:val="left" w:pos="284"/>
        </w:tabs>
        <w:spacing w:after="0" w:line="240" w:lineRule="auto"/>
        <w:ind w:left="284" w:hanging="284"/>
        <w:contextualSpacing w:val="0"/>
        <w:jc w:val="both"/>
        <w:rPr>
          <w:rFonts w:ascii="Times New Roman" w:hAnsi="Times New Roman"/>
        </w:rPr>
      </w:pPr>
      <w:r w:rsidRPr="00703E80">
        <w:rPr>
          <w:rFonts w:ascii="Times New Roman" w:hAnsi="Times New Roman"/>
        </w:rPr>
        <w:t>Κατοχυρώθηκε η</w:t>
      </w:r>
      <w:r w:rsidR="00AA1175">
        <w:rPr>
          <w:rFonts w:ascii="Times New Roman" w:hAnsi="Times New Roman"/>
        </w:rPr>
        <w:t xml:space="preserve"> δυνατότητα ενεργοποίησης νέου μ</w:t>
      </w:r>
      <w:r w:rsidRPr="00703E80">
        <w:rPr>
          <w:rFonts w:ascii="Times New Roman" w:hAnsi="Times New Roman"/>
        </w:rPr>
        <w:t xml:space="preserve">έτρου </w:t>
      </w:r>
      <w:r w:rsidR="00AA1175" w:rsidRPr="00703E80">
        <w:rPr>
          <w:rFonts w:ascii="Times New Roman" w:hAnsi="Times New Roman"/>
          <w:lang w:val="en-US"/>
        </w:rPr>
        <w:t>Covid</w:t>
      </w:r>
      <w:r w:rsidRPr="00703E80">
        <w:rPr>
          <w:rFonts w:ascii="Times New Roman" w:hAnsi="Times New Roman"/>
        </w:rPr>
        <w:t xml:space="preserve">-19, μέσω τροποποίησης του </w:t>
      </w:r>
      <w:r w:rsidR="00AA1175">
        <w:rPr>
          <w:rFonts w:ascii="Times New Roman" w:hAnsi="Times New Roman"/>
        </w:rPr>
        <w:t>Καν. 1305/13, για τη</w:t>
      </w:r>
      <w:r w:rsidRPr="00703E80">
        <w:rPr>
          <w:rFonts w:ascii="Times New Roman" w:hAnsi="Times New Roman"/>
        </w:rPr>
        <w:t xml:space="preserve"> στήριξη γεωργών και μικρομεσαίων επιχειρήσεων (ΜΜΕ) που έχουν πληγεί από την πανδημία, ενώ έχει ήδη υποβληθεί σχετικό αίτημα στην </w:t>
      </w:r>
      <w:r w:rsidRPr="00703E80">
        <w:rPr>
          <w:rFonts w:ascii="Times New Roman" w:hAnsi="Times New Roman"/>
          <w:lang w:val="en-US"/>
        </w:rPr>
        <w:t>EE</w:t>
      </w:r>
      <w:r w:rsidRPr="00703E80">
        <w:rPr>
          <w:rFonts w:ascii="Times New Roman" w:hAnsi="Times New Roman"/>
        </w:rPr>
        <w:t xml:space="preserve"> για </w:t>
      </w:r>
      <w:r w:rsidR="00AA1175">
        <w:rPr>
          <w:rFonts w:ascii="Times New Roman" w:hAnsi="Times New Roman"/>
        </w:rPr>
        <w:t>την τροποποίηση του ΠΑΑ, για τη</w:t>
      </w:r>
      <w:r w:rsidRPr="00703E80">
        <w:rPr>
          <w:rFonts w:ascii="Times New Roman" w:hAnsi="Times New Roman"/>
        </w:rPr>
        <w:t xml:space="preserve"> στήριξη των ελαιοπαραγωγών.</w:t>
      </w:r>
    </w:p>
    <w:p w:rsidR="00853402" w:rsidRPr="00703E80" w:rsidRDefault="00853402" w:rsidP="008644F4">
      <w:pPr>
        <w:pStyle w:val="af2"/>
        <w:numPr>
          <w:ilvl w:val="0"/>
          <w:numId w:val="29"/>
        </w:numPr>
        <w:tabs>
          <w:tab w:val="left" w:pos="284"/>
        </w:tabs>
        <w:spacing w:after="0" w:line="240" w:lineRule="auto"/>
        <w:ind w:left="284" w:hanging="284"/>
        <w:contextualSpacing w:val="0"/>
        <w:jc w:val="both"/>
        <w:rPr>
          <w:rFonts w:ascii="Times New Roman" w:hAnsi="Times New Roman"/>
        </w:rPr>
      </w:pPr>
      <w:r w:rsidRPr="00703E80">
        <w:rPr>
          <w:rFonts w:ascii="Times New Roman" w:hAnsi="Times New Roman"/>
        </w:rPr>
        <w:t>Επιταχύνθηκαν οι διαδικασίες ενεργοποίησης των Χρηματοδοτικών Εργαλείων του ΠΑΑ και ειδ</w:t>
      </w:r>
      <w:r w:rsidRPr="00703E80">
        <w:rPr>
          <w:rFonts w:ascii="Times New Roman" w:hAnsi="Times New Roman"/>
        </w:rPr>
        <w:t>ι</w:t>
      </w:r>
      <w:r w:rsidRPr="00703E80">
        <w:rPr>
          <w:rFonts w:ascii="Times New Roman" w:hAnsi="Times New Roman"/>
        </w:rPr>
        <w:t>κότερα του Ταμείου Εγγυοδοσίας Αγροτικής Ανάπτυξης για τη στήριξη της υλοποίησης επενδυτ</w:t>
      </w:r>
      <w:r w:rsidRPr="00703E80">
        <w:rPr>
          <w:rFonts w:ascii="Times New Roman" w:hAnsi="Times New Roman"/>
        </w:rPr>
        <w:t>ι</w:t>
      </w:r>
      <w:r w:rsidRPr="00703E80">
        <w:rPr>
          <w:rFonts w:ascii="Times New Roman" w:hAnsi="Times New Roman"/>
        </w:rPr>
        <w:t>κών σχεδ</w:t>
      </w:r>
      <w:r w:rsidR="00AA1175">
        <w:rPr>
          <w:rFonts w:ascii="Times New Roman" w:hAnsi="Times New Roman"/>
        </w:rPr>
        <w:t>ίων στον πρωτογενή τομέα και τη</w:t>
      </w:r>
      <w:r w:rsidRPr="00703E80">
        <w:rPr>
          <w:rFonts w:ascii="Times New Roman" w:hAnsi="Times New Roman"/>
        </w:rPr>
        <w:t xml:space="preserve"> μεταποίηση γεωργικών προϊόντων.</w:t>
      </w:r>
    </w:p>
    <w:p w:rsidR="00853402" w:rsidRPr="00703E80" w:rsidRDefault="00853402" w:rsidP="008644F4">
      <w:pPr>
        <w:pStyle w:val="af2"/>
        <w:numPr>
          <w:ilvl w:val="0"/>
          <w:numId w:val="29"/>
        </w:numPr>
        <w:tabs>
          <w:tab w:val="left" w:pos="284"/>
        </w:tabs>
        <w:spacing w:after="0" w:line="240" w:lineRule="auto"/>
        <w:ind w:left="284" w:hanging="284"/>
        <w:contextualSpacing w:val="0"/>
        <w:jc w:val="both"/>
        <w:rPr>
          <w:rFonts w:ascii="Times New Roman" w:hAnsi="Times New Roman"/>
          <w:bCs/>
        </w:rPr>
      </w:pPr>
      <w:r w:rsidRPr="00703E80">
        <w:rPr>
          <w:rFonts w:ascii="Times New Roman" w:hAnsi="Times New Roman"/>
        </w:rPr>
        <w:t>Τέλος, σχεδιάζεται η Στρατηγική Τροποποίηση του ΠΑΑ, προκειμένου να ανακατανεμηθούν π</w:t>
      </w:r>
      <w:r w:rsidRPr="00703E80">
        <w:rPr>
          <w:rFonts w:ascii="Times New Roman" w:hAnsi="Times New Roman"/>
        </w:rPr>
        <w:t>ό</w:t>
      </w:r>
      <w:r w:rsidRPr="00703E80">
        <w:rPr>
          <w:rFonts w:ascii="Times New Roman" w:hAnsi="Times New Roman"/>
        </w:rPr>
        <w:t>ροι στη βάση ικανοποίησης ανελαστικών υποχρεώσεων σε μέτρα μεγάλης χρηματοδοτικής βαρ</w:t>
      </w:r>
      <w:r w:rsidRPr="00703E80">
        <w:rPr>
          <w:rFonts w:ascii="Times New Roman" w:hAnsi="Times New Roman"/>
        </w:rPr>
        <w:t>ύ</w:t>
      </w:r>
      <w:r w:rsidRPr="00703E80">
        <w:rPr>
          <w:rFonts w:ascii="Times New Roman" w:hAnsi="Times New Roman"/>
        </w:rPr>
        <w:t>τητας, όπως το μέτρο της εξισωτικής αποζημίωσης (ενίσχυση του εισοδήματος των παραγωγών για τη διατήρηση της γεωργικής δραστηριότητας σε περιοχές με φυσικούς περιορισμούς), καθώς και διασφάλισης της αποτελεσματικότερης υλοποίησης του Προγράμματος.</w:t>
      </w:r>
    </w:p>
    <w:p w:rsidR="00853402" w:rsidRPr="00703E80" w:rsidRDefault="00853402" w:rsidP="00853402">
      <w:pPr>
        <w:tabs>
          <w:tab w:val="left" w:pos="180"/>
          <w:tab w:val="left" w:pos="426"/>
        </w:tabs>
        <w:ind w:left="426" w:hanging="426"/>
        <w:jc w:val="both"/>
        <w:rPr>
          <w:sz w:val="22"/>
          <w:szCs w:val="22"/>
        </w:rPr>
      </w:pPr>
    </w:p>
    <w:p w:rsidR="00853402" w:rsidRPr="008644F4" w:rsidRDefault="00853402" w:rsidP="00853402">
      <w:pPr>
        <w:tabs>
          <w:tab w:val="left" w:pos="180"/>
          <w:tab w:val="left" w:pos="426"/>
        </w:tabs>
        <w:ind w:left="426" w:hanging="426"/>
        <w:jc w:val="both"/>
        <w:rPr>
          <w:b/>
          <w:sz w:val="22"/>
          <w:szCs w:val="22"/>
        </w:rPr>
      </w:pPr>
      <w:r w:rsidRPr="008644F4">
        <w:rPr>
          <w:b/>
          <w:sz w:val="22"/>
          <w:szCs w:val="22"/>
        </w:rPr>
        <w:t>Αλιεία και Θάλασσα</w:t>
      </w:r>
    </w:p>
    <w:p w:rsidR="00853402" w:rsidRPr="00703E80" w:rsidRDefault="00853402" w:rsidP="00853402">
      <w:pPr>
        <w:pStyle w:val="Web"/>
        <w:spacing w:before="0" w:beforeAutospacing="0" w:after="0"/>
        <w:jc w:val="both"/>
        <w:rPr>
          <w:sz w:val="22"/>
          <w:szCs w:val="22"/>
        </w:rPr>
      </w:pPr>
      <w:r w:rsidRPr="00703E80">
        <w:rPr>
          <w:sz w:val="22"/>
          <w:szCs w:val="22"/>
        </w:rPr>
        <w:t>Αποτελεί έναν από τους σημαντικότερους μοχλούς ανάπτυξης για τη χώρα μας κατά την παρούσα Προγραμματική Περίοδο, στοχεύοντας στην ενίσχυση της ανταγωνιστικότητας των επιχειρήσεων της αλιείας, υδατοκαλλιέργειας και μεταποίησης των σχετικών προϊόντων, με ταυτόχρονη προστασία του περιβάλλοντος. Αξιοποιώντας τους πόρους του Ευρωπαϊκού Ταμείου Θάλασσας και Αλιείας (ΕΤΘΑ), το εν λόγω ΕΠ συμβάλλει στην επίτευξη των στόχων της στρατηγικής «Ευρώπη 2020», στην επίτευξη των στόχων της Κοινής Αλιευτικής Πολιτικής (ΚΑλΠ) και της Ολοκληρωμένης Θαλάσσιας Πολιτικής (ΟΘΠ).</w:t>
      </w:r>
    </w:p>
    <w:p w:rsidR="008644F4" w:rsidRDefault="008644F4" w:rsidP="00853402">
      <w:pPr>
        <w:jc w:val="both"/>
        <w:rPr>
          <w:sz w:val="22"/>
          <w:szCs w:val="22"/>
        </w:rPr>
      </w:pPr>
    </w:p>
    <w:p w:rsidR="00853402" w:rsidRPr="00703E80" w:rsidRDefault="00853402" w:rsidP="00853402">
      <w:pPr>
        <w:jc w:val="both"/>
        <w:rPr>
          <w:sz w:val="22"/>
          <w:szCs w:val="22"/>
        </w:rPr>
      </w:pPr>
      <w:r w:rsidRPr="00703E80">
        <w:rPr>
          <w:sz w:val="22"/>
          <w:szCs w:val="22"/>
        </w:rPr>
        <w:t>Για την αντιμετώπιση των συνεπειών της πανδημίας βρίσκεται σε εξέλιξη δράση υποστήριξης απ</w:t>
      </w:r>
      <w:r w:rsidRPr="00703E80">
        <w:rPr>
          <w:sz w:val="22"/>
          <w:szCs w:val="22"/>
        </w:rPr>
        <w:t>ώ</w:t>
      </w:r>
      <w:r w:rsidRPr="00703E80">
        <w:rPr>
          <w:sz w:val="22"/>
          <w:szCs w:val="22"/>
        </w:rPr>
        <w:t>λειας εισοδήματος των αλιέων. Αναμένεται να δημοσιευθεί αντίστοιχη δράση υποστήριξης του κλ</w:t>
      </w:r>
      <w:r w:rsidRPr="00703E80">
        <w:rPr>
          <w:sz w:val="22"/>
          <w:szCs w:val="22"/>
        </w:rPr>
        <w:t>ά</w:t>
      </w:r>
      <w:r w:rsidRPr="00703E80">
        <w:rPr>
          <w:sz w:val="22"/>
          <w:szCs w:val="22"/>
        </w:rPr>
        <w:t>δου της υδατοκαλλιέργειας.</w:t>
      </w:r>
    </w:p>
    <w:p w:rsidR="00853402" w:rsidRPr="00703E80" w:rsidRDefault="00853402" w:rsidP="00853402">
      <w:pPr>
        <w:tabs>
          <w:tab w:val="left" w:pos="180"/>
          <w:tab w:val="left" w:pos="426"/>
        </w:tabs>
        <w:ind w:left="426" w:hanging="426"/>
        <w:jc w:val="both"/>
        <w:rPr>
          <w:sz w:val="22"/>
          <w:szCs w:val="22"/>
        </w:rPr>
      </w:pPr>
    </w:p>
    <w:p w:rsidR="00853402" w:rsidRPr="008644F4" w:rsidRDefault="00853402" w:rsidP="00853402">
      <w:pPr>
        <w:tabs>
          <w:tab w:val="left" w:pos="180"/>
          <w:tab w:val="left" w:pos="426"/>
        </w:tabs>
        <w:ind w:left="426" w:hanging="426"/>
        <w:jc w:val="both"/>
        <w:rPr>
          <w:b/>
          <w:sz w:val="22"/>
          <w:szCs w:val="22"/>
        </w:rPr>
      </w:pPr>
      <w:r w:rsidRPr="008644F4">
        <w:rPr>
          <w:b/>
          <w:sz w:val="22"/>
          <w:szCs w:val="22"/>
        </w:rPr>
        <w:t>Τεχνική Βοήθεια</w:t>
      </w:r>
    </w:p>
    <w:p w:rsidR="00853402" w:rsidRPr="00703E80" w:rsidRDefault="00853402" w:rsidP="00853402">
      <w:pPr>
        <w:jc w:val="both"/>
        <w:rPr>
          <w:sz w:val="22"/>
          <w:szCs w:val="22"/>
        </w:rPr>
      </w:pPr>
      <w:r w:rsidRPr="00703E80">
        <w:rPr>
          <w:sz w:val="22"/>
          <w:szCs w:val="22"/>
        </w:rPr>
        <w:t>Αποτελεί παρέμβαση οριζόντιου χαρακτήρα και αφορά στην υποστήριξη των φορέων και των δομών διοίκησης, συντονισμού και εφαρμογής του ΕΣΠΑ 2014-2020.</w:t>
      </w:r>
    </w:p>
    <w:p w:rsidR="00853402" w:rsidRPr="00703E80" w:rsidRDefault="00853402" w:rsidP="00853402">
      <w:pPr>
        <w:tabs>
          <w:tab w:val="left" w:pos="180"/>
          <w:tab w:val="left" w:pos="426"/>
        </w:tabs>
        <w:ind w:left="426" w:hanging="426"/>
        <w:jc w:val="both"/>
        <w:rPr>
          <w:sz w:val="22"/>
          <w:szCs w:val="22"/>
        </w:rPr>
      </w:pPr>
    </w:p>
    <w:p w:rsidR="00853402" w:rsidRPr="008644F4" w:rsidRDefault="00853402" w:rsidP="008644F4">
      <w:pPr>
        <w:tabs>
          <w:tab w:val="left" w:pos="180"/>
          <w:tab w:val="left" w:pos="426"/>
        </w:tabs>
        <w:jc w:val="both"/>
        <w:rPr>
          <w:b/>
          <w:sz w:val="22"/>
          <w:szCs w:val="22"/>
        </w:rPr>
      </w:pPr>
      <w:r w:rsidRPr="008644F4">
        <w:rPr>
          <w:b/>
          <w:sz w:val="22"/>
          <w:szCs w:val="22"/>
        </w:rPr>
        <w:t>Προγράμματα Ευρωπαϊκής Εδαφικής Συνεργασίας</w:t>
      </w:r>
    </w:p>
    <w:p w:rsidR="00853402" w:rsidRPr="00703E80" w:rsidRDefault="00853402" w:rsidP="00853402">
      <w:pPr>
        <w:jc w:val="both"/>
        <w:rPr>
          <w:sz w:val="22"/>
          <w:szCs w:val="22"/>
        </w:rPr>
      </w:pPr>
      <w:r w:rsidRPr="00703E80">
        <w:rPr>
          <w:sz w:val="22"/>
          <w:szCs w:val="22"/>
        </w:rPr>
        <w:t>Από τα συνολικά διαθέσιμα 456,3 εκατ. ευρώ (</w:t>
      </w:r>
      <w:r w:rsidRPr="00703E80">
        <w:rPr>
          <w:i/>
          <w:iCs/>
          <w:sz w:val="22"/>
          <w:szCs w:val="22"/>
        </w:rPr>
        <w:t>συμπεριλαμβάνεται η αναλογία όλων των χωρών που συμμετέχουν)</w:t>
      </w:r>
      <w:r w:rsidRPr="00703E80">
        <w:rPr>
          <w:sz w:val="22"/>
          <w:szCs w:val="22"/>
        </w:rPr>
        <w:t xml:space="preserve"> εντάχθηκαν έργα που αφορούν στα διασυνοριακά προγράμματα με Κύπρο, Βουλγαρία, Δημοκρατία της Βόρειας Μακεδονίας, Αλβανία, Ιταλία και το διακρατικό πρόγραμμα συνεργασίας Βαλκανικής-Μεσογείου. </w:t>
      </w:r>
    </w:p>
    <w:p w:rsidR="008644F4" w:rsidRDefault="008644F4" w:rsidP="00853402">
      <w:pPr>
        <w:jc w:val="both"/>
        <w:rPr>
          <w:sz w:val="22"/>
          <w:szCs w:val="22"/>
        </w:rPr>
      </w:pPr>
    </w:p>
    <w:p w:rsidR="00853402" w:rsidRPr="00703E80" w:rsidRDefault="00853402" w:rsidP="00853402">
      <w:pPr>
        <w:jc w:val="both"/>
        <w:rPr>
          <w:color w:val="000000"/>
          <w:sz w:val="22"/>
          <w:szCs w:val="22"/>
        </w:rPr>
      </w:pPr>
      <w:r w:rsidRPr="00703E80">
        <w:rPr>
          <w:sz w:val="22"/>
          <w:szCs w:val="22"/>
        </w:rPr>
        <w:t>Ειδικότερα σημειώνεται ότι στο πρόγραμμα διασυνοριακής συνεργασίας INTERREG Ελλάδα – Ιτ</w:t>
      </w:r>
      <w:r w:rsidRPr="00703E80">
        <w:rPr>
          <w:sz w:val="22"/>
          <w:szCs w:val="22"/>
        </w:rPr>
        <w:t>α</w:t>
      </w:r>
      <w:r w:rsidRPr="00703E80">
        <w:rPr>
          <w:sz w:val="22"/>
          <w:szCs w:val="22"/>
        </w:rPr>
        <w:t>λία έχει εγκριθεί ήδη η 1</w:t>
      </w:r>
      <w:r w:rsidRPr="00703E80">
        <w:rPr>
          <w:sz w:val="22"/>
          <w:szCs w:val="22"/>
          <w:vertAlign w:val="superscript"/>
        </w:rPr>
        <w:t>η</w:t>
      </w:r>
      <w:r w:rsidRPr="00703E80">
        <w:rPr>
          <w:sz w:val="22"/>
          <w:szCs w:val="22"/>
        </w:rPr>
        <w:t xml:space="preserve"> αναθεώρηση (2019),</w:t>
      </w:r>
      <w:r w:rsidR="0036295E">
        <w:rPr>
          <w:sz w:val="22"/>
          <w:szCs w:val="22"/>
        </w:rPr>
        <w:t xml:space="preserve"> ενώ αναμένεται η έγκριση της ΕΕ</w:t>
      </w:r>
      <w:r w:rsidRPr="00703E80">
        <w:rPr>
          <w:sz w:val="22"/>
          <w:szCs w:val="22"/>
        </w:rPr>
        <w:t xml:space="preserve"> για τη </w:t>
      </w:r>
      <w:r w:rsidRPr="00703E80">
        <w:rPr>
          <w:color w:val="000000"/>
          <w:sz w:val="22"/>
          <w:szCs w:val="22"/>
        </w:rPr>
        <w:t>2</w:t>
      </w:r>
      <w:r w:rsidRPr="00703E80">
        <w:rPr>
          <w:color w:val="000000"/>
          <w:sz w:val="22"/>
          <w:szCs w:val="22"/>
          <w:vertAlign w:val="superscript"/>
        </w:rPr>
        <w:t>η</w:t>
      </w:r>
      <w:r w:rsidRPr="00703E80">
        <w:rPr>
          <w:color w:val="000000"/>
          <w:sz w:val="22"/>
          <w:szCs w:val="22"/>
        </w:rPr>
        <w:t>, η οποία είχε σαν κύριο στόχο την κάλυψη του προϋπολογισμού της «Πρόσκλησης Έκτακτης Ανάγκης».</w:t>
      </w:r>
    </w:p>
    <w:p w:rsidR="00853402" w:rsidRPr="00703E80" w:rsidRDefault="00853402" w:rsidP="00853402">
      <w:pPr>
        <w:tabs>
          <w:tab w:val="left" w:pos="180"/>
          <w:tab w:val="left" w:pos="426"/>
        </w:tabs>
        <w:ind w:left="426" w:hanging="426"/>
        <w:jc w:val="both"/>
        <w:rPr>
          <w:sz w:val="22"/>
          <w:szCs w:val="22"/>
        </w:rPr>
      </w:pPr>
    </w:p>
    <w:p w:rsidR="00853402" w:rsidRPr="008644F4" w:rsidRDefault="00853402" w:rsidP="00853402">
      <w:pPr>
        <w:tabs>
          <w:tab w:val="left" w:pos="180"/>
          <w:tab w:val="left" w:pos="426"/>
        </w:tabs>
        <w:ind w:left="426" w:hanging="426"/>
        <w:jc w:val="both"/>
        <w:rPr>
          <w:b/>
          <w:sz w:val="22"/>
          <w:szCs w:val="22"/>
        </w:rPr>
      </w:pPr>
      <w:r w:rsidRPr="008644F4">
        <w:rPr>
          <w:b/>
          <w:sz w:val="22"/>
          <w:szCs w:val="22"/>
        </w:rPr>
        <w:t>Περιφερ</w:t>
      </w:r>
      <w:r w:rsidR="00741386">
        <w:rPr>
          <w:b/>
          <w:sz w:val="22"/>
          <w:szCs w:val="22"/>
        </w:rPr>
        <w:t>ειακά Επιχειρησιακά Προγράμματα</w:t>
      </w:r>
    </w:p>
    <w:p w:rsidR="00853402" w:rsidRPr="00703E80" w:rsidRDefault="00853402" w:rsidP="00853402">
      <w:pPr>
        <w:jc w:val="both"/>
        <w:rPr>
          <w:sz w:val="22"/>
          <w:szCs w:val="22"/>
        </w:rPr>
      </w:pPr>
      <w:r w:rsidRPr="00703E80">
        <w:rPr>
          <w:sz w:val="22"/>
          <w:szCs w:val="22"/>
        </w:rPr>
        <w:t xml:space="preserve">Υλοποιούνται 13 Περιφερειακά Επιχειρησιακά Προγράμματα (ΠΕΠ) που περιλαμβάνουν έργα και δράσεις περιφερειακής κλίμακας και στοχεύουν να εξυπηρετήσουν τις κύριες προτεραιότητες του ΕΣΠΑ. </w:t>
      </w:r>
    </w:p>
    <w:p w:rsidR="008644F4" w:rsidRDefault="008644F4" w:rsidP="00853402">
      <w:pPr>
        <w:jc w:val="both"/>
        <w:rPr>
          <w:sz w:val="22"/>
          <w:szCs w:val="22"/>
        </w:rPr>
      </w:pPr>
    </w:p>
    <w:p w:rsidR="00853402" w:rsidRPr="00703E80" w:rsidRDefault="00853402" w:rsidP="00853402">
      <w:pPr>
        <w:jc w:val="both"/>
        <w:rPr>
          <w:sz w:val="22"/>
          <w:szCs w:val="22"/>
        </w:rPr>
      </w:pPr>
      <w:r w:rsidRPr="00703E80">
        <w:rPr>
          <w:sz w:val="22"/>
          <w:szCs w:val="22"/>
        </w:rPr>
        <w:t>Με την αναθεώρηση του 2020, το σύνολο της ενωσιακής στήριξης του προϋπολογισμού των ΠΕΠ μειώθηκε με μεταφορά πόρων στο ΕΠ</w:t>
      </w:r>
      <w:r w:rsidRPr="00703E80">
        <w:rPr>
          <w:sz w:val="22"/>
          <w:szCs w:val="22"/>
          <w:lang w:val="en-US"/>
        </w:rPr>
        <w:t>A</w:t>
      </w:r>
      <w:r w:rsidR="0036295E">
        <w:rPr>
          <w:sz w:val="22"/>
          <w:szCs w:val="22"/>
        </w:rPr>
        <w:t>Ν</w:t>
      </w:r>
      <w:r w:rsidRPr="00703E80">
        <w:rPr>
          <w:sz w:val="22"/>
          <w:szCs w:val="22"/>
          <w:lang w:val="en-US"/>
        </w:rPr>
        <w:t>EK</w:t>
      </w:r>
      <w:r w:rsidRPr="00703E80">
        <w:rPr>
          <w:sz w:val="22"/>
          <w:szCs w:val="22"/>
        </w:rPr>
        <w:t>.</w:t>
      </w:r>
    </w:p>
    <w:p w:rsidR="008644F4" w:rsidRDefault="008644F4" w:rsidP="00853402">
      <w:pPr>
        <w:jc w:val="both"/>
        <w:rPr>
          <w:sz w:val="22"/>
          <w:szCs w:val="22"/>
        </w:rPr>
      </w:pPr>
    </w:p>
    <w:p w:rsidR="00853402" w:rsidRPr="00703E80" w:rsidRDefault="00853402" w:rsidP="00853402">
      <w:pPr>
        <w:jc w:val="both"/>
        <w:rPr>
          <w:sz w:val="22"/>
          <w:szCs w:val="22"/>
        </w:rPr>
      </w:pPr>
      <w:r w:rsidRPr="00703E80">
        <w:rPr>
          <w:sz w:val="22"/>
          <w:szCs w:val="22"/>
        </w:rPr>
        <w:lastRenderedPageBreak/>
        <w:t>Τα ΠΕΠ ενεργοποιούν δράσεις που αφορούν συγχρηματοδοτούμενες δράσεις του Ευρωπαϊκού Τ</w:t>
      </w:r>
      <w:r w:rsidRPr="00703E80">
        <w:rPr>
          <w:sz w:val="22"/>
          <w:szCs w:val="22"/>
        </w:rPr>
        <w:t>α</w:t>
      </w:r>
      <w:r w:rsidRPr="00703E80">
        <w:rPr>
          <w:sz w:val="22"/>
          <w:szCs w:val="22"/>
        </w:rPr>
        <w:t>μείου Περιφερειακής Ανάπτυξης (ΕΤΠΑ) και δράσεις του Ευρωπαϊκού Κοινωνικού Ταμείου (ΕΚΤ).</w:t>
      </w:r>
    </w:p>
    <w:p w:rsidR="008644F4" w:rsidRDefault="008644F4" w:rsidP="00853402">
      <w:pPr>
        <w:jc w:val="both"/>
        <w:rPr>
          <w:sz w:val="22"/>
          <w:szCs w:val="22"/>
        </w:rPr>
      </w:pPr>
    </w:p>
    <w:p w:rsidR="00853402" w:rsidRPr="00703E80" w:rsidRDefault="00853402" w:rsidP="00853402">
      <w:pPr>
        <w:jc w:val="both"/>
        <w:rPr>
          <w:sz w:val="22"/>
          <w:szCs w:val="22"/>
        </w:rPr>
      </w:pPr>
      <w:r w:rsidRPr="00703E80">
        <w:rPr>
          <w:sz w:val="22"/>
          <w:szCs w:val="22"/>
        </w:rPr>
        <w:t>Όσον αφορά το ΕΤΠΑ, μεταξύ των δράσεων που έχουν</w:t>
      </w:r>
      <w:r w:rsidR="0036295E">
        <w:rPr>
          <w:sz w:val="22"/>
          <w:szCs w:val="22"/>
        </w:rPr>
        <w:t xml:space="preserve"> ενεργοποιηθεί είναι οι δράσεις</w:t>
      </w:r>
      <w:r w:rsidRPr="00703E80">
        <w:rPr>
          <w:sz w:val="22"/>
          <w:szCs w:val="22"/>
        </w:rPr>
        <w:t xml:space="preserve"> ενίσχυσης της έρευνας και καινοτομίας</w:t>
      </w:r>
      <w:r w:rsidR="0036295E">
        <w:rPr>
          <w:sz w:val="22"/>
          <w:szCs w:val="22"/>
        </w:rPr>
        <w:t>,</w:t>
      </w:r>
      <w:r w:rsidRPr="00703E80">
        <w:rPr>
          <w:sz w:val="22"/>
          <w:szCs w:val="22"/>
        </w:rPr>
        <w:t xml:space="preserve"> καθώς και των εφαρμογών Τεχνολογιών Πληροφορίας και Επικοινωνίας (ΤΠΕ), στήριξης της επιχειρηματικότητας, προώθησης στρατηγικών χαμηλών εκπομπών διοξειδίου του άνθρακα, δράσεις στον τομέα του περιβάλλοντος και των περιβαλλοντικών υποδομών, δράσεις στου</w:t>
      </w:r>
      <w:r w:rsidR="0036295E">
        <w:rPr>
          <w:sz w:val="22"/>
          <w:szCs w:val="22"/>
        </w:rPr>
        <w:t>ς</w:t>
      </w:r>
      <w:r w:rsidRPr="00703E80">
        <w:rPr>
          <w:sz w:val="22"/>
          <w:szCs w:val="22"/>
        </w:rPr>
        <w:t xml:space="preserve"> τομείς των υποδομών μεταφορών και βιώσιμων μεταφορών κ.α.</w:t>
      </w:r>
    </w:p>
    <w:p w:rsidR="008644F4" w:rsidRDefault="008644F4" w:rsidP="00853402">
      <w:pPr>
        <w:jc w:val="both"/>
        <w:rPr>
          <w:sz w:val="22"/>
          <w:szCs w:val="22"/>
        </w:rPr>
      </w:pPr>
    </w:p>
    <w:p w:rsidR="00853402" w:rsidRPr="00703E80" w:rsidRDefault="00853402" w:rsidP="00853402">
      <w:pPr>
        <w:jc w:val="both"/>
        <w:rPr>
          <w:sz w:val="22"/>
          <w:szCs w:val="22"/>
        </w:rPr>
      </w:pPr>
      <w:r w:rsidRPr="00703E80">
        <w:rPr>
          <w:sz w:val="22"/>
          <w:szCs w:val="22"/>
        </w:rPr>
        <w:t xml:space="preserve">Όσον αφορά στο ΕΚΤ, έχουν ενεργοποιηθεί δράσεις για την προαγωγή της κοινωνικής ένταξης, την καταπολέμηση της φτώχειας και τυχόν διακρίσεων και την προώθηση της διατηρήσιμης και ποιοτικής απασχόλησης και </w:t>
      </w:r>
      <w:r w:rsidR="00FB7808">
        <w:rPr>
          <w:sz w:val="22"/>
          <w:szCs w:val="22"/>
        </w:rPr>
        <w:t xml:space="preserve">την </w:t>
      </w:r>
      <w:r w:rsidRPr="00703E80">
        <w:rPr>
          <w:sz w:val="22"/>
          <w:szCs w:val="22"/>
        </w:rPr>
        <w:t>στήριξη της κινητικότητας του εργατικού δυναμικού.</w:t>
      </w:r>
    </w:p>
    <w:p w:rsidR="008644F4" w:rsidRDefault="008644F4" w:rsidP="00853402">
      <w:pPr>
        <w:jc w:val="both"/>
        <w:rPr>
          <w:sz w:val="22"/>
          <w:szCs w:val="22"/>
        </w:rPr>
      </w:pPr>
    </w:p>
    <w:p w:rsidR="00853402" w:rsidRPr="00703E80" w:rsidRDefault="00853402" w:rsidP="00853402">
      <w:pPr>
        <w:jc w:val="both"/>
        <w:rPr>
          <w:color w:val="000000"/>
          <w:sz w:val="22"/>
          <w:szCs w:val="22"/>
          <w:shd w:val="clear" w:color="auto" w:fill="FFFFFF"/>
        </w:rPr>
      </w:pPr>
      <w:r w:rsidRPr="00703E80">
        <w:rPr>
          <w:sz w:val="22"/>
          <w:szCs w:val="22"/>
        </w:rPr>
        <w:t>Αναφορικά με την υγειονομική κρίση</w:t>
      </w:r>
      <w:r w:rsidRPr="00703E80">
        <w:rPr>
          <w:color w:val="000000"/>
          <w:sz w:val="22"/>
          <w:szCs w:val="22"/>
          <w:shd w:val="clear" w:color="auto" w:fill="FFFFFF"/>
        </w:rPr>
        <w:t xml:space="preserve"> λόγω </w:t>
      </w:r>
      <w:r w:rsidR="0036295E" w:rsidRPr="00703E80">
        <w:rPr>
          <w:color w:val="000000"/>
          <w:sz w:val="22"/>
          <w:szCs w:val="22"/>
          <w:shd w:val="clear" w:color="auto" w:fill="FFFFFF"/>
          <w:lang w:val="en-US"/>
        </w:rPr>
        <w:t>Covid</w:t>
      </w:r>
      <w:r w:rsidRPr="00703E80">
        <w:rPr>
          <w:color w:val="000000"/>
          <w:sz w:val="22"/>
          <w:szCs w:val="22"/>
          <w:shd w:val="clear" w:color="auto" w:fill="FFFFFF"/>
        </w:rPr>
        <w:t>-19</w:t>
      </w:r>
      <w:r w:rsidRPr="00703E80">
        <w:rPr>
          <w:sz w:val="22"/>
          <w:szCs w:val="22"/>
        </w:rPr>
        <w:t>, τ</w:t>
      </w:r>
      <w:r w:rsidRPr="00703E80">
        <w:rPr>
          <w:color w:val="000000"/>
          <w:sz w:val="22"/>
          <w:szCs w:val="22"/>
          <w:shd w:val="clear" w:color="auto" w:fill="FFFFFF"/>
        </w:rPr>
        <w:t>α ΠΕΠ</w:t>
      </w:r>
      <w:r w:rsidR="0036295E">
        <w:rPr>
          <w:color w:val="000000"/>
          <w:sz w:val="22"/>
          <w:szCs w:val="22"/>
          <w:shd w:val="clear" w:color="auto" w:fill="FFFFFF"/>
        </w:rPr>
        <w:t xml:space="preserve"> </w:t>
      </w:r>
      <w:r w:rsidRPr="00703E80">
        <w:rPr>
          <w:color w:val="000000"/>
          <w:sz w:val="22"/>
          <w:szCs w:val="22"/>
          <w:shd w:val="clear" w:color="auto" w:fill="FFFFFF"/>
        </w:rPr>
        <w:t>συμμετέχουν στην εθνική προσπάθεια αντιμετώπισ</w:t>
      </w:r>
      <w:r w:rsidR="00946687">
        <w:rPr>
          <w:color w:val="000000"/>
          <w:sz w:val="22"/>
          <w:szCs w:val="22"/>
          <w:shd w:val="clear" w:color="auto" w:fill="FFFFFF"/>
        </w:rPr>
        <w:t>η</w:t>
      </w:r>
      <w:r w:rsidRPr="00703E80">
        <w:rPr>
          <w:color w:val="000000"/>
          <w:sz w:val="22"/>
          <w:szCs w:val="22"/>
          <w:shd w:val="clear" w:color="auto" w:fill="FFFFFF"/>
        </w:rPr>
        <w:t>ς της πανδημίας, χρηματοδοτώντας δράσεις διασφάλισης δημόσιας υγείας και ενίσχυσης υπηρεσιών Υγείας</w:t>
      </w:r>
      <w:r w:rsidR="001C20A6">
        <w:rPr>
          <w:color w:val="000000"/>
          <w:sz w:val="22"/>
          <w:szCs w:val="22"/>
          <w:shd w:val="clear" w:color="auto" w:fill="FFFFFF"/>
        </w:rPr>
        <w:t xml:space="preserve"> συνολικού ύψους 300 εκατ. ευρώ</w:t>
      </w:r>
      <w:r w:rsidRPr="00703E80">
        <w:rPr>
          <w:color w:val="000000"/>
          <w:sz w:val="22"/>
          <w:szCs w:val="22"/>
          <w:shd w:val="clear" w:color="auto" w:fill="FFFFFF"/>
        </w:rPr>
        <w:t>. Οι δράσεις αυτές αφορούν κυρίως σε προμήθε</w:t>
      </w:r>
      <w:r w:rsidRPr="00703E80">
        <w:rPr>
          <w:color w:val="000000"/>
          <w:sz w:val="22"/>
          <w:szCs w:val="22"/>
          <w:shd w:val="clear" w:color="auto" w:fill="FFFFFF"/>
        </w:rPr>
        <w:t>ι</w:t>
      </w:r>
      <w:r w:rsidRPr="00703E80">
        <w:rPr>
          <w:color w:val="000000"/>
          <w:sz w:val="22"/>
          <w:szCs w:val="22"/>
          <w:shd w:val="clear" w:color="auto" w:fill="FFFFFF"/>
        </w:rPr>
        <w:t xml:space="preserve">ες ειδικού ιατρικού εξοπλισμού και στην ενίσχυση των Μονάδων και Φορέων Υγείας με επικουρικό προσωπικό. </w:t>
      </w:r>
      <w:r w:rsidRPr="00703E80">
        <w:rPr>
          <w:sz w:val="22"/>
          <w:szCs w:val="22"/>
        </w:rPr>
        <w:t>Επιπλέον</w:t>
      </w:r>
      <w:r w:rsidR="0036295E">
        <w:rPr>
          <w:sz w:val="22"/>
          <w:szCs w:val="22"/>
        </w:rPr>
        <w:t xml:space="preserve">, για τη </w:t>
      </w:r>
      <w:r w:rsidRPr="00703E80">
        <w:rPr>
          <w:sz w:val="22"/>
          <w:szCs w:val="22"/>
        </w:rPr>
        <w:t>στήριξη των επιχειρήσεων που αντιμετωπίζουν ανεπάρκεια ρευστότητας και υφίστανται σημαντικές ζημίες λόγω των επιπτώσεων από τα μέτρα για τον περιορισμό της έξα</w:t>
      </w:r>
      <w:r w:rsidRPr="00703E80">
        <w:rPr>
          <w:sz w:val="22"/>
          <w:szCs w:val="22"/>
        </w:rPr>
        <w:t>ρ</w:t>
      </w:r>
      <w:r w:rsidRPr="00703E80">
        <w:rPr>
          <w:sz w:val="22"/>
          <w:szCs w:val="22"/>
        </w:rPr>
        <w:t xml:space="preserve">σης της πανδημίας, συγχρηματοδοτείται δράση ενίσχυσης </w:t>
      </w:r>
      <w:r w:rsidRPr="00703E80">
        <w:rPr>
          <w:color w:val="000000"/>
          <w:sz w:val="22"/>
          <w:szCs w:val="22"/>
          <w:shd w:val="clear" w:color="auto" w:fill="FFFFFF"/>
        </w:rPr>
        <w:t xml:space="preserve">μικρών και πολύ μικρών επιχειρήσεων που επλήγησαν από την πανδημία, με τη μορφή </w:t>
      </w:r>
      <w:r w:rsidR="001C20A6">
        <w:rPr>
          <w:color w:val="000000"/>
          <w:sz w:val="22"/>
          <w:szCs w:val="22"/>
          <w:shd w:val="clear" w:color="auto" w:fill="FFFFFF"/>
        </w:rPr>
        <w:t>μη επιστρεπτέας επιδότησης τόκων δανείων με προϋπολ</w:t>
      </w:r>
      <w:r w:rsidR="001C20A6">
        <w:rPr>
          <w:color w:val="000000"/>
          <w:sz w:val="22"/>
          <w:szCs w:val="22"/>
          <w:shd w:val="clear" w:color="auto" w:fill="FFFFFF"/>
        </w:rPr>
        <w:t>ο</w:t>
      </w:r>
      <w:r w:rsidR="001C20A6">
        <w:rPr>
          <w:color w:val="000000"/>
          <w:sz w:val="22"/>
          <w:szCs w:val="22"/>
          <w:shd w:val="clear" w:color="auto" w:fill="FFFFFF"/>
        </w:rPr>
        <w:t>γισμό 800 εκατ. ευρώ το 2021</w:t>
      </w:r>
      <w:r w:rsidRPr="00703E80">
        <w:rPr>
          <w:color w:val="000000"/>
          <w:sz w:val="22"/>
          <w:szCs w:val="22"/>
          <w:shd w:val="clear" w:color="auto" w:fill="FFFFFF"/>
        </w:rPr>
        <w:t>.</w:t>
      </w:r>
    </w:p>
    <w:p w:rsidR="00853402" w:rsidRPr="00703E80" w:rsidRDefault="00853402" w:rsidP="00853402">
      <w:pPr>
        <w:jc w:val="both"/>
        <w:rPr>
          <w:sz w:val="22"/>
          <w:szCs w:val="22"/>
        </w:rPr>
      </w:pPr>
    </w:p>
    <w:p w:rsidR="00853402" w:rsidRPr="00703E80" w:rsidRDefault="00853402" w:rsidP="00853402">
      <w:pPr>
        <w:keepNext/>
        <w:ind w:right="-91"/>
        <w:outlineLvl w:val="1"/>
        <w:rPr>
          <w:b/>
          <w:i/>
          <w:snapToGrid w:val="0"/>
          <w:sz w:val="22"/>
          <w:szCs w:val="22"/>
        </w:rPr>
      </w:pPr>
      <w:r w:rsidRPr="00703E80">
        <w:rPr>
          <w:b/>
          <w:i/>
          <w:snapToGrid w:val="0"/>
          <w:sz w:val="22"/>
          <w:szCs w:val="22"/>
        </w:rPr>
        <w:t xml:space="preserve">β) Μεγάλα Έργα ΕΣΠΑ 2014-2020 </w:t>
      </w:r>
    </w:p>
    <w:p w:rsidR="008644F4" w:rsidRDefault="008644F4" w:rsidP="00853402">
      <w:pPr>
        <w:jc w:val="both"/>
        <w:rPr>
          <w:sz w:val="22"/>
          <w:szCs w:val="22"/>
        </w:rPr>
      </w:pPr>
    </w:p>
    <w:p w:rsidR="00853402" w:rsidRPr="00703E80" w:rsidRDefault="00853402" w:rsidP="00853402">
      <w:pPr>
        <w:jc w:val="both"/>
        <w:rPr>
          <w:sz w:val="22"/>
          <w:szCs w:val="22"/>
        </w:rPr>
      </w:pPr>
      <w:r w:rsidRPr="00703E80">
        <w:rPr>
          <w:sz w:val="22"/>
          <w:szCs w:val="22"/>
        </w:rPr>
        <w:t>Από τα συνολικά 33 μεγάλα έργα της Προγραμματικής Περιόδου (ΠΠ) 2014-2020 συνολικού προ</w:t>
      </w:r>
      <w:r w:rsidRPr="00703E80">
        <w:rPr>
          <w:sz w:val="22"/>
          <w:szCs w:val="22"/>
        </w:rPr>
        <w:t>ϋ</w:t>
      </w:r>
      <w:r w:rsidRPr="00703E80">
        <w:rPr>
          <w:sz w:val="22"/>
          <w:szCs w:val="22"/>
        </w:rPr>
        <w:t>πολογισμού 10,5 δισ. ευρώ με επιλέξιμο κόστος τα 7,3 δισ. ευρώ</w:t>
      </w:r>
      <w:r w:rsidRPr="00703E80">
        <w:rPr>
          <w:bCs/>
          <w:sz w:val="22"/>
          <w:szCs w:val="22"/>
        </w:rPr>
        <w:t xml:space="preserve">, τα 14 έργα </w:t>
      </w:r>
      <w:r w:rsidRPr="00703E80">
        <w:rPr>
          <w:sz w:val="22"/>
          <w:szCs w:val="22"/>
        </w:rPr>
        <w:t xml:space="preserve">αποτελούν τη φάση B ήδη χρηματοδοτούμενων μεγάλων έργων </w:t>
      </w:r>
      <w:r w:rsidRPr="00703E80">
        <w:rPr>
          <w:bCs/>
          <w:sz w:val="22"/>
          <w:szCs w:val="22"/>
        </w:rPr>
        <w:t xml:space="preserve">(phasing) της ΠΠ 2007-2013 και τα υπόλοιπα 19 είναι νέα έργα. </w:t>
      </w:r>
      <w:r w:rsidRPr="00703E80">
        <w:rPr>
          <w:sz w:val="22"/>
          <w:szCs w:val="22"/>
        </w:rPr>
        <w:t>Μέχρι τον Οκτώβριο 2020</w:t>
      </w:r>
      <w:r w:rsidR="0036295E">
        <w:rPr>
          <w:sz w:val="22"/>
          <w:szCs w:val="22"/>
        </w:rPr>
        <w:t>,</w:t>
      </w:r>
      <w:r w:rsidRPr="00703E80">
        <w:rPr>
          <w:sz w:val="22"/>
          <w:szCs w:val="22"/>
        </w:rPr>
        <w:t xml:space="preserve"> από το παραπάνω σύνολο έργων έχουν υποβληθεί τα 25, από τα </w:t>
      </w:r>
      <w:r w:rsidRPr="00703E80">
        <w:rPr>
          <w:sz w:val="22"/>
          <w:szCs w:val="22"/>
        </w:rPr>
        <w:t>ο</w:t>
      </w:r>
      <w:r w:rsidRPr="00703E80">
        <w:rPr>
          <w:sz w:val="22"/>
          <w:szCs w:val="22"/>
        </w:rPr>
        <w:t xml:space="preserve">ποία τα 21 είναι ήδη εγκεκριμένα από την ΕΕ. </w:t>
      </w:r>
    </w:p>
    <w:p w:rsidR="00853402" w:rsidRPr="00703E80" w:rsidRDefault="00853402" w:rsidP="00853402">
      <w:pPr>
        <w:rPr>
          <w:sz w:val="22"/>
          <w:szCs w:val="22"/>
        </w:rPr>
      </w:pPr>
    </w:p>
    <w:p w:rsidR="00853402" w:rsidRPr="00037C95" w:rsidRDefault="00853402" w:rsidP="00037C95">
      <w:pPr>
        <w:tabs>
          <w:tab w:val="left" w:pos="709"/>
        </w:tabs>
        <w:spacing w:line="235" w:lineRule="auto"/>
        <w:jc w:val="both"/>
        <w:rPr>
          <w:b/>
          <w:bCs/>
          <w:i/>
          <w:iCs/>
          <w:sz w:val="22"/>
          <w:szCs w:val="22"/>
        </w:rPr>
      </w:pPr>
      <w:r w:rsidRPr="00037C95">
        <w:rPr>
          <w:b/>
          <w:bCs/>
          <w:i/>
          <w:iCs/>
          <w:sz w:val="22"/>
          <w:szCs w:val="22"/>
        </w:rPr>
        <w:t>Μηχανισμός «Συνδέοντας την Ευρώπη» (Connecting Europe Facility) 2014-2020</w:t>
      </w:r>
    </w:p>
    <w:p w:rsidR="0036295E" w:rsidRDefault="0036295E" w:rsidP="00853402">
      <w:pPr>
        <w:jc w:val="both"/>
        <w:rPr>
          <w:sz w:val="22"/>
          <w:szCs w:val="22"/>
        </w:rPr>
      </w:pPr>
    </w:p>
    <w:p w:rsidR="00853402" w:rsidRPr="00703E80" w:rsidRDefault="00853402" w:rsidP="00853402">
      <w:pPr>
        <w:jc w:val="both"/>
        <w:rPr>
          <w:sz w:val="22"/>
          <w:szCs w:val="22"/>
        </w:rPr>
      </w:pPr>
      <w:r w:rsidRPr="00703E80">
        <w:rPr>
          <w:sz w:val="22"/>
          <w:szCs w:val="22"/>
        </w:rPr>
        <w:t>Πρόκειται για τις δράσεις των Διευρωπαϊκών Δικτύων στους τομείς των μεταφορών, της ενέργειας και των τηλεπικοινωνιών</w:t>
      </w:r>
      <w:r w:rsidR="0036295E">
        <w:rPr>
          <w:sz w:val="22"/>
          <w:szCs w:val="22"/>
        </w:rPr>
        <w:t>,</w:t>
      </w:r>
      <w:r w:rsidRPr="00703E80">
        <w:rPr>
          <w:sz w:val="22"/>
          <w:szCs w:val="22"/>
        </w:rPr>
        <w:t xml:space="preserve"> που αποσκοπούν στην προώθηση της διασύνδεσης και της διαλειτουργικ</w:t>
      </w:r>
      <w:r w:rsidRPr="00703E80">
        <w:rPr>
          <w:sz w:val="22"/>
          <w:szCs w:val="22"/>
        </w:rPr>
        <w:t>ό</w:t>
      </w:r>
      <w:r w:rsidRPr="00703E80">
        <w:rPr>
          <w:sz w:val="22"/>
          <w:szCs w:val="22"/>
        </w:rPr>
        <w:t>τητας των εθνικών δικτύων, της πρόσβασης σε αυτά τα δίκτυα, καθώς και στην ανάγκη να συνδεθούν οι νησιωτικές, οι μεσόγειες και οι περιφερειακές περιοχές με τις κεντρικές περιοχές της Ευρωπαϊκής Ένωσης. Το CEF τελεί υπό την κεντρική διαχείριση της Ευρωπαϊκής Επιτροπής με την υποστήριξη εκτελεστικού οργανισμού. Ο συνολικός προϋπολογισμός των εγκεκριμένων έργων ανέρχεται σε 1.042 εκατ. ευρώ και η αναλογούσα συνδρομή από ΕΕ σε 667 εκατ. ευρώ.</w:t>
      </w:r>
    </w:p>
    <w:p w:rsidR="00853402" w:rsidRPr="00703E80" w:rsidRDefault="00853402" w:rsidP="00853402">
      <w:pPr>
        <w:rPr>
          <w:sz w:val="22"/>
          <w:szCs w:val="22"/>
        </w:rPr>
      </w:pPr>
    </w:p>
    <w:p w:rsidR="00853402" w:rsidRDefault="00853402" w:rsidP="00037C95">
      <w:pPr>
        <w:tabs>
          <w:tab w:val="left" w:pos="709"/>
        </w:tabs>
        <w:spacing w:line="235" w:lineRule="auto"/>
        <w:jc w:val="both"/>
        <w:rPr>
          <w:b/>
          <w:bCs/>
          <w:i/>
          <w:iCs/>
          <w:sz w:val="22"/>
          <w:szCs w:val="22"/>
        </w:rPr>
      </w:pPr>
      <w:bookmarkStart w:id="3" w:name="_Toc23409310"/>
      <w:r w:rsidRPr="00037C95">
        <w:rPr>
          <w:b/>
          <w:bCs/>
          <w:i/>
          <w:iCs/>
          <w:sz w:val="22"/>
          <w:szCs w:val="22"/>
        </w:rPr>
        <w:t>Προγραμματική Περίοδος 2021-2027 - Οι νέες προοπτικές</w:t>
      </w:r>
      <w:bookmarkEnd w:id="3"/>
    </w:p>
    <w:p w:rsidR="00741386" w:rsidRDefault="00741386" w:rsidP="00037C95">
      <w:pPr>
        <w:tabs>
          <w:tab w:val="left" w:pos="709"/>
        </w:tabs>
        <w:spacing w:line="235" w:lineRule="auto"/>
        <w:jc w:val="both"/>
        <w:rPr>
          <w:b/>
          <w:bCs/>
          <w:i/>
          <w:iCs/>
          <w:sz w:val="22"/>
          <w:szCs w:val="22"/>
        </w:rPr>
      </w:pPr>
    </w:p>
    <w:p w:rsidR="00741386" w:rsidRPr="000F7FD6" w:rsidRDefault="00741386" w:rsidP="00037C95">
      <w:pPr>
        <w:tabs>
          <w:tab w:val="left" w:pos="709"/>
        </w:tabs>
        <w:spacing w:line="235" w:lineRule="auto"/>
        <w:jc w:val="both"/>
        <w:rPr>
          <w:bCs/>
          <w:i/>
          <w:iCs/>
          <w:sz w:val="22"/>
          <w:szCs w:val="22"/>
          <w:u w:val="single"/>
        </w:rPr>
      </w:pPr>
      <w:r w:rsidRPr="000F7FD6">
        <w:rPr>
          <w:bCs/>
          <w:i/>
          <w:iCs/>
          <w:sz w:val="22"/>
          <w:szCs w:val="22"/>
          <w:u w:val="single"/>
        </w:rPr>
        <w:t>Πολιτική Συνοχής</w:t>
      </w:r>
    </w:p>
    <w:p w:rsidR="00BF1905" w:rsidRDefault="00BF1905" w:rsidP="00BF1905">
      <w:pPr>
        <w:jc w:val="both"/>
        <w:rPr>
          <w:sz w:val="22"/>
          <w:szCs w:val="22"/>
        </w:rPr>
      </w:pPr>
      <w:r w:rsidRPr="00911DFC">
        <w:rPr>
          <w:sz w:val="22"/>
          <w:szCs w:val="22"/>
        </w:rPr>
        <w:t>Οι πόροι που θα κατανεμηθούν στην Ελλάδα από την Πολιτική Συνοχής για την περίοδο 2021-2027 ανέρχονται στα 18,9</w:t>
      </w:r>
      <w:r w:rsidR="00741386">
        <w:rPr>
          <w:sz w:val="22"/>
          <w:szCs w:val="22"/>
        </w:rPr>
        <w:t>6</w:t>
      </w:r>
      <w:r w:rsidRPr="00911DFC">
        <w:rPr>
          <w:sz w:val="22"/>
          <w:szCs w:val="22"/>
        </w:rPr>
        <w:t xml:space="preserve"> δισ. ευρώ (σε τιμές 2018). Το ποσό αυτό είναι αυξημένο κατά 7% σε σχέση με την αντίστοιχη κατανομή της περιόδου 2014-2020. Ο κάτωθι πίνακας παρουσιάζει, για την Ελλάδα, την κατανομή ανά Ταμείο:</w:t>
      </w:r>
    </w:p>
    <w:p w:rsidR="00191466" w:rsidRPr="00911DFC" w:rsidRDefault="00191466" w:rsidP="00BF1905">
      <w:pPr>
        <w:rPr>
          <w:sz w:val="22"/>
          <w:szCs w:val="22"/>
        </w:rPr>
      </w:pPr>
    </w:p>
    <w:p w:rsidR="00BF1905" w:rsidRDefault="00BF1905" w:rsidP="00BF1905">
      <w:pPr>
        <w:ind w:right="-1"/>
        <w:rPr>
          <w:sz w:val="22"/>
          <w:szCs w:val="22"/>
          <w:highlight w:val="lightGray"/>
        </w:rPr>
      </w:pPr>
    </w:p>
    <w:tbl>
      <w:tblPr>
        <w:tblW w:w="0" w:type="auto"/>
        <w:tblLook w:val="00A0"/>
      </w:tblPr>
      <w:tblGrid>
        <w:gridCol w:w="2155"/>
        <w:gridCol w:w="1660"/>
        <w:gridCol w:w="1742"/>
        <w:gridCol w:w="1842"/>
        <w:gridCol w:w="1701"/>
      </w:tblGrid>
      <w:tr w:rsidR="00BF1905" w:rsidRPr="00F54EA6" w:rsidTr="002D25C6">
        <w:tc>
          <w:tcPr>
            <w:tcW w:w="9100" w:type="dxa"/>
            <w:gridSpan w:val="5"/>
            <w:tcBorders>
              <w:top w:val="single" w:sz="4" w:space="0" w:color="auto"/>
              <w:left w:val="single" w:sz="4" w:space="0" w:color="auto"/>
              <w:right w:val="single" w:sz="4" w:space="0" w:color="auto"/>
            </w:tcBorders>
            <w:shd w:val="clear" w:color="auto" w:fill="404040" w:themeFill="text1" w:themeFillTint="BF"/>
            <w:tcMar>
              <w:left w:w="28" w:type="dxa"/>
              <w:right w:w="28" w:type="dxa"/>
            </w:tcMar>
            <w:vAlign w:val="center"/>
          </w:tcPr>
          <w:p w:rsidR="00BF1905" w:rsidRDefault="00D127FE" w:rsidP="002D25C6">
            <w:pPr>
              <w:spacing w:before="80"/>
              <w:jc w:val="center"/>
              <w:rPr>
                <w:rFonts w:ascii="Arial Narrow" w:hAnsi="Arial Narrow"/>
                <w:b/>
                <w:color w:val="FFFFFF"/>
                <w:sz w:val="22"/>
                <w:szCs w:val="22"/>
              </w:rPr>
            </w:pPr>
            <w:r>
              <w:rPr>
                <w:rFonts w:ascii="Arial Narrow" w:hAnsi="Arial Narrow"/>
                <w:b/>
                <w:color w:val="FFFFFF"/>
                <w:sz w:val="22"/>
                <w:szCs w:val="22"/>
              </w:rPr>
              <w:t xml:space="preserve">Πίνακας 3.10 </w:t>
            </w:r>
            <w:r w:rsidR="00BF1905">
              <w:rPr>
                <w:rFonts w:ascii="Arial Narrow" w:hAnsi="Arial Narrow"/>
                <w:b/>
                <w:color w:val="FFFFFF"/>
                <w:sz w:val="22"/>
                <w:szCs w:val="22"/>
              </w:rPr>
              <w:t xml:space="preserve"> Πόροι στο πλαίσιο της Προγραμματικής Περιόδου 2021-2027</w:t>
            </w:r>
          </w:p>
          <w:p w:rsidR="00BF1905" w:rsidRPr="00F54EA6" w:rsidRDefault="00BF1905" w:rsidP="002D25C6">
            <w:pPr>
              <w:spacing w:after="120"/>
              <w:jc w:val="center"/>
              <w:rPr>
                <w:rFonts w:ascii="Arial Narrow" w:hAnsi="Arial Narrow"/>
                <w:b/>
                <w:color w:val="FFFFFF"/>
                <w:sz w:val="22"/>
                <w:szCs w:val="22"/>
              </w:rPr>
            </w:pPr>
            <w:r>
              <w:rPr>
                <w:rFonts w:ascii="Arial Narrow" w:hAnsi="Arial Narrow"/>
                <w:b/>
                <w:color w:val="FFFFFF"/>
                <w:sz w:val="22"/>
                <w:szCs w:val="22"/>
              </w:rPr>
              <w:t>(σε εκατ. ευρώ)</w:t>
            </w:r>
          </w:p>
        </w:tc>
      </w:tr>
      <w:tr w:rsidR="00BF1905" w:rsidRPr="00F54EA6" w:rsidTr="002D25C6">
        <w:tc>
          <w:tcPr>
            <w:tcW w:w="9100" w:type="dxa"/>
            <w:gridSpan w:val="5"/>
            <w:tcBorders>
              <w:left w:val="single" w:sz="4" w:space="0" w:color="auto"/>
              <w:bottom w:val="single" w:sz="4" w:space="0" w:color="auto"/>
              <w:right w:val="single" w:sz="4" w:space="0" w:color="auto"/>
            </w:tcBorders>
            <w:shd w:val="clear" w:color="auto" w:fill="auto"/>
            <w:tcMar>
              <w:left w:w="28" w:type="dxa"/>
              <w:right w:w="28" w:type="dxa"/>
            </w:tcMar>
            <w:vAlign w:val="center"/>
          </w:tcPr>
          <w:p w:rsidR="00BF1905" w:rsidRPr="00F54EA6" w:rsidRDefault="00BF1905" w:rsidP="002D25C6">
            <w:pPr>
              <w:jc w:val="center"/>
              <w:rPr>
                <w:rFonts w:ascii="Arial Narrow" w:hAnsi="Arial Narrow"/>
                <w:b/>
                <w:sz w:val="22"/>
                <w:szCs w:val="22"/>
              </w:rPr>
            </w:pPr>
          </w:p>
        </w:tc>
      </w:tr>
      <w:tr w:rsidR="00741386" w:rsidRPr="00EC191C" w:rsidTr="003C4CB4">
        <w:trPr>
          <w:trHeight w:val="377"/>
        </w:trPr>
        <w:tc>
          <w:tcPr>
            <w:tcW w:w="215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1386" w:rsidRDefault="00741386" w:rsidP="002D25C6">
            <w:pPr>
              <w:jc w:val="center"/>
              <w:rPr>
                <w:rFonts w:ascii="Arial Narrow" w:hAnsi="Arial Narrow"/>
                <w:b/>
                <w:sz w:val="16"/>
                <w:szCs w:val="16"/>
              </w:rPr>
            </w:pPr>
            <w:r>
              <w:rPr>
                <w:rFonts w:ascii="Arial Narrow" w:hAnsi="Arial Narrow"/>
                <w:b/>
                <w:sz w:val="16"/>
                <w:szCs w:val="16"/>
              </w:rPr>
              <w:t>Ευρωπαϊκό Ταμείο</w:t>
            </w:r>
          </w:p>
          <w:p w:rsidR="00741386" w:rsidRDefault="00741386" w:rsidP="002D25C6">
            <w:pPr>
              <w:jc w:val="center"/>
              <w:rPr>
                <w:rFonts w:ascii="Arial Narrow" w:hAnsi="Arial Narrow"/>
                <w:b/>
                <w:sz w:val="16"/>
                <w:szCs w:val="16"/>
              </w:rPr>
            </w:pPr>
            <w:r>
              <w:rPr>
                <w:rFonts w:ascii="Arial Narrow" w:hAnsi="Arial Narrow"/>
                <w:b/>
                <w:sz w:val="16"/>
                <w:szCs w:val="16"/>
              </w:rPr>
              <w:t>Περιφερειακής Ανάπτυξης</w:t>
            </w:r>
          </w:p>
          <w:p w:rsidR="00741386" w:rsidRPr="00EC191C" w:rsidRDefault="00741386" w:rsidP="002D25C6">
            <w:pPr>
              <w:jc w:val="center"/>
              <w:rPr>
                <w:rFonts w:ascii="Arial Narrow" w:hAnsi="Arial Narrow"/>
                <w:b/>
                <w:sz w:val="16"/>
                <w:szCs w:val="16"/>
              </w:rPr>
            </w:pPr>
            <w:r>
              <w:rPr>
                <w:rFonts w:ascii="Arial Narrow" w:hAnsi="Arial Narrow"/>
                <w:b/>
                <w:sz w:val="16"/>
                <w:szCs w:val="16"/>
              </w:rPr>
              <w:lastRenderedPageBreak/>
              <w:t>(ΕΤΠΑ)</w:t>
            </w:r>
          </w:p>
        </w:tc>
        <w:tc>
          <w:tcPr>
            <w:tcW w:w="16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1386" w:rsidRDefault="00741386" w:rsidP="002D25C6">
            <w:pPr>
              <w:jc w:val="center"/>
              <w:rPr>
                <w:rFonts w:ascii="Arial Narrow" w:hAnsi="Arial Narrow"/>
                <w:b/>
                <w:sz w:val="16"/>
                <w:szCs w:val="16"/>
              </w:rPr>
            </w:pPr>
            <w:r>
              <w:rPr>
                <w:rFonts w:ascii="Arial Narrow" w:hAnsi="Arial Narrow"/>
                <w:b/>
                <w:sz w:val="16"/>
                <w:szCs w:val="16"/>
              </w:rPr>
              <w:lastRenderedPageBreak/>
              <w:t>Ευρωπαϊκό</w:t>
            </w:r>
          </w:p>
          <w:p w:rsidR="00741386" w:rsidRDefault="00741386" w:rsidP="002D25C6">
            <w:pPr>
              <w:jc w:val="center"/>
              <w:rPr>
                <w:rFonts w:ascii="Arial Narrow" w:hAnsi="Arial Narrow"/>
                <w:b/>
                <w:sz w:val="16"/>
                <w:szCs w:val="16"/>
              </w:rPr>
            </w:pPr>
            <w:r>
              <w:rPr>
                <w:rFonts w:ascii="Arial Narrow" w:hAnsi="Arial Narrow"/>
                <w:b/>
                <w:sz w:val="16"/>
                <w:szCs w:val="16"/>
              </w:rPr>
              <w:t>Κοινωνικό Ταμείο</w:t>
            </w:r>
          </w:p>
          <w:p w:rsidR="00741386" w:rsidRPr="00EC191C" w:rsidRDefault="00741386" w:rsidP="002D25C6">
            <w:pPr>
              <w:jc w:val="center"/>
              <w:rPr>
                <w:rFonts w:ascii="Arial Narrow" w:hAnsi="Arial Narrow"/>
                <w:b/>
                <w:sz w:val="16"/>
                <w:szCs w:val="16"/>
              </w:rPr>
            </w:pPr>
            <w:r>
              <w:rPr>
                <w:rFonts w:ascii="Arial Narrow" w:hAnsi="Arial Narrow"/>
                <w:b/>
                <w:sz w:val="16"/>
                <w:szCs w:val="16"/>
              </w:rPr>
              <w:lastRenderedPageBreak/>
              <w:t>(ΕΚΤ)</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rsidR="00741386" w:rsidRDefault="00741386" w:rsidP="002D25C6">
            <w:pPr>
              <w:jc w:val="center"/>
              <w:rPr>
                <w:rFonts w:ascii="Arial Narrow" w:hAnsi="Arial Narrow"/>
                <w:b/>
                <w:sz w:val="16"/>
                <w:szCs w:val="16"/>
              </w:rPr>
            </w:pPr>
            <w:r>
              <w:rPr>
                <w:rFonts w:ascii="Arial Narrow" w:hAnsi="Arial Narrow"/>
                <w:b/>
                <w:sz w:val="16"/>
                <w:szCs w:val="16"/>
              </w:rPr>
              <w:lastRenderedPageBreak/>
              <w:t>Ταμείο Συνοχής</w:t>
            </w:r>
          </w:p>
          <w:p w:rsidR="00741386" w:rsidRPr="00EC191C" w:rsidRDefault="00741386" w:rsidP="002D25C6">
            <w:pPr>
              <w:jc w:val="center"/>
              <w:rPr>
                <w:rFonts w:ascii="Arial Narrow" w:hAnsi="Arial Narrow"/>
                <w:b/>
                <w:sz w:val="16"/>
                <w:szCs w:val="16"/>
              </w:rPr>
            </w:pPr>
            <w:r>
              <w:rPr>
                <w:rFonts w:ascii="Arial Narrow" w:hAnsi="Arial Narrow"/>
                <w:b/>
                <w:sz w:val="16"/>
                <w:szCs w:val="16"/>
              </w:rPr>
              <w:t>(ΤΣ)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41386" w:rsidRDefault="00741386" w:rsidP="002D25C6">
            <w:pPr>
              <w:jc w:val="center"/>
              <w:rPr>
                <w:rFonts w:ascii="Arial Narrow" w:hAnsi="Arial Narrow"/>
                <w:b/>
                <w:sz w:val="16"/>
                <w:szCs w:val="16"/>
              </w:rPr>
            </w:pPr>
            <w:r>
              <w:rPr>
                <w:rFonts w:ascii="Arial Narrow" w:hAnsi="Arial Narrow"/>
                <w:b/>
                <w:sz w:val="16"/>
                <w:szCs w:val="16"/>
              </w:rPr>
              <w:t xml:space="preserve">Ευρωπαϊκή </w:t>
            </w:r>
          </w:p>
          <w:p w:rsidR="00741386" w:rsidRPr="00EC191C" w:rsidRDefault="00741386" w:rsidP="002D25C6">
            <w:pPr>
              <w:jc w:val="center"/>
              <w:rPr>
                <w:rFonts w:ascii="Arial Narrow" w:hAnsi="Arial Narrow"/>
                <w:b/>
                <w:sz w:val="16"/>
                <w:szCs w:val="16"/>
              </w:rPr>
            </w:pPr>
            <w:r>
              <w:rPr>
                <w:rFonts w:ascii="Arial Narrow" w:hAnsi="Arial Narrow"/>
                <w:b/>
                <w:sz w:val="16"/>
                <w:szCs w:val="16"/>
              </w:rPr>
              <w:t xml:space="preserve">Εδαφική Συνεργασία </w:t>
            </w:r>
            <w:r>
              <w:rPr>
                <w:rFonts w:ascii="Arial Narrow" w:hAnsi="Arial Narrow"/>
                <w:b/>
                <w:sz w:val="16"/>
                <w:szCs w:val="16"/>
              </w:rPr>
              <w:lastRenderedPageBreak/>
              <w:t>(ΕΕΣ)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41386" w:rsidRPr="00EC191C" w:rsidRDefault="00741386" w:rsidP="002D25C6">
            <w:pPr>
              <w:jc w:val="center"/>
              <w:rPr>
                <w:rFonts w:ascii="Arial Narrow" w:hAnsi="Arial Narrow"/>
                <w:b/>
                <w:sz w:val="16"/>
                <w:szCs w:val="16"/>
              </w:rPr>
            </w:pPr>
            <w:r>
              <w:rPr>
                <w:rFonts w:ascii="Arial Narrow" w:hAnsi="Arial Narrow"/>
                <w:b/>
                <w:sz w:val="16"/>
                <w:szCs w:val="16"/>
              </w:rPr>
              <w:lastRenderedPageBreak/>
              <w:t>Σύνολο</w:t>
            </w:r>
          </w:p>
        </w:tc>
      </w:tr>
      <w:tr w:rsidR="00741386" w:rsidRPr="00EC191C" w:rsidTr="003C4CB4">
        <w:tblPrEx>
          <w:tblLook w:val="01E0"/>
        </w:tblPrEx>
        <w:trPr>
          <w:trHeight w:val="680"/>
        </w:trPr>
        <w:tc>
          <w:tcPr>
            <w:tcW w:w="2155" w:type="dxa"/>
            <w:tcBorders>
              <w:top w:val="single" w:sz="4" w:space="0" w:color="auto"/>
              <w:left w:val="single" w:sz="4" w:space="0" w:color="auto"/>
              <w:bottom w:val="single" w:sz="4" w:space="0" w:color="auto"/>
            </w:tcBorders>
            <w:shd w:val="clear" w:color="auto" w:fill="auto"/>
            <w:tcMar>
              <w:left w:w="28" w:type="dxa"/>
              <w:right w:w="28" w:type="dxa"/>
            </w:tcMar>
            <w:vAlign w:val="center"/>
          </w:tcPr>
          <w:p w:rsidR="00741386" w:rsidRPr="00EC191C" w:rsidRDefault="00741386" w:rsidP="002D25C6">
            <w:pPr>
              <w:spacing w:before="20" w:after="20"/>
              <w:jc w:val="center"/>
              <w:rPr>
                <w:rFonts w:ascii="Arial Narrow" w:hAnsi="Arial Narrow"/>
                <w:sz w:val="16"/>
                <w:szCs w:val="16"/>
              </w:rPr>
            </w:pPr>
            <w:r>
              <w:rPr>
                <w:rFonts w:ascii="Arial Narrow" w:hAnsi="Arial Narrow"/>
                <w:sz w:val="16"/>
                <w:szCs w:val="16"/>
              </w:rPr>
              <w:lastRenderedPageBreak/>
              <w:t>10.156</w:t>
            </w:r>
          </w:p>
        </w:tc>
        <w:tc>
          <w:tcPr>
            <w:tcW w:w="1660" w:type="dxa"/>
            <w:tcBorders>
              <w:top w:val="single" w:sz="4" w:space="0" w:color="auto"/>
              <w:bottom w:val="single" w:sz="4" w:space="0" w:color="auto"/>
            </w:tcBorders>
            <w:shd w:val="clear" w:color="auto" w:fill="auto"/>
            <w:tcMar>
              <w:left w:w="28" w:type="dxa"/>
              <w:right w:w="28" w:type="dxa"/>
            </w:tcMar>
            <w:vAlign w:val="center"/>
          </w:tcPr>
          <w:p w:rsidR="00741386" w:rsidRPr="009D7F62" w:rsidRDefault="00741386" w:rsidP="002D25C6">
            <w:pPr>
              <w:jc w:val="center"/>
              <w:rPr>
                <w:rFonts w:ascii="Arial Narrow" w:hAnsi="Arial Narrow"/>
                <w:sz w:val="16"/>
                <w:szCs w:val="16"/>
              </w:rPr>
            </w:pPr>
            <w:r>
              <w:rPr>
                <w:rFonts w:ascii="Arial Narrow" w:hAnsi="Arial Narrow"/>
                <w:sz w:val="16"/>
                <w:szCs w:val="16"/>
              </w:rPr>
              <w:t>5.184</w:t>
            </w:r>
          </w:p>
        </w:tc>
        <w:tc>
          <w:tcPr>
            <w:tcW w:w="1742" w:type="dxa"/>
            <w:tcBorders>
              <w:top w:val="single" w:sz="4" w:space="0" w:color="auto"/>
              <w:bottom w:val="single" w:sz="4" w:space="0" w:color="auto"/>
            </w:tcBorders>
            <w:shd w:val="clear" w:color="auto" w:fill="auto"/>
            <w:tcMar>
              <w:left w:w="28" w:type="dxa"/>
              <w:right w:w="28" w:type="dxa"/>
            </w:tcMar>
            <w:vAlign w:val="center"/>
          </w:tcPr>
          <w:p w:rsidR="00741386" w:rsidRPr="009D7F62" w:rsidRDefault="00741386" w:rsidP="002D25C6">
            <w:pPr>
              <w:jc w:val="center"/>
              <w:rPr>
                <w:rFonts w:ascii="Arial Narrow" w:hAnsi="Arial Narrow"/>
                <w:sz w:val="16"/>
                <w:szCs w:val="16"/>
              </w:rPr>
            </w:pPr>
            <w:r>
              <w:rPr>
                <w:rFonts w:ascii="Arial Narrow" w:hAnsi="Arial Narrow"/>
                <w:sz w:val="16"/>
                <w:szCs w:val="16"/>
              </w:rPr>
              <w:t>3.508*</w:t>
            </w:r>
          </w:p>
        </w:tc>
        <w:tc>
          <w:tcPr>
            <w:tcW w:w="1842" w:type="dxa"/>
            <w:tcBorders>
              <w:top w:val="single" w:sz="4" w:space="0" w:color="auto"/>
              <w:bottom w:val="single" w:sz="4" w:space="0" w:color="auto"/>
            </w:tcBorders>
            <w:shd w:val="clear" w:color="auto" w:fill="auto"/>
            <w:vAlign w:val="center"/>
          </w:tcPr>
          <w:p w:rsidR="00741386" w:rsidRPr="009D7F62" w:rsidRDefault="00741386" w:rsidP="002D25C6">
            <w:pPr>
              <w:jc w:val="center"/>
              <w:rPr>
                <w:rFonts w:ascii="Arial Narrow" w:hAnsi="Arial Narrow"/>
                <w:sz w:val="16"/>
                <w:szCs w:val="16"/>
              </w:rPr>
            </w:pPr>
            <w:r>
              <w:rPr>
                <w:rFonts w:ascii="Arial Narrow" w:hAnsi="Arial Narrow"/>
                <w:sz w:val="16"/>
                <w:szCs w:val="16"/>
              </w:rPr>
              <w:t>112</w:t>
            </w:r>
          </w:p>
        </w:tc>
        <w:tc>
          <w:tcPr>
            <w:tcW w:w="1701" w:type="dxa"/>
            <w:tcBorders>
              <w:top w:val="single" w:sz="4" w:space="0" w:color="auto"/>
              <w:bottom w:val="single" w:sz="4" w:space="0" w:color="auto"/>
              <w:right w:val="single" w:sz="4" w:space="0" w:color="auto"/>
            </w:tcBorders>
            <w:shd w:val="clear" w:color="auto" w:fill="auto"/>
            <w:vAlign w:val="center"/>
          </w:tcPr>
          <w:p w:rsidR="00741386" w:rsidRPr="009D7F62" w:rsidRDefault="00741386" w:rsidP="002D25C6">
            <w:pPr>
              <w:jc w:val="center"/>
              <w:rPr>
                <w:rFonts w:ascii="Arial Narrow" w:hAnsi="Arial Narrow"/>
                <w:sz w:val="16"/>
                <w:szCs w:val="16"/>
              </w:rPr>
            </w:pPr>
            <w:r>
              <w:rPr>
                <w:rFonts w:ascii="Arial Narrow" w:hAnsi="Arial Narrow"/>
                <w:sz w:val="16"/>
                <w:szCs w:val="16"/>
              </w:rPr>
              <w:t>18.960</w:t>
            </w:r>
          </w:p>
        </w:tc>
      </w:tr>
    </w:tbl>
    <w:p w:rsidR="00BF1905" w:rsidRPr="00741386" w:rsidRDefault="00741386" w:rsidP="00741386">
      <w:pPr>
        <w:tabs>
          <w:tab w:val="left" w:pos="284"/>
        </w:tabs>
        <w:ind w:right="-1"/>
        <w:rPr>
          <w:rFonts w:ascii="Arial Narrow" w:hAnsi="Arial Narrow"/>
          <w:sz w:val="18"/>
          <w:szCs w:val="22"/>
        </w:rPr>
      </w:pPr>
      <w:r w:rsidRPr="00741386">
        <w:rPr>
          <w:rFonts w:ascii="Arial Narrow" w:hAnsi="Arial Narrow"/>
          <w:sz w:val="18"/>
          <w:szCs w:val="22"/>
        </w:rPr>
        <w:t>*</w:t>
      </w:r>
      <w:r w:rsidRPr="00741386">
        <w:rPr>
          <w:rFonts w:ascii="Arial Narrow" w:hAnsi="Arial Narrow"/>
          <w:sz w:val="18"/>
          <w:szCs w:val="22"/>
        </w:rPr>
        <w:tab/>
      </w:r>
      <w:r>
        <w:rPr>
          <w:rFonts w:ascii="Arial Narrow" w:hAnsi="Arial Narrow"/>
          <w:sz w:val="18"/>
          <w:szCs w:val="22"/>
        </w:rPr>
        <w:t>Στο ποσό περιλαμβάνονται 827 εκατ. ευρώ που μεταφέρονται από το Ταμείο Συνοχής στον Μηχανισμό «Συνδέοντας την Ευρώπη».</w:t>
      </w:r>
    </w:p>
    <w:p w:rsidR="00BF1905" w:rsidRPr="00911DFC" w:rsidRDefault="00BF1905" w:rsidP="00BF1905">
      <w:pPr>
        <w:jc w:val="both"/>
        <w:rPr>
          <w:sz w:val="22"/>
          <w:szCs w:val="22"/>
          <w:u w:val="single"/>
        </w:rPr>
      </w:pPr>
    </w:p>
    <w:p w:rsidR="00BF1905" w:rsidRDefault="00BF1905" w:rsidP="00BF1905">
      <w:pPr>
        <w:jc w:val="both"/>
        <w:rPr>
          <w:sz w:val="22"/>
          <w:szCs w:val="22"/>
        </w:rPr>
      </w:pPr>
      <w:r w:rsidRPr="00911DFC">
        <w:rPr>
          <w:sz w:val="22"/>
          <w:szCs w:val="22"/>
        </w:rPr>
        <w:t>Εντός του 2020 ξεκίνησε επίσημα και η διαδικασία προετοιμασίας του νέου ΕΣΠΑ</w:t>
      </w:r>
      <w:r>
        <w:rPr>
          <w:sz w:val="22"/>
          <w:szCs w:val="22"/>
        </w:rPr>
        <w:t>.</w:t>
      </w:r>
      <w:r w:rsidRPr="00911DFC">
        <w:rPr>
          <w:sz w:val="22"/>
          <w:szCs w:val="22"/>
        </w:rPr>
        <w:t xml:space="preserve"> Με απόφαση του Πρωθυπουργού ορίστηκαν τα όργανα κατάρτισής του και, ειδικότερα, συστάθηκε η Επιτροπή Σχεδι</w:t>
      </w:r>
      <w:r w:rsidRPr="00911DFC">
        <w:rPr>
          <w:sz w:val="22"/>
          <w:szCs w:val="22"/>
        </w:rPr>
        <w:t>α</w:t>
      </w:r>
      <w:r w:rsidRPr="00911DFC">
        <w:rPr>
          <w:sz w:val="22"/>
          <w:szCs w:val="22"/>
        </w:rPr>
        <w:t xml:space="preserve">σμού Πολιτικής ΕΣΠΑ, η Ομάδα Συντονισμού του Σχεδιασμού ΕΣΠΑ και οι 5 ομάδες των Στόχων Πολιτικής. </w:t>
      </w:r>
    </w:p>
    <w:p w:rsidR="00BF1905" w:rsidRPr="00911DFC" w:rsidRDefault="00BF1905" w:rsidP="00BF1905">
      <w:pPr>
        <w:jc w:val="both"/>
        <w:rPr>
          <w:sz w:val="22"/>
          <w:szCs w:val="22"/>
        </w:rPr>
      </w:pPr>
    </w:p>
    <w:p w:rsidR="00BF1905" w:rsidRPr="00911DFC" w:rsidRDefault="00BF1905" w:rsidP="00BF1905">
      <w:pPr>
        <w:jc w:val="both"/>
        <w:rPr>
          <w:sz w:val="22"/>
          <w:szCs w:val="22"/>
        </w:rPr>
      </w:pPr>
      <w:r w:rsidRPr="00911DFC">
        <w:rPr>
          <w:sz w:val="22"/>
          <w:szCs w:val="22"/>
        </w:rPr>
        <w:t>Με την επίσημη υποβολή του ΕΣΠΑ στην ΕΕ, η οποία αναμένεται μέχρι το τέλος του έτους, θα πρ</w:t>
      </w:r>
      <w:r w:rsidRPr="00911DFC">
        <w:rPr>
          <w:sz w:val="22"/>
          <w:szCs w:val="22"/>
        </w:rPr>
        <w:t>έ</w:t>
      </w:r>
      <w:r w:rsidRPr="00911DFC">
        <w:rPr>
          <w:sz w:val="22"/>
          <w:szCs w:val="22"/>
        </w:rPr>
        <w:t xml:space="preserve">πει εντός τριών μηνών να υποβληθούν και τα Επιχειρησιακά Προγράμματα. </w:t>
      </w:r>
    </w:p>
    <w:p w:rsidR="00BF1905" w:rsidRDefault="00BF1905" w:rsidP="00BF1905">
      <w:pPr>
        <w:jc w:val="both"/>
        <w:rPr>
          <w:sz w:val="22"/>
          <w:szCs w:val="22"/>
        </w:rPr>
      </w:pPr>
    </w:p>
    <w:p w:rsidR="000F7FD6" w:rsidRPr="000F7FD6" w:rsidRDefault="000F7FD6" w:rsidP="00BF1905">
      <w:pPr>
        <w:jc w:val="both"/>
        <w:rPr>
          <w:i/>
          <w:sz w:val="22"/>
          <w:szCs w:val="22"/>
          <w:u w:val="single"/>
        </w:rPr>
      </w:pPr>
      <w:r w:rsidRPr="000F7FD6">
        <w:rPr>
          <w:i/>
          <w:sz w:val="22"/>
          <w:szCs w:val="22"/>
          <w:u w:val="single"/>
        </w:rPr>
        <w:t>Next Generation EU</w:t>
      </w:r>
    </w:p>
    <w:p w:rsidR="00BF1905" w:rsidRPr="00911DFC" w:rsidRDefault="00BF1905" w:rsidP="00BF1905">
      <w:pPr>
        <w:jc w:val="both"/>
        <w:rPr>
          <w:sz w:val="22"/>
          <w:szCs w:val="22"/>
        </w:rPr>
      </w:pPr>
      <w:r w:rsidRPr="00911DFC">
        <w:rPr>
          <w:sz w:val="22"/>
          <w:szCs w:val="22"/>
        </w:rPr>
        <w:t>Το</w:t>
      </w:r>
      <w:r>
        <w:rPr>
          <w:sz w:val="22"/>
          <w:szCs w:val="22"/>
        </w:rPr>
        <w:t>ν</w:t>
      </w:r>
      <w:r w:rsidRPr="00911DFC">
        <w:rPr>
          <w:sz w:val="22"/>
          <w:szCs w:val="22"/>
        </w:rPr>
        <w:t xml:space="preserve"> Μάιο του 2020, η Ευρωπαϊκή Επιτροπή παρουσίασε διευρυμένο πακέτο εργαλείων πολιτικής συνδυάζοντας το Πολυετές Δημοσιονομικό Πλαίσιο (ΠΔΠ) 2021-2027 με την προσπάθεια ανάκα</w:t>
      </w:r>
      <w:r w:rsidRPr="00911DFC">
        <w:rPr>
          <w:sz w:val="22"/>
          <w:szCs w:val="22"/>
        </w:rPr>
        <w:t>μ</w:t>
      </w:r>
      <w:r w:rsidRPr="00911DFC">
        <w:rPr>
          <w:sz w:val="22"/>
          <w:szCs w:val="22"/>
        </w:rPr>
        <w:t xml:space="preserve">ψης από τις επιπτώσεις της πανδημίας στο πλαίσιο του “Εργαλείου Ανάκαμψης Next Generation EU”. Η προσπάθεια ανάκαμψης είναι χρονικά περιορισμένη (κατανομές πόρων στα έτη 2021-2023) και </w:t>
      </w:r>
      <w:r w:rsidRPr="00911DFC">
        <w:rPr>
          <w:sz w:val="22"/>
          <w:szCs w:val="22"/>
        </w:rPr>
        <w:t>ε</w:t>
      </w:r>
      <w:r w:rsidRPr="00911DFC">
        <w:rPr>
          <w:sz w:val="22"/>
          <w:szCs w:val="22"/>
        </w:rPr>
        <w:t xml:space="preserve">στιασμένη αφενός στην ενίσχυση της ανθεκτικότητας και προσαρμοστικότητας των κρατών μελών ώστε να αντιμετωπίσουν τις επιπτώσεις της κρίσης της πανδημίας, αφετέρου στην υποστήριξη του πράσινου και ψηφιακού μετασχηματισμού της Ευρωπαϊκής Ένωσης (European Green Deal, Digital Agenda). </w:t>
      </w:r>
    </w:p>
    <w:p w:rsidR="00BF1905" w:rsidRPr="00911DFC" w:rsidRDefault="00BF1905" w:rsidP="00BF1905">
      <w:pPr>
        <w:keepNext/>
        <w:outlineLvl w:val="0"/>
        <w:rPr>
          <w:b/>
          <w:kern w:val="32"/>
          <w:sz w:val="22"/>
          <w:szCs w:val="22"/>
        </w:rPr>
      </w:pPr>
    </w:p>
    <w:p w:rsidR="00BF1905" w:rsidRDefault="00BF1905" w:rsidP="00BF1905">
      <w:pPr>
        <w:jc w:val="both"/>
        <w:rPr>
          <w:sz w:val="22"/>
          <w:szCs w:val="22"/>
        </w:rPr>
      </w:pPr>
      <w:r w:rsidRPr="00911DFC">
        <w:rPr>
          <w:sz w:val="22"/>
          <w:szCs w:val="22"/>
        </w:rPr>
        <w:t xml:space="preserve">Από το μέσο “Next Generation EU” θα προέλθουν πρόσθετοι πόροι </w:t>
      </w:r>
      <w:r>
        <w:rPr>
          <w:sz w:val="22"/>
          <w:szCs w:val="22"/>
        </w:rPr>
        <w:t>για τα κράτη-</w:t>
      </w:r>
      <w:r w:rsidRPr="00911DFC">
        <w:rPr>
          <w:sz w:val="22"/>
          <w:szCs w:val="22"/>
        </w:rPr>
        <w:t>μέλη, οι οποίοι σε ευρωπαϊκό επίπεδο ανέρχονται στα 750 δισ</w:t>
      </w:r>
      <w:r>
        <w:rPr>
          <w:sz w:val="22"/>
          <w:szCs w:val="22"/>
        </w:rPr>
        <w:t>.</w:t>
      </w:r>
      <w:r w:rsidRPr="00911DFC">
        <w:rPr>
          <w:sz w:val="22"/>
          <w:szCs w:val="22"/>
        </w:rPr>
        <w:t xml:space="preserve"> ευρώ, με το 52% των πόρων να αφορά επιχορηγήσεις και το υπόλοιπο δάνεια. </w:t>
      </w:r>
    </w:p>
    <w:p w:rsidR="00BF1905" w:rsidRPr="00911DFC" w:rsidRDefault="00BF1905" w:rsidP="00BF1905">
      <w:pPr>
        <w:jc w:val="both"/>
        <w:rPr>
          <w:sz w:val="22"/>
          <w:szCs w:val="22"/>
        </w:rPr>
      </w:pPr>
    </w:p>
    <w:p w:rsidR="00BF1905" w:rsidRPr="00911DFC" w:rsidRDefault="00BF1905" w:rsidP="00BF1905">
      <w:pPr>
        <w:jc w:val="both"/>
        <w:rPr>
          <w:sz w:val="22"/>
          <w:szCs w:val="22"/>
        </w:rPr>
      </w:pPr>
      <w:r w:rsidRPr="00911DFC">
        <w:rPr>
          <w:sz w:val="22"/>
          <w:szCs w:val="22"/>
        </w:rPr>
        <w:t xml:space="preserve">Ο </w:t>
      </w:r>
      <w:r w:rsidRPr="00BF1905">
        <w:rPr>
          <w:sz w:val="22"/>
          <w:szCs w:val="22"/>
        </w:rPr>
        <w:t>Μηχανισμός Ανάκαμψης και Ανθεκτικότητας,</w:t>
      </w:r>
      <w:r w:rsidRPr="00911DFC">
        <w:rPr>
          <w:sz w:val="22"/>
          <w:szCs w:val="22"/>
        </w:rPr>
        <w:t xml:space="preserve"> ως επιμέρους πρόγραμμα του </w:t>
      </w:r>
      <w:r>
        <w:rPr>
          <w:sz w:val="22"/>
          <w:szCs w:val="22"/>
        </w:rPr>
        <w:t>«</w:t>
      </w:r>
      <w:r w:rsidRPr="00911DFC">
        <w:rPr>
          <w:sz w:val="22"/>
          <w:szCs w:val="22"/>
        </w:rPr>
        <w:t>Next Generation EU</w:t>
      </w:r>
      <w:r>
        <w:rPr>
          <w:sz w:val="22"/>
          <w:szCs w:val="22"/>
        </w:rPr>
        <w:t>»</w:t>
      </w:r>
      <w:r w:rsidRPr="00911DFC">
        <w:rPr>
          <w:sz w:val="22"/>
          <w:szCs w:val="22"/>
        </w:rPr>
        <w:t>, σχεδιάστηκε τόσο για την αντιμετώπιση της κρίσης Covid-19</w:t>
      </w:r>
      <w:r w:rsidR="00946687">
        <w:rPr>
          <w:sz w:val="22"/>
          <w:szCs w:val="22"/>
        </w:rPr>
        <w:t>,</w:t>
      </w:r>
      <w:r w:rsidRPr="00911DFC">
        <w:rPr>
          <w:sz w:val="22"/>
          <w:szCs w:val="22"/>
        </w:rPr>
        <w:t xml:space="preserve"> όσο και των προκλήσεων που θ</w:t>
      </w:r>
      <w:r w:rsidRPr="00911DFC">
        <w:rPr>
          <w:sz w:val="22"/>
          <w:szCs w:val="22"/>
        </w:rPr>
        <w:t>έ</w:t>
      </w:r>
      <w:r w:rsidRPr="00911DFC">
        <w:rPr>
          <w:sz w:val="22"/>
          <w:szCs w:val="22"/>
        </w:rPr>
        <w:t>τουν η πράσινη και η ψηφιακή μετάβαση. Ο μηχανισμός θα στηρίξει δημόσιες επενδύσεις και μετα</w:t>
      </w:r>
      <w:r w:rsidRPr="00911DFC">
        <w:rPr>
          <w:sz w:val="22"/>
          <w:szCs w:val="22"/>
        </w:rPr>
        <w:t>ρ</w:t>
      </w:r>
      <w:r w:rsidRPr="00911DFC">
        <w:rPr>
          <w:sz w:val="22"/>
          <w:szCs w:val="22"/>
        </w:rPr>
        <w:t>ρυθμίσεις των κρατών μελών ώστε να αντιμετωπίσουν τις οικονομικές και κοινωνικές επιπτώσεις της πανδημίας, διασφαλίζοντας συγχρόνως την πράσινη και την ψηφιακή μετάβαση, με στόχο να κατ</w:t>
      </w:r>
      <w:r w:rsidRPr="00911DFC">
        <w:rPr>
          <w:sz w:val="22"/>
          <w:szCs w:val="22"/>
        </w:rPr>
        <w:t>α</w:t>
      </w:r>
      <w:r w:rsidRPr="00911DFC">
        <w:rPr>
          <w:sz w:val="22"/>
          <w:szCs w:val="22"/>
        </w:rPr>
        <w:t>στούν πιο βιώσιμες και ανθεκτικές. Μέσα στο έτος 2021, μέρος των πόρων που θα κατανεμηθούν στη χώρα, πρόκειται να εισρεύσουν στα έσοδα του κράτους, τόσο ως ποσοστό προκαταβολής που αντ</w:t>
      </w:r>
      <w:r w:rsidRPr="00911DFC">
        <w:rPr>
          <w:sz w:val="22"/>
          <w:szCs w:val="22"/>
        </w:rPr>
        <w:t>ι</w:t>
      </w:r>
      <w:r w:rsidRPr="00911DFC">
        <w:rPr>
          <w:sz w:val="22"/>
          <w:szCs w:val="22"/>
        </w:rPr>
        <w:t>στοιχεί</w:t>
      </w:r>
      <w:r w:rsidR="000F7FD6">
        <w:rPr>
          <w:sz w:val="22"/>
          <w:szCs w:val="22"/>
        </w:rPr>
        <w:t>,</w:t>
      </w:r>
      <w:r w:rsidRPr="00911DFC">
        <w:rPr>
          <w:sz w:val="22"/>
          <w:szCs w:val="22"/>
        </w:rPr>
        <w:t xml:space="preserve"> αλλά και ως μέρος της υλοποίησης των προτεινόμενων επενδύσεων από το Εθνικό Σχέδιο Ανάκαμψης.</w:t>
      </w:r>
    </w:p>
    <w:p w:rsidR="006C7D30" w:rsidRDefault="006C7D30" w:rsidP="006C7D30">
      <w:pPr>
        <w:rPr>
          <w:b/>
          <w:i/>
          <w:sz w:val="22"/>
          <w:szCs w:val="22"/>
        </w:rPr>
      </w:pPr>
    </w:p>
    <w:p w:rsidR="006C7D30" w:rsidRPr="00310386" w:rsidRDefault="006C7D30" w:rsidP="00721742">
      <w:pPr>
        <w:tabs>
          <w:tab w:val="left" w:pos="709"/>
        </w:tabs>
        <w:spacing w:line="235" w:lineRule="auto"/>
        <w:ind w:left="709" w:hanging="709"/>
        <w:jc w:val="both"/>
        <w:rPr>
          <w:b/>
          <w:bCs/>
          <w:i/>
          <w:iCs/>
          <w:sz w:val="22"/>
          <w:szCs w:val="22"/>
        </w:rPr>
      </w:pPr>
      <w:r w:rsidRPr="00310386">
        <w:rPr>
          <w:b/>
          <w:bCs/>
          <w:i/>
          <w:iCs/>
          <w:sz w:val="22"/>
          <w:szCs w:val="22"/>
        </w:rPr>
        <w:t>ΠΔΕ χρηματοδοτούμενο αμιγώς από εθνικούς πόρους - Εθνικό Πρόγραμμα Ανάπτυξης (ΕΠΑ)</w:t>
      </w:r>
    </w:p>
    <w:p w:rsidR="006C7D30" w:rsidRPr="00B67778" w:rsidRDefault="006C7D30" w:rsidP="006C7D30">
      <w:pPr>
        <w:tabs>
          <w:tab w:val="left" w:pos="180"/>
        </w:tabs>
        <w:jc w:val="both"/>
        <w:rPr>
          <w:sz w:val="22"/>
          <w:szCs w:val="22"/>
        </w:rPr>
      </w:pPr>
    </w:p>
    <w:p w:rsidR="006C7D30" w:rsidRPr="00B67778" w:rsidRDefault="006C7D30" w:rsidP="006C7D30">
      <w:pPr>
        <w:tabs>
          <w:tab w:val="left" w:pos="180"/>
        </w:tabs>
        <w:jc w:val="both"/>
        <w:rPr>
          <w:sz w:val="22"/>
          <w:szCs w:val="22"/>
        </w:rPr>
      </w:pPr>
      <w:r w:rsidRPr="00B67778">
        <w:rPr>
          <w:sz w:val="22"/>
          <w:szCs w:val="22"/>
        </w:rPr>
        <w:t>Με διατάξεις του νόμου 4635/2019, θεσμοθετήθηκε το Εθνικό Πρόγραμμα Ανάπτυξης (ΕΠΑ), με το οποίο τίθενται οι βάσεις ενός ολοκληρωμένου συστήματος για την κατάρτιση, τη διαχείριση, την π</w:t>
      </w:r>
      <w:r w:rsidRPr="00B67778">
        <w:rPr>
          <w:sz w:val="22"/>
          <w:szCs w:val="22"/>
        </w:rPr>
        <w:t>α</w:t>
      </w:r>
      <w:r w:rsidRPr="00B67778">
        <w:rPr>
          <w:sz w:val="22"/>
          <w:szCs w:val="22"/>
        </w:rPr>
        <w:t>ρακολούθηση και τον έλεγχο εθνικού προγράμματος για την αξιοποίηση των πόρων του σκέλους του ΠΔΕ που χρηματοδοτείται αμιγώς από εθνικούς πόρους (εθνικό σκέλος ΠΔΕ).</w:t>
      </w:r>
    </w:p>
    <w:p w:rsidR="00310386" w:rsidRDefault="00310386" w:rsidP="006C7D30">
      <w:pPr>
        <w:jc w:val="both"/>
        <w:rPr>
          <w:sz w:val="22"/>
          <w:szCs w:val="22"/>
        </w:rPr>
      </w:pPr>
    </w:p>
    <w:p w:rsidR="006C7D30" w:rsidRPr="00B67778" w:rsidRDefault="006C7D30" w:rsidP="006C7D30">
      <w:pPr>
        <w:jc w:val="both"/>
        <w:rPr>
          <w:sz w:val="22"/>
          <w:szCs w:val="22"/>
        </w:rPr>
      </w:pPr>
      <w:r w:rsidRPr="00B67778">
        <w:rPr>
          <w:sz w:val="22"/>
          <w:szCs w:val="22"/>
        </w:rPr>
        <w:t>Οι προγραμματικές περίοδοι του ΕΠΑ έχουν πενταετή διάρκεια. Το ΕΠΑ επιδιώκει την αποκέντρωση στη λήψη των αποφάσεων ένταξης και υλοποίησης δράσεων/έργων που χρηματοδοτούνται από εθν</w:t>
      </w:r>
      <w:r w:rsidRPr="00B67778">
        <w:rPr>
          <w:sz w:val="22"/>
          <w:szCs w:val="22"/>
        </w:rPr>
        <w:t>ι</w:t>
      </w:r>
      <w:r w:rsidRPr="00B67778">
        <w:rPr>
          <w:sz w:val="22"/>
          <w:szCs w:val="22"/>
        </w:rPr>
        <w:t>κούς πόρους του ΠΔΕ μέσα σε συγκεκριμένο πλαίσιο χρηματοδότησης και διαχείρισης. Με τον τρόπο αυτό τα Υπουργεία και οι Περιφέρειες θα έχουν την αποκλειστική αρμοδιότητα όχι μόνο της κατάρτ</w:t>
      </w:r>
      <w:r w:rsidRPr="00B67778">
        <w:rPr>
          <w:sz w:val="22"/>
          <w:szCs w:val="22"/>
        </w:rPr>
        <w:t>ι</w:t>
      </w:r>
      <w:r w:rsidRPr="00B67778">
        <w:rPr>
          <w:sz w:val="22"/>
          <w:szCs w:val="22"/>
        </w:rPr>
        <w:t>σης</w:t>
      </w:r>
      <w:r w:rsidR="00C74035">
        <w:rPr>
          <w:sz w:val="22"/>
          <w:szCs w:val="22"/>
        </w:rPr>
        <w:t>,</w:t>
      </w:r>
      <w:r w:rsidRPr="00B67778">
        <w:rPr>
          <w:sz w:val="22"/>
          <w:szCs w:val="22"/>
        </w:rPr>
        <w:t xml:space="preserve"> αλλά και της διαχείρισης των επιχειρησιακών τους προγραμμάτων, βάσει του Συστήματος Δι</w:t>
      </w:r>
      <w:r w:rsidRPr="00B67778">
        <w:rPr>
          <w:sz w:val="22"/>
          <w:szCs w:val="22"/>
        </w:rPr>
        <w:t>α</w:t>
      </w:r>
      <w:r w:rsidRPr="00B67778">
        <w:rPr>
          <w:sz w:val="22"/>
          <w:szCs w:val="22"/>
        </w:rPr>
        <w:t>χείρισης και Ελέγχου και του Πληροφοριακού Συστήματος τα οποία θα υποστηρίζουν την υλοποίηση, παρακολούθηση και έλεγχο των δράσεων/έργων.</w:t>
      </w:r>
    </w:p>
    <w:p w:rsidR="00310386" w:rsidRDefault="00310386" w:rsidP="006C7D30">
      <w:pPr>
        <w:jc w:val="both"/>
        <w:rPr>
          <w:sz w:val="22"/>
          <w:szCs w:val="22"/>
        </w:rPr>
      </w:pPr>
    </w:p>
    <w:p w:rsidR="006C7D30" w:rsidRPr="00B67778" w:rsidRDefault="006C7D30" w:rsidP="006C7D30">
      <w:pPr>
        <w:jc w:val="both"/>
        <w:rPr>
          <w:sz w:val="22"/>
          <w:szCs w:val="22"/>
        </w:rPr>
      </w:pPr>
      <w:r w:rsidRPr="00B67778">
        <w:rPr>
          <w:sz w:val="22"/>
          <w:szCs w:val="22"/>
        </w:rPr>
        <w:t>Οι αναπτυξιακοί στόχοι του ΕΠΑ 2021-2025 αφορούν πέντε πυλώνες: την Έξυπνη Ανάπτυξη, τη</w:t>
      </w:r>
      <w:r w:rsidR="00BE7706">
        <w:rPr>
          <w:sz w:val="22"/>
          <w:szCs w:val="22"/>
        </w:rPr>
        <w:t>ν</w:t>
      </w:r>
      <w:r w:rsidRPr="00B67778">
        <w:rPr>
          <w:sz w:val="22"/>
          <w:szCs w:val="22"/>
        </w:rPr>
        <w:t xml:space="preserve"> Πράσινη Ανάπτυξη, τη</w:t>
      </w:r>
      <w:r w:rsidR="00BE7706">
        <w:rPr>
          <w:sz w:val="22"/>
          <w:szCs w:val="22"/>
        </w:rPr>
        <w:t>ν</w:t>
      </w:r>
      <w:r w:rsidRPr="00B67778">
        <w:rPr>
          <w:sz w:val="22"/>
          <w:szCs w:val="22"/>
        </w:rPr>
        <w:t xml:space="preserve"> Κοινωνική Ανάπτυξη, την Ανάπτυξη Υποδομών και την Εξωστρέφεια. Στο </w:t>
      </w:r>
      <w:r w:rsidRPr="00B67778">
        <w:rPr>
          <w:sz w:val="22"/>
          <w:szCs w:val="22"/>
        </w:rPr>
        <w:lastRenderedPageBreak/>
        <w:t>ΕΠΑ 2021-2025 καθορίζονται οι προτεραιότητες ανά τομέα πολιτικής στο πλαίσιο των αναπτυξιακών τ</w:t>
      </w:r>
      <w:r w:rsidR="00330A27">
        <w:rPr>
          <w:sz w:val="22"/>
          <w:szCs w:val="22"/>
        </w:rPr>
        <w:t>ου στόχων, ο συνολικός και ανά π</w:t>
      </w:r>
      <w:r w:rsidRPr="00B67778">
        <w:rPr>
          <w:sz w:val="22"/>
          <w:szCs w:val="22"/>
        </w:rPr>
        <w:t>ρόγραμμα προϋπολογισμός, καθώς και τα αποτελέσματα που επ</w:t>
      </w:r>
      <w:r w:rsidRPr="00B67778">
        <w:rPr>
          <w:sz w:val="22"/>
          <w:szCs w:val="22"/>
        </w:rPr>
        <w:t>ι</w:t>
      </w:r>
      <w:r w:rsidRPr="00B67778">
        <w:rPr>
          <w:sz w:val="22"/>
          <w:szCs w:val="22"/>
        </w:rPr>
        <w:t>διώκονται με την εφαρμογή του.</w:t>
      </w:r>
    </w:p>
    <w:p w:rsidR="00310386" w:rsidRDefault="00310386" w:rsidP="006C7D30">
      <w:pPr>
        <w:jc w:val="both"/>
        <w:rPr>
          <w:sz w:val="22"/>
          <w:szCs w:val="22"/>
        </w:rPr>
      </w:pPr>
    </w:p>
    <w:p w:rsidR="006C7D30" w:rsidRPr="00B67778" w:rsidRDefault="006C7D30" w:rsidP="006C7D30">
      <w:pPr>
        <w:jc w:val="both"/>
        <w:rPr>
          <w:sz w:val="22"/>
          <w:szCs w:val="22"/>
        </w:rPr>
      </w:pPr>
      <w:r w:rsidRPr="00B67778">
        <w:rPr>
          <w:sz w:val="22"/>
          <w:szCs w:val="22"/>
        </w:rPr>
        <w:t>Με την υπ</w:t>
      </w:r>
      <w:r w:rsidR="00251483">
        <w:rPr>
          <w:sz w:val="22"/>
          <w:szCs w:val="22"/>
        </w:rPr>
        <w:t>’</w:t>
      </w:r>
      <w:r w:rsidRPr="00B67778">
        <w:rPr>
          <w:sz w:val="22"/>
          <w:szCs w:val="22"/>
        </w:rPr>
        <w:t xml:space="preserve"> αριθμ. 95189/14-09-2020 Απόφαση του Υφυπουργού Ανάπτυξης και Επενδύσεων «Κ</w:t>
      </w:r>
      <w:r w:rsidRPr="00B67778">
        <w:rPr>
          <w:sz w:val="22"/>
          <w:szCs w:val="22"/>
        </w:rPr>
        <w:t>α</w:t>
      </w:r>
      <w:r w:rsidRPr="00B67778">
        <w:rPr>
          <w:sz w:val="22"/>
          <w:szCs w:val="22"/>
        </w:rPr>
        <w:t>τάρτιση και Υποβολή Τομεακών και Περιφερειακών Προγραμμάτων (ΤΠΑ/ΠΠΑ) του Εθνικού Πρ</w:t>
      </w:r>
      <w:r w:rsidRPr="00B67778">
        <w:rPr>
          <w:sz w:val="22"/>
          <w:szCs w:val="22"/>
        </w:rPr>
        <w:t>ο</w:t>
      </w:r>
      <w:r w:rsidRPr="00B67778">
        <w:rPr>
          <w:sz w:val="22"/>
          <w:szCs w:val="22"/>
        </w:rPr>
        <w:t>γράμματος Ανάπτυξης προγραμματικής περιόδου 2021-2025» δόθηκε το πλαίσιο στα Υπουργεία και τις Περιφέρειες, σε χρονικό διάστημα ενός τριμήνου</w:t>
      </w:r>
      <w:r w:rsidR="00DA0119">
        <w:rPr>
          <w:sz w:val="22"/>
          <w:szCs w:val="22"/>
        </w:rPr>
        <w:t xml:space="preserve"> </w:t>
      </w:r>
      <w:r w:rsidRPr="00B67778">
        <w:rPr>
          <w:sz w:val="22"/>
          <w:szCs w:val="22"/>
        </w:rPr>
        <w:t xml:space="preserve"> να καταρτίσουν, να θέσουν σε διαβούλευση και να υποβάλουν προς έγκριση στο Υπ. Ανάπτυξης και Επενδύσεων, το δικό τους Πρόγραμμα Ανάπτ</w:t>
      </w:r>
      <w:r w:rsidRPr="00B67778">
        <w:rPr>
          <w:sz w:val="22"/>
          <w:szCs w:val="22"/>
        </w:rPr>
        <w:t>υ</w:t>
      </w:r>
      <w:r w:rsidRPr="00B67778">
        <w:rPr>
          <w:sz w:val="22"/>
          <w:szCs w:val="22"/>
        </w:rPr>
        <w:t>ξης Τομεακό (ΤΠΑ) και Περιφερειακό (ΠΠΑ) αντίστοιχα.</w:t>
      </w:r>
    </w:p>
    <w:p w:rsidR="00310386" w:rsidRDefault="00310386" w:rsidP="006C7D30">
      <w:pPr>
        <w:jc w:val="both"/>
        <w:rPr>
          <w:sz w:val="22"/>
          <w:szCs w:val="22"/>
        </w:rPr>
      </w:pPr>
    </w:p>
    <w:p w:rsidR="006C7D30" w:rsidRPr="00B67778" w:rsidRDefault="006C7D30" w:rsidP="006C7D30">
      <w:pPr>
        <w:jc w:val="both"/>
        <w:rPr>
          <w:sz w:val="22"/>
          <w:szCs w:val="22"/>
        </w:rPr>
      </w:pPr>
      <w:r w:rsidRPr="00B67778">
        <w:rPr>
          <w:sz w:val="22"/>
          <w:szCs w:val="22"/>
        </w:rPr>
        <w:t>Η έναρξη της εφαρμογής του ΕΠΑ το 2021 αναμένεται να συμβάλει, μέσω του μεσοπρόθεσμου πρ</w:t>
      </w:r>
      <w:r w:rsidRPr="00B67778">
        <w:rPr>
          <w:sz w:val="22"/>
          <w:szCs w:val="22"/>
        </w:rPr>
        <w:t>ο</w:t>
      </w:r>
      <w:r w:rsidRPr="00B67778">
        <w:rPr>
          <w:sz w:val="22"/>
          <w:szCs w:val="22"/>
        </w:rPr>
        <w:t>γραμματικού σχεδιασμού, στη βελτίωση της διαχείρισης των εθνικών επενδυτικών πόρων, στο συντ</w:t>
      </w:r>
      <w:r w:rsidRPr="00B67778">
        <w:rPr>
          <w:sz w:val="22"/>
          <w:szCs w:val="22"/>
        </w:rPr>
        <w:t>ο</w:t>
      </w:r>
      <w:r w:rsidRPr="00B67778">
        <w:rPr>
          <w:sz w:val="22"/>
          <w:szCs w:val="22"/>
        </w:rPr>
        <w:t>νισμό των επενδυτικών επιλογών με τις πρ</w:t>
      </w:r>
      <w:r w:rsidR="00330A27">
        <w:rPr>
          <w:sz w:val="22"/>
          <w:szCs w:val="22"/>
        </w:rPr>
        <w:t>οτεραιότητες ανάπτυξης</w:t>
      </w:r>
      <w:r w:rsidRPr="00B67778">
        <w:rPr>
          <w:sz w:val="22"/>
          <w:szCs w:val="22"/>
        </w:rPr>
        <w:t xml:space="preserve"> και στον έλεγχο της ολοκλήρωσης των έργων.</w:t>
      </w:r>
    </w:p>
    <w:p w:rsidR="00721742" w:rsidRPr="00DA50FD" w:rsidRDefault="00721742" w:rsidP="00853402">
      <w:pPr>
        <w:ind w:right="-1"/>
        <w:rPr>
          <w:sz w:val="22"/>
          <w:szCs w:val="22"/>
          <w:highlight w:val="lightGray"/>
        </w:rPr>
      </w:pPr>
    </w:p>
    <w:p w:rsidR="0043650B" w:rsidRPr="004A0334" w:rsidRDefault="0043650B" w:rsidP="0043650B">
      <w:pPr>
        <w:jc w:val="both"/>
        <w:outlineLvl w:val="3"/>
        <w:rPr>
          <w:rFonts w:ascii="Arial Narrow" w:hAnsi="Arial Narrow"/>
          <w:b/>
        </w:rPr>
      </w:pPr>
      <w:r w:rsidRPr="004A0334">
        <w:rPr>
          <w:rFonts w:ascii="Arial Narrow" w:hAnsi="Arial Narrow"/>
          <w:b/>
        </w:rPr>
        <w:t>Δαπάνες χρηματοοικονομικών συναλλαγών</w:t>
      </w:r>
    </w:p>
    <w:p w:rsidR="0043650B" w:rsidRPr="002B0C69" w:rsidRDefault="0043650B" w:rsidP="0043650B">
      <w:pPr>
        <w:jc w:val="both"/>
        <w:outlineLvl w:val="3"/>
        <w:rPr>
          <w:rFonts w:ascii="Arial Narrow" w:hAnsi="Arial Narrow"/>
          <w:b/>
          <w:i/>
          <w:iCs/>
          <w:sz w:val="22"/>
          <w:szCs w:val="22"/>
          <w:lang w:bidi="en-US"/>
        </w:rPr>
      </w:pPr>
    </w:p>
    <w:p w:rsidR="0043650B" w:rsidRDefault="0043650B" w:rsidP="0043650B">
      <w:pPr>
        <w:tabs>
          <w:tab w:val="left" w:pos="180"/>
        </w:tabs>
        <w:spacing w:line="235" w:lineRule="auto"/>
        <w:jc w:val="both"/>
        <w:rPr>
          <w:sz w:val="22"/>
          <w:szCs w:val="22"/>
        </w:rPr>
      </w:pPr>
      <w:r w:rsidRPr="00C344E2">
        <w:rPr>
          <w:sz w:val="22"/>
          <w:szCs w:val="22"/>
        </w:rPr>
        <w:t>Η συνολική πρόβλεψη για τις μείζονες κατηγορίες χρηματοοικονομικών συναλλαγών</w:t>
      </w:r>
      <w:r>
        <w:rPr>
          <w:sz w:val="22"/>
          <w:szCs w:val="22"/>
        </w:rPr>
        <w:t xml:space="preserve">, </w:t>
      </w:r>
      <w:r w:rsidRPr="00C344E2">
        <w:rPr>
          <w:bCs/>
          <w:iCs/>
          <w:sz w:val="22"/>
          <w:szCs w:val="22"/>
        </w:rPr>
        <w:t>οι οποίες δεν επηρεάζουν το ισοζύγιο του κρατικού προϋπολογισμού,</w:t>
      </w:r>
      <w:r w:rsidRPr="00C344E2">
        <w:rPr>
          <w:sz w:val="22"/>
          <w:szCs w:val="22"/>
        </w:rPr>
        <w:t xml:space="preserve"> ανέρχεται σε 734.388 εκατ. ευρώ και το μ</w:t>
      </w:r>
      <w:r w:rsidRPr="00C344E2">
        <w:rPr>
          <w:sz w:val="22"/>
          <w:szCs w:val="22"/>
        </w:rPr>
        <w:t>ε</w:t>
      </w:r>
      <w:r w:rsidRPr="00C344E2">
        <w:rPr>
          <w:sz w:val="22"/>
          <w:szCs w:val="22"/>
        </w:rPr>
        <w:t xml:space="preserve">γαλύτερο μέρος εμφανίζεται στη μείζονα κατηγορία «Δάνεια» </w:t>
      </w:r>
      <w:r w:rsidR="004802FC">
        <w:rPr>
          <w:sz w:val="22"/>
          <w:szCs w:val="22"/>
        </w:rPr>
        <w:t xml:space="preserve">την οποία διαχειρίζεται ο ΟΔΔΗΧ, όπως προκύπτει από τον πίνακα </w:t>
      </w:r>
      <w:r w:rsidR="004802FC" w:rsidRPr="00D127FE">
        <w:rPr>
          <w:sz w:val="22"/>
          <w:szCs w:val="22"/>
        </w:rPr>
        <w:t>3.5.</w:t>
      </w:r>
    </w:p>
    <w:p w:rsidR="0081244A" w:rsidRDefault="0081244A">
      <w:pPr>
        <w:rPr>
          <w:sz w:val="22"/>
          <w:szCs w:val="22"/>
          <w:highlight w:val="lightGray"/>
        </w:rPr>
      </w:pPr>
    </w:p>
    <w:p w:rsidR="00631273" w:rsidRDefault="00631273">
      <w:pPr>
        <w:rPr>
          <w:sz w:val="22"/>
          <w:szCs w:val="22"/>
        </w:rPr>
      </w:pPr>
    </w:p>
    <w:p w:rsidR="00631273" w:rsidRPr="00221A99" w:rsidRDefault="00631273" w:rsidP="00631273">
      <w:pPr>
        <w:shd w:val="clear" w:color="auto" w:fill="BFBFBF" w:themeFill="background1" w:themeFillShade="BF"/>
        <w:spacing w:line="235" w:lineRule="auto"/>
        <w:rPr>
          <w:rFonts w:ascii="Arial Narrow" w:hAnsi="Arial Narrow"/>
          <w:b/>
          <w:szCs w:val="26"/>
        </w:rPr>
      </w:pPr>
      <w:r>
        <w:rPr>
          <w:rFonts w:ascii="Arial Narrow" w:hAnsi="Arial Narrow"/>
          <w:b/>
          <w:szCs w:val="26"/>
        </w:rPr>
        <w:t>4.3</w:t>
      </w:r>
      <w:r w:rsidRPr="00221A99">
        <w:rPr>
          <w:rFonts w:ascii="Arial Narrow" w:hAnsi="Arial Narrow"/>
          <w:b/>
          <w:szCs w:val="26"/>
        </w:rPr>
        <w:tab/>
      </w:r>
      <w:r>
        <w:rPr>
          <w:rFonts w:ascii="Arial Narrow" w:hAnsi="Arial Narrow"/>
          <w:b/>
          <w:szCs w:val="26"/>
        </w:rPr>
        <w:t>Χρηματοδοτικές ανάγκες Κρατικού Προϋπολογισμού 2021</w:t>
      </w:r>
    </w:p>
    <w:p w:rsidR="00631273" w:rsidRDefault="00631273" w:rsidP="00631273">
      <w:pPr>
        <w:rPr>
          <w:sz w:val="22"/>
          <w:szCs w:val="22"/>
        </w:rPr>
      </w:pPr>
      <w:r>
        <w:rPr>
          <w:sz w:val="22"/>
          <w:szCs w:val="22"/>
        </w:rPr>
        <w:t xml:space="preserve"> </w:t>
      </w:r>
    </w:p>
    <w:p w:rsidR="00631273" w:rsidRDefault="00D127FE" w:rsidP="00631273">
      <w:pPr>
        <w:jc w:val="both"/>
        <w:rPr>
          <w:sz w:val="22"/>
        </w:rPr>
      </w:pPr>
      <w:r>
        <w:rPr>
          <w:sz w:val="22"/>
        </w:rPr>
        <w:t>Στον πίνακα 3.11</w:t>
      </w:r>
      <w:r w:rsidR="00631273">
        <w:rPr>
          <w:sz w:val="22"/>
        </w:rPr>
        <w:t xml:space="preserve"> εμφανίζονται οι ταμειακές χρηματοδοτικές ανάγκες του Κρατικού Προϋπολογισμού 2021</w:t>
      </w:r>
      <w:r w:rsidR="00FB4D05">
        <w:rPr>
          <w:sz w:val="22"/>
        </w:rPr>
        <w:t>, οι οποίες προβλέπεται να ανέλθουν στα 17.853 εκατ. ευρώ, ενώ ο καθαρός δανεισμός του Κρ</w:t>
      </w:r>
      <w:r w:rsidR="00FB4D05">
        <w:rPr>
          <w:sz w:val="22"/>
        </w:rPr>
        <w:t>α</w:t>
      </w:r>
      <w:r w:rsidR="00FB4D05">
        <w:rPr>
          <w:sz w:val="22"/>
        </w:rPr>
        <w:t>τικού Προϋπολογισμού θα διαμορφωθεί στα 16.361 εκατ. ευρώ.</w:t>
      </w:r>
    </w:p>
    <w:p w:rsidR="00631273" w:rsidRDefault="00631273" w:rsidP="00631273">
      <w:pPr>
        <w:rPr>
          <w:sz w:val="20"/>
        </w:rPr>
      </w:pPr>
    </w:p>
    <w:p w:rsidR="00112CDE" w:rsidRDefault="00112CDE" w:rsidP="00631273">
      <w:pPr>
        <w:rPr>
          <w:sz w:val="20"/>
        </w:rPr>
      </w:pPr>
    </w:p>
    <w:p w:rsidR="00112CDE" w:rsidRPr="0092286A" w:rsidRDefault="00112CDE" w:rsidP="00631273">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1"/>
        <w:gridCol w:w="2411"/>
      </w:tblGrid>
      <w:tr w:rsidR="00631273" w:rsidRPr="001830EF" w:rsidTr="00A90E34">
        <w:trPr>
          <w:cantSplit/>
          <w:trHeight w:val="610"/>
          <w:jc w:val="center"/>
        </w:trPr>
        <w:tc>
          <w:tcPr>
            <w:tcW w:w="7042" w:type="dxa"/>
            <w:gridSpan w:val="2"/>
            <w:tcBorders>
              <w:bottom w:val="nil"/>
            </w:tcBorders>
            <w:shd w:val="clear" w:color="auto" w:fill="404040"/>
            <w:vAlign w:val="center"/>
          </w:tcPr>
          <w:p w:rsidR="00631273" w:rsidRPr="001830EF" w:rsidRDefault="00631273" w:rsidP="00A90E34">
            <w:pPr>
              <w:keepNext/>
              <w:spacing w:before="120"/>
              <w:jc w:val="center"/>
              <w:outlineLvl w:val="3"/>
              <w:rPr>
                <w:rFonts w:ascii="Arial Narrow" w:hAnsi="Arial Narrow"/>
                <w:b/>
                <w:color w:val="FFFFFF"/>
                <w:szCs w:val="20"/>
              </w:rPr>
            </w:pPr>
            <w:r w:rsidRPr="001830EF">
              <w:rPr>
                <w:sz w:val="22"/>
              </w:rPr>
              <w:br w:type="page"/>
            </w:r>
            <w:r w:rsidR="00D127FE">
              <w:rPr>
                <w:rFonts w:ascii="Arial Narrow" w:hAnsi="Arial Narrow"/>
                <w:b/>
                <w:color w:val="FFFFFF"/>
                <w:szCs w:val="20"/>
              </w:rPr>
              <w:t>Πίνακας 3.11</w:t>
            </w:r>
            <w:r w:rsidRPr="001830EF">
              <w:rPr>
                <w:rFonts w:ascii="Arial Narrow" w:hAnsi="Arial Narrow"/>
                <w:b/>
                <w:color w:val="FFFFFF"/>
                <w:szCs w:val="20"/>
              </w:rPr>
              <w:t xml:space="preserve">  Χρηματοδοτικές ανάγκες Κρατικού Προϋπολογισμού 20</w:t>
            </w:r>
            <w:r w:rsidR="001932EA">
              <w:rPr>
                <w:rFonts w:ascii="Arial Narrow" w:hAnsi="Arial Narrow"/>
                <w:b/>
                <w:color w:val="FFFFFF"/>
                <w:szCs w:val="20"/>
              </w:rPr>
              <w:t>21</w:t>
            </w:r>
          </w:p>
          <w:p w:rsidR="00631273" w:rsidRPr="001830EF" w:rsidRDefault="00631273" w:rsidP="00493A74">
            <w:pPr>
              <w:spacing w:after="60"/>
              <w:jc w:val="center"/>
              <w:rPr>
                <w:rFonts w:ascii="Arial Narrow" w:hAnsi="Arial Narrow"/>
                <w:b/>
                <w:color w:val="FFFFFF"/>
                <w:szCs w:val="20"/>
              </w:rPr>
            </w:pPr>
            <w:r w:rsidRPr="001830EF">
              <w:rPr>
                <w:rFonts w:ascii="Arial Narrow" w:hAnsi="Arial Narrow"/>
                <w:b/>
                <w:color w:val="FFFFFF"/>
                <w:szCs w:val="20"/>
              </w:rPr>
              <w:t>(σε εκατ. ευρώ)</w:t>
            </w:r>
          </w:p>
        </w:tc>
      </w:tr>
      <w:tr w:rsidR="00631273" w:rsidRPr="00B24211" w:rsidTr="00A90E34">
        <w:trPr>
          <w:cantSplit/>
          <w:trHeight w:val="170"/>
          <w:jc w:val="center"/>
        </w:trPr>
        <w:tc>
          <w:tcPr>
            <w:tcW w:w="4631" w:type="dxa"/>
            <w:tcBorders>
              <w:top w:val="nil"/>
              <w:bottom w:val="single" w:sz="4" w:space="0" w:color="auto"/>
              <w:right w:val="nil"/>
            </w:tcBorders>
            <w:shd w:val="clear" w:color="auto" w:fill="auto"/>
          </w:tcPr>
          <w:p w:rsidR="00631273" w:rsidRPr="00B24211" w:rsidRDefault="00631273" w:rsidP="00A90E34">
            <w:pPr>
              <w:jc w:val="both"/>
              <w:rPr>
                <w:rFonts w:ascii="Arial Narrow" w:hAnsi="Arial Narrow"/>
                <w:color w:val="C0C0C0"/>
                <w:sz w:val="14"/>
                <w:szCs w:val="16"/>
              </w:rPr>
            </w:pPr>
          </w:p>
        </w:tc>
        <w:tc>
          <w:tcPr>
            <w:tcW w:w="2411" w:type="dxa"/>
            <w:tcBorders>
              <w:top w:val="nil"/>
              <w:left w:val="nil"/>
              <w:bottom w:val="single" w:sz="4" w:space="0" w:color="auto"/>
            </w:tcBorders>
            <w:shd w:val="clear" w:color="auto" w:fill="auto"/>
            <w:vAlign w:val="center"/>
          </w:tcPr>
          <w:p w:rsidR="00631273" w:rsidRPr="00B24211" w:rsidRDefault="00631273" w:rsidP="00A90E34">
            <w:pPr>
              <w:jc w:val="center"/>
              <w:rPr>
                <w:rFonts w:ascii="Arial Narrow" w:hAnsi="Arial Narrow"/>
                <w:b/>
                <w:color w:val="C0C0C0"/>
                <w:sz w:val="14"/>
                <w:szCs w:val="16"/>
              </w:rPr>
            </w:pPr>
          </w:p>
        </w:tc>
      </w:tr>
      <w:tr w:rsidR="00631273" w:rsidRPr="001830EF" w:rsidTr="00A90E34">
        <w:trPr>
          <w:cantSplit/>
          <w:trHeight w:val="20"/>
          <w:jc w:val="center"/>
        </w:trPr>
        <w:tc>
          <w:tcPr>
            <w:tcW w:w="4631" w:type="dxa"/>
            <w:tcBorders>
              <w:top w:val="single" w:sz="4" w:space="0" w:color="auto"/>
              <w:bottom w:val="nil"/>
              <w:right w:val="nil"/>
            </w:tcBorders>
            <w:shd w:val="clear" w:color="auto" w:fill="auto"/>
          </w:tcPr>
          <w:p w:rsidR="00631273" w:rsidRPr="001830EF" w:rsidRDefault="00631273" w:rsidP="000E1D0C">
            <w:pPr>
              <w:spacing w:before="40" w:after="40"/>
              <w:jc w:val="both"/>
              <w:rPr>
                <w:rFonts w:ascii="Arial Narrow" w:hAnsi="Arial Narrow"/>
                <w:b/>
                <w:sz w:val="16"/>
                <w:szCs w:val="16"/>
              </w:rPr>
            </w:pPr>
            <w:r w:rsidRPr="001830EF">
              <w:rPr>
                <w:rFonts w:ascii="Arial Narrow" w:hAnsi="Arial Narrow"/>
                <w:b/>
                <w:sz w:val="16"/>
                <w:szCs w:val="16"/>
              </w:rPr>
              <w:t>Χρηματοδοτικές ανάγκες</w:t>
            </w:r>
          </w:p>
        </w:tc>
        <w:tc>
          <w:tcPr>
            <w:tcW w:w="2411" w:type="dxa"/>
            <w:tcBorders>
              <w:top w:val="single" w:sz="4" w:space="0" w:color="auto"/>
              <w:left w:val="nil"/>
              <w:bottom w:val="nil"/>
            </w:tcBorders>
            <w:shd w:val="clear" w:color="auto" w:fill="auto"/>
            <w:vAlign w:val="center"/>
          </w:tcPr>
          <w:p w:rsidR="00631273" w:rsidRDefault="00631273" w:rsidP="000E1D0C">
            <w:pPr>
              <w:tabs>
                <w:tab w:val="decimal" w:pos="1193"/>
              </w:tabs>
              <w:spacing w:before="40" w:after="40"/>
              <w:jc w:val="both"/>
              <w:rPr>
                <w:rFonts w:ascii="Arial Narrow" w:hAnsi="Arial Narrow" w:cs="Arial Greek"/>
                <w:sz w:val="16"/>
                <w:szCs w:val="16"/>
              </w:rPr>
            </w:pPr>
          </w:p>
        </w:tc>
      </w:tr>
      <w:tr w:rsidR="001932EA" w:rsidRPr="001830EF" w:rsidTr="00A90E34">
        <w:trPr>
          <w:cantSplit/>
          <w:trHeight w:val="20"/>
          <w:jc w:val="center"/>
        </w:trPr>
        <w:tc>
          <w:tcPr>
            <w:tcW w:w="4631" w:type="dxa"/>
            <w:tcBorders>
              <w:top w:val="nil"/>
              <w:bottom w:val="nil"/>
              <w:right w:val="nil"/>
            </w:tcBorders>
            <w:shd w:val="clear" w:color="auto" w:fill="auto"/>
          </w:tcPr>
          <w:p w:rsidR="001932EA" w:rsidRPr="001830EF" w:rsidRDefault="001932EA" w:rsidP="000E1D0C">
            <w:pPr>
              <w:spacing w:before="40" w:after="40"/>
              <w:jc w:val="both"/>
              <w:rPr>
                <w:rFonts w:ascii="Arial Narrow" w:hAnsi="Arial Narrow"/>
                <w:sz w:val="16"/>
                <w:szCs w:val="16"/>
              </w:rPr>
            </w:pPr>
            <w:r w:rsidRPr="001830EF">
              <w:rPr>
                <w:rFonts w:ascii="Arial Narrow" w:hAnsi="Arial Narrow"/>
                <w:sz w:val="16"/>
                <w:szCs w:val="16"/>
              </w:rPr>
              <w:t>Έλλειμμα Κρατικού Προϋπολογισμού (ταμειακό)</w:t>
            </w:r>
          </w:p>
        </w:tc>
        <w:tc>
          <w:tcPr>
            <w:tcW w:w="2411" w:type="dxa"/>
            <w:tcBorders>
              <w:top w:val="nil"/>
              <w:left w:val="nil"/>
              <w:bottom w:val="nil"/>
            </w:tcBorders>
            <w:shd w:val="clear" w:color="auto" w:fill="auto"/>
            <w:vAlign w:val="bottom"/>
          </w:tcPr>
          <w:p w:rsidR="001932EA" w:rsidRDefault="001932EA" w:rsidP="000E1D0C">
            <w:pPr>
              <w:tabs>
                <w:tab w:val="decimal" w:pos="1335"/>
              </w:tabs>
              <w:spacing w:before="40" w:after="40"/>
              <w:jc w:val="both"/>
              <w:rPr>
                <w:rFonts w:ascii="Arial Narrow" w:hAnsi="Arial Narrow"/>
                <w:color w:val="000000"/>
                <w:sz w:val="16"/>
                <w:szCs w:val="16"/>
              </w:rPr>
            </w:pPr>
            <w:r>
              <w:rPr>
                <w:rFonts w:ascii="Arial Narrow" w:hAnsi="Arial Narrow"/>
                <w:color w:val="000000"/>
                <w:sz w:val="16"/>
                <w:szCs w:val="16"/>
              </w:rPr>
              <w:t>14.841</w:t>
            </w:r>
          </w:p>
        </w:tc>
      </w:tr>
      <w:tr w:rsidR="001932EA" w:rsidRPr="001830EF" w:rsidTr="00A90E34">
        <w:trPr>
          <w:cantSplit/>
          <w:trHeight w:val="20"/>
          <w:jc w:val="center"/>
        </w:trPr>
        <w:tc>
          <w:tcPr>
            <w:tcW w:w="4631" w:type="dxa"/>
            <w:tcBorders>
              <w:top w:val="nil"/>
              <w:bottom w:val="nil"/>
              <w:right w:val="nil"/>
            </w:tcBorders>
            <w:shd w:val="clear" w:color="auto" w:fill="auto"/>
          </w:tcPr>
          <w:p w:rsidR="001932EA" w:rsidRPr="001830EF" w:rsidRDefault="001932EA" w:rsidP="000E1D0C">
            <w:pPr>
              <w:spacing w:before="40" w:after="40"/>
              <w:jc w:val="both"/>
              <w:rPr>
                <w:rFonts w:ascii="Arial Narrow" w:hAnsi="Arial Narrow"/>
                <w:sz w:val="16"/>
                <w:szCs w:val="16"/>
              </w:rPr>
            </w:pPr>
            <w:r w:rsidRPr="001830EF">
              <w:rPr>
                <w:rFonts w:ascii="Arial Narrow" w:hAnsi="Arial Narrow"/>
                <w:sz w:val="16"/>
                <w:szCs w:val="16"/>
              </w:rPr>
              <w:t>Αυξήσεις ΜΚ εταιρειών</w:t>
            </w:r>
          </w:p>
        </w:tc>
        <w:tc>
          <w:tcPr>
            <w:tcW w:w="2411" w:type="dxa"/>
            <w:tcBorders>
              <w:top w:val="nil"/>
              <w:left w:val="nil"/>
              <w:bottom w:val="nil"/>
            </w:tcBorders>
            <w:shd w:val="clear" w:color="auto" w:fill="auto"/>
            <w:vAlign w:val="bottom"/>
          </w:tcPr>
          <w:p w:rsidR="001932EA" w:rsidRDefault="001932EA" w:rsidP="000E1D0C">
            <w:pPr>
              <w:tabs>
                <w:tab w:val="decimal" w:pos="1335"/>
              </w:tabs>
              <w:spacing w:before="40" w:after="40"/>
              <w:jc w:val="both"/>
              <w:rPr>
                <w:rFonts w:ascii="Arial Narrow" w:hAnsi="Arial Narrow"/>
                <w:color w:val="000000"/>
                <w:sz w:val="16"/>
                <w:szCs w:val="16"/>
              </w:rPr>
            </w:pPr>
            <w:r>
              <w:rPr>
                <w:rFonts w:ascii="Arial Narrow" w:hAnsi="Arial Narrow"/>
                <w:color w:val="000000"/>
                <w:sz w:val="16"/>
                <w:szCs w:val="16"/>
              </w:rPr>
              <w:t>1.562</w:t>
            </w:r>
          </w:p>
        </w:tc>
      </w:tr>
      <w:tr w:rsidR="001932EA" w:rsidRPr="001830EF" w:rsidTr="00A90E34">
        <w:trPr>
          <w:cantSplit/>
          <w:trHeight w:val="20"/>
          <w:jc w:val="center"/>
        </w:trPr>
        <w:tc>
          <w:tcPr>
            <w:tcW w:w="4631" w:type="dxa"/>
            <w:tcBorders>
              <w:top w:val="nil"/>
              <w:bottom w:val="nil"/>
              <w:right w:val="nil"/>
            </w:tcBorders>
            <w:shd w:val="clear" w:color="auto" w:fill="auto"/>
          </w:tcPr>
          <w:p w:rsidR="001932EA" w:rsidRPr="00FA4D71" w:rsidRDefault="001932EA" w:rsidP="000E1D0C">
            <w:pPr>
              <w:spacing w:before="40" w:after="40"/>
              <w:jc w:val="both"/>
              <w:rPr>
                <w:rFonts w:ascii="Arial Narrow" w:hAnsi="Arial Narrow"/>
                <w:sz w:val="16"/>
                <w:szCs w:val="16"/>
              </w:rPr>
            </w:pPr>
            <w:r>
              <w:rPr>
                <w:rFonts w:ascii="Arial Narrow" w:hAnsi="Arial Narrow"/>
                <w:sz w:val="16"/>
                <w:szCs w:val="16"/>
              </w:rPr>
              <w:t>Χρηματοοικονομικά παράγωγα</w:t>
            </w:r>
          </w:p>
        </w:tc>
        <w:tc>
          <w:tcPr>
            <w:tcW w:w="2411" w:type="dxa"/>
            <w:tcBorders>
              <w:top w:val="nil"/>
              <w:left w:val="nil"/>
              <w:bottom w:val="nil"/>
            </w:tcBorders>
            <w:shd w:val="clear" w:color="auto" w:fill="auto"/>
            <w:vAlign w:val="bottom"/>
          </w:tcPr>
          <w:p w:rsidR="001932EA" w:rsidRDefault="001932EA" w:rsidP="000E1D0C">
            <w:pPr>
              <w:tabs>
                <w:tab w:val="decimal" w:pos="1335"/>
              </w:tabs>
              <w:spacing w:before="40" w:after="40"/>
              <w:jc w:val="both"/>
              <w:rPr>
                <w:rFonts w:ascii="Arial Narrow" w:hAnsi="Arial Narrow"/>
                <w:color w:val="000000"/>
                <w:sz w:val="16"/>
                <w:szCs w:val="16"/>
              </w:rPr>
            </w:pPr>
            <w:r>
              <w:rPr>
                <w:rFonts w:ascii="Arial Narrow" w:hAnsi="Arial Narrow"/>
                <w:color w:val="000000"/>
                <w:sz w:val="16"/>
                <w:szCs w:val="16"/>
              </w:rPr>
              <w:t>1.450</w:t>
            </w:r>
          </w:p>
        </w:tc>
      </w:tr>
      <w:tr w:rsidR="001932EA" w:rsidRPr="001830EF" w:rsidTr="00A90E34">
        <w:trPr>
          <w:cantSplit/>
          <w:trHeight w:val="20"/>
          <w:jc w:val="center"/>
        </w:trPr>
        <w:tc>
          <w:tcPr>
            <w:tcW w:w="4631" w:type="dxa"/>
            <w:tcBorders>
              <w:top w:val="nil"/>
              <w:bottom w:val="nil"/>
              <w:right w:val="nil"/>
            </w:tcBorders>
            <w:shd w:val="clear" w:color="auto" w:fill="auto"/>
          </w:tcPr>
          <w:p w:rsidR="001932EA" w:rsidRDefault="001932EA" w:rsidP="000E1D0C">
            <w:pPr>
              <w:spacing w:before="40" w:after="40"/>
              <w:jc w:val="both"/>
              <w:rPr>
                <w:rFonts w:ascii="Arial Narrow" w:hAnsi="Arial Narrow"/>
                <w:sz w:val="16"/>
                <w:szCs w:val="16"/>
              </w:rPr>
            </w:pPr>
            <w:r>
              <w:rPr>
                <w:rFonts w:ascii="Arial Narrow" w:hAnsi="Arial Narrow"/>
                <w:sz w:val="16"/>
                <w:szCs w:val="16"/>
              </w:rPr>
              <w:t>Πώληση μετοχών κ.λπ.</w:t>
            </w:r>
          </w:p>
        </w:tc>
        <w:tc>
          <w:tcPr>
            <w:tcW w:w="2411" w:type="dxa"/>
            <w:tcBorders>
              <w:top w:val="nil"/>
              <w:left w:val="nil"/>
              <w:bottom w:val="nil"/>
            </w:tcBorders>
            <w:shd w:val="clear" w:color="auto" w:fill="auto"/>
            <w:vAlign w:val="bottom"/>
          </w:tcPr>
          <w:p w:rsidR="001932EA" w:rsidRDefault="001932EA" w:rsidP="000E1D0C">
            <w:pPr>
              <w:tabs>
                <w:tab w:val="decimal" w:pos="1335"/>
              </w:tabs>
              <w:spacing w:before="40" w:after="40"/>
              <w:jc w:val="both"/>
              <w:rPr>
                <w:rFonts w:ascii="Arial Narrow" w:hAnsi="Arial Narrow"/>
                <w:color w:val="000000"/>
                <w:sz w:val="16"/>
                <w:szCs w:val="16"/>
              </w:rPr>
            </w:pPr>
            <w:r>
              <w:rPr>
                <w:rFonts w:ascii="Arial Narrow" w:hAnsi="Arial Narrow"/>
                <w:color w:val="000000"/>
                <w:sz w:val="16"/>
                <w:szCs w:val="16"/>
              </w:rPr>
              <w:t>-1.492</w:t>
            </w:r>
          </w:p>
        </w:tc>
      </w:tr>
      <w:tr w:rsidR="001932EA" w:rsidRPr="001830EF" w:rsidTr="00A90E34">
        <w:trPr>
          <w:cantSplit/>
          <w:trHeight w:val="20"/>
          <w:jc w:val="center"/>
        </w:trPr>
        <w:tc>
          <w:tcPr>
            <w:tcW w:w="4631" w:type="dxa"/>
            <w:tcBorders>
              <w:top w:val="nil"/>
              <w:bottom w:val="nil"/>
              <w:right w:val="nil"/>
            </w:tcBorders>
            <w:shd w:val="clear" w:color="auto" w:fill="auto"/>
          </w:tcPr>
          <w:p w:rsidR="001932EA" w:rsidRPr="001830EF" w:rsidRDefault="001932EA" w:rsidP="000E1D0C">
            <w:pPr>
              <w:spacing w:before="40" w:after="40"/>
              <w:jc w:val="both"/>
              <w:rPr>
                <w:rFonts w:ascii="Arial Narrow" w:hAnsi="Arial Narrow"/>
                <w:b/>
                <w:sz w:val="16"/>
                <w:szCs w:val="16"/>
              </w:rPr>
            </w:pPr>
            <w:r w:rsidRPr="001830EF">
              <w:rPr>
                <w:rFonts w:ascii="Arial Narrow" w:hAnsi="Arial Narrow"/>
                <w:b/>
                <w:sz w:val="16"/>
                <w:szCs w:val="16"/>
              </w:rPr>
              <w:t>Καθαρός δανεισμός</w:t>
            </w:r>
          </w:p>
        </w:tc>
        <w:tc>
          <w:tcPr>
            <w:tcW w:w="2411" w:type="dxa"/>
            <w:tcBorders>
              <w:top w:val="nil"/>
              <w:left w:val="nil"/>
              <w:bottom w:val="nil"/>
            </w:tcBorders>
            <w:shd w:val="clear" w:color="auto" w:fill="auto"/>
            <w:vAlign w:val="bottom"/>
          </w:tcPr>
          <w:p w:rsidR="001932EA" w:rsidRDefault="001932EA" w:rsidP="000E1D0C">
            <w:pPr>
              <w:tabs>
                <w:tab w:val="decimal" w:pos="1335"/>
              </w:tabs>
              <w:spacing w:before="40" w:after="40"/>
              <w:jc w:val="both"/>
              <w:rPr>
                <w:rFonts w:ascii="Arial Narrow" w:hAnsi="Arial Narrow"/>
                <w:b/>
                <w:bCs/>
                <w:color w:val="000000"/>
                <w:sz w:val="16"/>
                <w:szCs w:val="16"/>
              </w:rPr>
            </w:pPr>
            <w:r>
              <w:rPr>
                <w:rFonts w:ascii="Arial Narrow" w:hAnsi="Arial Narrow"/>
                <w:b/>
                <w:bCs/>
                <w:color w:val="000000"/>
                <w:sz w:val="16"/>
                <w:szCs w:val="16"/>
              </w:rPr>
              <w:t>16.361</w:t>
            </w:r>
          </w:p>
        </w:tc>
      </w:tr>
      <w:tr w:rsidR="001932EA" w:rsidRPr="001830EF" w:rsidTr="00A90E34">
        <w:trPr>
          <w:cantSplit/>
          <w:trHeight w:val="20"/>
          <w:jc w:val="center"/>
        </w:trPr>
        <w:tc>
          <w:tcPr>
            <w:tcW w:w="4631" w:type="dxa"/>
            <w:tcBorders>
              <w:top w:val="nil"/>
              <w:bottom w:val="nil"/>
              <w:right w:val="nil"/>
            </w:tcBorders>
            <w:shd w:val="clear" w:color="auto" w:fill="auto"/>
          </w:tcPr>
          <w:p w:rsidR="001932EA" w:rsidRPr="001830EF" w:rsidRDefault="001932EA" w:rsidP="000E1D0C">
            <w:pPr>
              <w:spacing w:before="40" w:after="40"/>
              <w:jc w:val="both"/>
              <w:rPr>
                <w:rFonts w:ascii="Arial Narrow" w:hAnsi="Arial Narrow"/>
                <w:sz w:val="16"/>
                <w:szCs w:val="16"/>
              </w:rPr>
            </w:pPr>
            <w:r w:rsidRPr="001830EF">
              <w:rPr>
                <w:rFonts w:ascii="Arial Narrow" w:hAnsi="Arial Narrow"/>
                <w:sz w:val="16"/>
                <w:szCs w:val="16"/>
              </w:rPr>
              <w:t>Χρεολύσια μεσομακροπρόθεσμου χρέους</w:t>
            </w:r>
          </w:p>
        </w:tc>
        <w:tc>
          <w:tcPr>
            <w:tcW w:w="2411" w:type="dxa"/>
            <w:tcBorders>
              <w:top w:val="nil"/>
              <w:left w:val="nil"/>
              <w:bottom w:val="nil"/>
            </w:tcBorders>
            <w:shd w:val="clear" w:color="auto" w:fill="auto"/>
            <w:vAlign w:val="bottom"/>
          </w:tcPr>
          <w:p w:rsidR="001932EA" w:rsidRDefault="001932EA" w:rsidP="000E1D0C">
            <w:pPr>
              <w:tabs>
                <w:tab w:val="decimal" w:pos="1335"/>
              </w:tabs>
              <w:spacing w:before="40" w:after="40"/>
              <w:jc w:val="both"/>
              <w:rPr>
                <w:rFonts w:ascii="Arial Narrow" w:hAnsi="Arial Narrow"/>
                <w:color w:val="000000"/>
                <w:sz w:val="16"/>
                <w:szCs w:val="16"/>
              </w:rPr>
            </w:pPr>
            <w:r>
              <w:rPr>
                <w:rFonts w:ascii="Arial Narrow" w:hAnsi="Arial Narrow"/>
                <w:color w:val="000000"/>
                <w:sz w:val="16"/>
                <w:szCs w:val="16"/>
              </w:rPr>
              <w:t>5.375</w:t>
            </w:r>
          </w:p>
        </w:tc>
      </w:tr>
      <w:tr w:rsidR="001932EA" w:rsidRPr="001830EF" w:rsidTr="00A90E34">
        <w:trPr>
          <w:cantSplit/>
          <w:trHeight w:val="20"/>
          <w:jc w:val="center"/>
        </w:trPr>
        <w:tc>
          <w:tcPr>
            <w:tcW w:w="4631" w:type="dxa"/>
            <w:tcBorders>
              <w:top w:val="nil"/>
              <w:bottom w:val="nil"/>
              <w:right w:val="nil"/>
            </w:tcBorders>
            <w:shd w:val="clear" w:color="auto" w:fill="auto"/>
          </w:tcPr>
          <w:p w:rsidR="001932EA" w:rsidRPr="001830EF" w:rsidRDefault="001932EA" w:rsidP="000E1D0C">
            <w:pPr>
              <w:keepNext/>
              <w:spacing w:before="40" w:after="40"/>
              <w:outlineLvl w:val="2"/>
              <w:rPr>
                <w:rFonts w:ascii="Arial Narrow" w:hAnsi="Arial Narrow" w:cs="Arial"/>
                <w:b/>
                <w:bCs/>
                <w:sz w:val="16"/>
                <w:szCs w:val="16"/>
              </w:rPr>
            </w:pPr>
            <w:r w:rsidRPr="001830EF">
              <w:rPr>
                <w:rFonts w:ascii="Arial Narrow" w:hAnsi="Arial Narrow" w:cs="Arial"/>
                <w:b/>
                <w:bCs/>
                <w:sz w:val="16"/>
                <w:szCs w:val="16"/>
              </w:rPr>
              <w:t>Μερικό σύνολο</w:t>
            </w:r>
          </w:p>
        </w:tc>
        <w:tc>
          <w:tcPr>
            <w:tcW w:w="2411" w:type="dxa"/>
            <w:tcBorders>
              <w:top w:val="nil"/>
              <w:left w:val="nil"/>
              <w:bottom w:val="nil"/>
            </w:tcBorders>
            <w:shd w:val="clear" w:color="auto" w:fill="auto"/>
            <w:vAlign w:val="bottom"/>
          </w:tcPr>
          <w:p w:rsidR="001932EA" w:rsidRDefault="001932EA" w:rsidP="000E1D0C">
            <w:pPr>
              <w:tabs>
                <w:tab w:val="decimal" w:pos="1335"/>
              </w:tabs>
              <w:spacing w:before="40" w:after="40"/>
              <w:jc w:val="both"/>
              <w:rPr>
                <w:rFonts w:ascii="Arial Narrow" w:hAnsi="Arial Narrow"/>
                <w:b/>
                <w:bCs/>
                <w:color w:val="000000"/>
                <w:sz w:val="16"/>
                <w:szCs w:val="16"/>
              </w:rPr>
            </w:pPr>
            <w:r>
              <w:rPr>
                <w:rFonts w:ascii="Arial Narrow" w:hAnsi="Arial Narrow"/>
                <w:b/>
                <w:bCs/>
                <w:color w:val="000000"/>
                <w:sz w:val="16"/>
                <w:szCs w:val="16"/>
              </w:rPr>
              <w:t>21.736</w:t>
            </w:r>
          </w:p>
        </w:tc>
      </w:tr>
      <w:tr w:rsidR="001932EA" w:rsidRPr="001830EF" w:rsidTr="00A90E34">
        <w:trPr>
          <w:cantSplit/>
          <w:trHeight w:val="20"/>
          <w:jc w:val="center"/>
        </w:trPr>
        <w:tc>
          <w:tcPr>
            <w:tcW w:w="4631" w:type="dxa"/>
            <w:tcBorders>
              <w:top w:val="nil"/>
              <w:bottom w:val="nil"/>
              <w:right w:val="nil"/>
            </w:tcBorders>
            <w:shd w:val="clear" w:color="auto" w:fill="auto"/>
          </w:tcPr>
          <w:p w:rsidR="001932EA" w:rsidRPr="00A17B11" w:rsidRDefault="001932EA" w:rsidP="000E1D0C">
            <w:pPr>
              <w:spacing w:before="40" w:after="40"/>
              <w:jc w:val="both"/>
              <w:rPr>
                <w:rFonts w:ascii="Arial Narrow" w:hAnsi="Arial Narrow"/>
                <w:sz w:val="16"/>
                <w:szCs w:val="16"/>
                <w:vertAlign w:val="superscript"/>
              </w:rPr>
            </w:pPr>
            <w:r w:rsidRPr="001830EF">
              <w:rPr>
                <w:rFonts w:ascii="Arial Narrow" w:hAnsi="Arial Narrow"/>
                <w:sz w:val="16"/>
                <w:szCs w:val="16"/>
              </w:rPr>
              <w:t>Πρόβλεψη εξόφλησης βραχυπροθέσμ</w:t>
            </w:r>
            <w:r>
              <w:rPr>
                <w:rFonts w:ascii="Arial Narrow" w:hAnsi="Arial Narrow"/>
                <w:sz w:val="16"/>
                <w:szCs w:val="16"/>
              </w:rPr>
              <w:t>ου</w:t>
            </w:r>
            <w:r w:rsidRPr="001830EF">
              <w:rPr>
                <w:rFonts w:ascii="Arial Narrow" w:hAnsi="Arial Narrow"/>
                <w:sz w:val="16"/>
                <w:szCs w:val="16"/>
              </w:rPr>
              <w:t xml:space="preserve"> </w:t>
            </w:r>
            <w:r>
              <w:rPr>
                <w:rFonts w:ascii="Arial Narrow" w:hAnsi="Arial Narrow"/>
                <w:sz w:val="16"/>
                <w:szCs w:val="16"/>
              </w:rPr>
              <w:t>χρέους</w:t>
            </w:r>
            <w:r>
              <w:rPr>
                <w:rFonts w:ascii="Arial Narrow" w:hAnsi="Arial Narrow"/>
                <w:sz w:val="16"/>
                <w:szCs w:val="16"/>
                <w:vertAlign w:val="superscript"/>
              </w:rPr>
              <w:t>*</w:t>
            </w:r>
          </w:p>
        </w:tc>
        <w:tc>
          <w:tcPr>
            <w:tcW w:w="2411" w:type="dxa"/>
            <w:tcBorders>
              <w:top w:val="nil"/>
              <w:left w:val="nil"/>
              <w:bottom w:val="nil"/>
            </w:tcBorders>
            <w:shd w:val="clear" w:color="auto" w:fill="auto"/>
            <w:vAlign w:val="bottom"/>
          </w:tcPr>
          <w:p w:rsidR="001932EA" w:rsidRDefault="001932EA" w:rsidP="000E1D0C">
            <w:pPr>
              <w:tabs>
                <w:tab w:val="decimal" w:pos="1335"/>
              </w:tabs>
              <w:spacing w:before="40" w:after="40"/>
              <w:jc w:val="both"/>
              <w:rPr>
                <w:rFonts w:ascii="Arial Narrow" w:hAnsi="Arial Narrow"/>
                <w:color w:val="000000"/>
                <w:sz w:val="16"/>
                <w:szCs w:val="16"/>
              </w:rPr>
            </w:pPr>
            <w:r>
              <w:rPr>
                <w:rFonts w:ascii="Arial Narrow" w:hAnsi="Arial Narrow"/>
                <w:color w:val="000000"/>
                <w:sz w:val="16"/>
                <w:szCs w:val="16"/>
              </w:rPr>
              <w:t>726.000</w:t>
            </w:r>
          </w:p>
        </w:tc>
      </w:tr>
      <w:tr w:rsidR="001932EA" w:rsidRPr="001830EF" w:rsidTr="00A90E34">
        <w:trPr>
          <w:cantSplit/>
          <w:trHeight w:val="20"/>
          <w:jc w:val="center"/>
        </w:trPr>
        <w:tc>
          <w:tcPr>
            <w:tcW w:w="4631" w:type="dxa"/>
            <w:tcBorders>
              <w:top w:val="nil"/>
              <w:bottom w:val="nil"/>
              <w:right w:val="nil"/>
            </w:tcBorders>
            <w:shd w:val="clear" w:color="auto" w:fill="auto"/>
          </w:tcPr>
          <w:p w:rsidR="001932EA" w:rsidRPr="001830EF" w:rsidRDefault="001932EA" w:rsidP="000E1D0C">
            <w:pPr>
              <w:spacing w:before="40" w:after="40"/>
              <w:jc w:val="both"/>
              <w:rPr>
                <w:rFonts w:ascii="Arial Narrow" w:hAnsi="Arial Narrow"/>
                <w:b/>
                <w:sz w:val="16"/>
                <w:szCs w:val="16"/>
              </w:rPr>
            </w:pPr>
            <w:r w:rsidRPr="001830EF">
              <w:rPr>
                <w:rFonts w:ascii="Arial Narrow" w:hAnsi="Arial Narrow"/>
                <w:b/>
                <w:sz w:val="16"/>
                <w:szCs w:val="16"/>
              </w:rPr>
              <w:t>Σύνολο χρηματοδοτικών αναγκών</w:t>
            </w:r>
          </w:p>
        </w:tc>
        <w:tc>
          <w:tcPr>
            <w:tcW w:w="2411" w:type="dxa"/>
            <w:tcBorders>
              <w:top w:val="nil"/>
              <w:left w:val="nil"/>
              <w:bottom w:val="nil"/>
            </w:tcBorders>
            <w:shd w:val="clear" w:color="auto" w:fill="auto"/>
            <w:vAlign w:val="bottom"/>
          </w:tcPr>
          <w:p w:rsidR="001932EA" w:rsidRDefault="001932EA" w:rsidP="000E1D0C">
            <w:pPr>
              <w:tabs>
                <w:tab w:val="decimal" w:pos="1335"/>
              </w:tabs>
              <w:spacing w:before="40" w:after="40"/>
              <w:jc w:val="both"/>
              <w:rPr>
                <w:rFonts w:ascii="Arial Narrow" w:hAnsi="Arial Narrow"/>
                <w:b/>
                <w:bCs/>
                <w:color w:val="000000"/>
                <w:sz w:val="16"/>
                <w:szCs w:val="16"/>
              </w:rPr>
            </w:pPr>
            <w:r>
              <w:rPr>
                <w:rFonts w:ascii="Arial Narrow" w:hAnsi="Arial Narrow"/>
                <w:b/>
                <w:bCs/>
                <w:color w:val="000000"/>
                <w:sz w:val="16"/>
                <w:szCs w:val="16"/>
              </w:rPr>
              <w:t>747.736</w:t>
            </w:r>
          </w:p>
        </w:tc>
      </w:tr>
      <w:tr w:rsidR="001932EA" w:rsidRPr="00B24211" w:rsidTr="00A90E34">
        <w:trPr>
          <w:cantSplit/>
          <w:trHeight w:val="20"/>
          <w:jc w:val="center"/>
        </w:trPr>
        <w:tc>
          <w:tcPr>
            <w:tcW w:w="4631" w:type="dxa"/>
            <w:tcBorders>
              <w:top w:val="nil"/>
              <w:bottom w:val="nil"/>
              <w:right w:val="nil"/>
            </w:tcBorders>
            <w:shd w:val="clear" w:color="auto" w:fill="auto"/>
          </w:tcPr>
          <w:p w:rsidR="001932EA" w:rsidRPr="00B24211" w:rsidRDefault="001932EA" w:rsidP="000E1D0C">
            <w:pPr>
              <w:spacing w:before="40" w:after="40"/>
              <w:jc w:val="both"/>
              <w:rPr>
                <w:rFonts w:ascii="Arial Narrow" w:hAnsi="Arial Narrow"/>
                <w:b/>
                <w:sz w:val="10"/>
                <w:szCs w:val="16"/>
              </w:rPr>
            </w:pPr>
          </w:p>
        </w:tc>
        <w:tc>
          <w:tcPr>
            <w:tcW w:w="2411" w:type="dxa"/>
            <w:tcBorders>
              <w:top w:val="nil"/>
              <w:left w:val="nil"/>
              <w:bottom w:val="nil"/>
            </w:tcBorders>
            <w:shd w:val="clear" w:color="auto" w:fill="auto"/>
            <w:vAlign w:val="bottom"/>
          </w:tcPr>
          <w:p w:rsidR="001932EA" w:rsidRDefault="001932EA" w:rsidP="000E1D0C">
            <w:pPr>
              <w:tabs>
                <w:tab w:val="decimal" w:pos="1335"/>
              </w:tabs>
              <w:spacing w:before="40" w:after="40"/>
              <w:jc w:val="both"/>
              <w:rPr>
                <w:rFonts w:ascii="Arial Narrow" w:hAnsi="Arial Narrow"/>
                <w:color w:val="000000"/>
                <w:sz w:val="10"/>
                <w:szCs w:val="10"/>
              </w:rPr>
            </w:pPr>
            <w:r>
              <w:rPr>
                <w:rFonts w:ascii="Arial Narrow" w:hAnsi="Arial Narrow"/>
                <w:color w:val="000000"/>
                <w:sz w:val="10"/>
                <w:szCs w:val="10"/>
              </w:rPr>
              <w:t> </w:t>
            </w:r>
          </w:p>
        </w:tc>
      </w:tr>
      <w:tr w:rsidR="001932EA" w:rsidRPr="001830EF" w:rsidTr="00A90E34">
        <w:trPr>
          <w:cantSplit/>
          <w:trHeight w:val="20"/>
          <w:jc w:val="center"/>
        </w:trPr>
        <w:tc>
          <w:tcPr>
            <w:tcW w:w="4631" w:type="dxa"/>
            <w:tcBorders>
              <w:top w:val="nil"/>
              <w:bottom w:val="nil"/>
              <w:right w:val="nil"/>
            </w:tcBorders>
            <w:shd w:val="clear" w:color="auto" w:fill="auto"/>
          </w:tcPr>
          <w:p w:rsidR="001932EA" w:rsidRPr="001830EF" w:rsidRDefault="001932EA" w:rsidP="000E1D0C">
            <w:pPr>
              <w:spacing w:before="40" w:after="40"/>
              <w:jc w:val="both"/>
              <w:rPr>
                <w:rFonts w:ascii="Arial Narrow" w:hAnsi="Arial Narrow"/>
                <w:b/>
                <w:sz w:val="16"/>
                <w:szCs w:val="16"/>
              </w:rPr>
            </w:pPr>
            <w:r w:rsidRPr="001830EF">
              <w:rPr>
                <w:rFonts w:ascii="Arial Narrow" w:hAnsi="Arial Narrow"/>
                <w:b/>
                <w:sz w:val="16"/>
                <w:szCs w:val="16"/>
              </w:rPr>
              <w:t>Χρηματοδότηση</w:t>
            </w:r>
          </w:p>
        </w:tc>
        <w:tc>
          <w:tcPr>
            <w:tcW w:w="2411" w:type="dxa"/>
            <w:tcBorders>
              <w:top w:val="nil"/>
              <w:left w:val="nil"/>
              <w:bottom w:val="nil"/>
            </w:tcBorders>
            <w:shd w:val="clear" w:color="auto" w:fill="auto"/>
            <w:vAlign w:val="bottom"/>
          </w:tcPr>
          <w:p w:rsidR="001932EA" w:rsidRDefault="001932EA" w:rsidP="000E1D0C">
            <w:pPr>
              <w:tabs>
                <w:tab w:val="decimal" w:pos="1335"/>
              </w:tabs>
              <w:spacing w:before="40" w:after="40"/>
              <w:jc w:val="both"/>
              <w:rPr>
                <w:rFonts w:ascii="Arial Narrow" w:hAnsi="Arial Narrow"/>
                <w:color w:val="000000"/>
                <w:sz w:val="16"/>
                <w:szCs w:val="16"/>
              </w:rPr>
            </w:pPr>
            <w:r>
              <w:rPr>
                <w:rFonts w:ascii="Arial Narrow" w:hAnsi="Arial Narrow"/>
                <w:color w:val="000000"/>
                <w:sz w:val="16"/>
                <w:szCs w:val="16"/>
              </w:rPr>
              <w:t> </w:t>
            </w:r>
          </w:p>
        </w:tc>
      </w:tr>
      <w:tr w:rsidR="001932EA" w:rsidRPr="001830EF" w:rsidTr="00A90E34">
        <w:trPr>
          <w:cantSplit/>
          <w:trHeight w:val="20"/>
          <w:jc w:val="center"/>
        </w:trPr>
        <w:tc>
          <w:tcPr>
            <w:tcW w:w="4631" w:type="dxa"/>
            <w:tcBorders>
              <w:top w:val="nil"/>
              <w:bottom w:val="nil"/>
              <w:right w:val="nil"/>
            </w:tcBorders>
            <w:shd w:val="clear" w:color="auto" w:fill="auto"/>
          </w:tcPr>
          <w:p w:rsidR="001932EA" w:rsidRPr="00A12FA4" w:rsidRDefault="001932EA" w:rsidP="000E1D0C">
            <w:pPr>
              <w:spacing w:before="40" w:after="40"/>
              <w:jc w:val="both"/>
              <w:rPr>
                <w:rFonts w:ascii="Arial Narrow" w:hAnsi="Arial Narrow"/>
                <w:sz w:val="16"/>
                <w:szCs w:val="16"/>
                <w:vertAlign w:val="superscript"/>
              </w:rPr>
            </w:pPr>
            <w:r w:rsidRPr="001830EF">
              <w:rPr>
                <w:rFonts w:ascii="Arial Narrow" w:hAnsi="Arial Narrow"/>
                <w:sz w:val="16"/>
                <w:szCs w:val="16"/>
              </w:rPr>
              <w:t>Βραχυπρόθεσμος δ</w:t>
            </w:r>
            <w:r w:rsidRPr="001830EF">
              <w:rPr>
                <w:rFonts w:ascii="Arial Narrow" w:hAnsi="Arial Narrow"/>
                <w:sz w:val="16"/>
                <w:szCs w:val="16"/>
                <w:lang w:val="en-GB"/>
              </w:rPr>
              <w:t>ανεισμός</w:t>
            </w:r>
            <w:r>
              <w:rPr>
                <w:rFonts w:ascii="Arial Narrow" w:hAnsi="Arial Narrow"/>
                <w:sz w:val="16"/>
                <w:szCs w:val="16"/>
                <w:vertAlign w:val="superscript"/>
              </w:rPr>
              <w:t>*</w:t>
            </w:r>
          </w:p>
        </w:tc>
        <w:tc>
          <w:tcPr>
            <w:tcW w:w="2411" w:type="dxa"/>
            <w:tcBorders>
              <w:top w:val="nil"/>
              <w:left w:val="nil"/>
              <w:bottom w:val="nil"/>
            </w:tcBorders>
            <w:shd w:val="clear" w:color="auto" w:fill="auto"/>
            <w:vAlign w:val="bottom"/>
          </w:tcPr>
          <w:p w:rsidR="001932EA" w:rsidRDefault="001932EA" w:rsidP="000E1D0C">
            <w:pPr>
              <w:tabs>
                <w:tab w:val="decimal" w:pos="1335"/>
              </w:tabs>
              <w:spacing w:before="40" w:after="40"/>
              <w:jc w:val="both"/>
              <w:rPr>
                <w:rFonts w:ascii="Arial Narrow" w:hAnsi="Arial Narrow"/>
                <w:color w:val="000000"/>
                <w:sz w:val="16"/>
                <w:szCs w:val="16"/>
              </w:rPr>
            </w:pPr>
            <w:r>
              <w:rPr>
                <w:rFonts w:ascii="Arial Narrow" w:hAnsi="Arial Narrow"/>
                <w:color w:val="000000"/>
                <w:sz w:val="16"/>
                <w:szCs w:val="16"/>
              </w:rPr>
              <w:t>725.000</w:t>
            </w:r>
          </w:p>
        </w:tc>
      </w:tr>
      <w:tr w:rsidR="001932EA" w:rsidRPr="001830EF" w:rsidTr="00A90E34">
        <w:trPr>
          <w:cantSplit/>
          <w:trHeight w:val="20"/>
          <w:jc w:val="center"/>
        </w:trPr>
        <w:tc>
          <w:tcPr>
            <w:tcW w:w="4631" w:type="dxa"/>
            <w:tcBorders>
              <w:top w:val="nil"/>
              <w:bottom w:val="nil"/>
              <w:right w:val="nil"/>
            </w:tcBorders>
            <w:shd w:val="clear" w:color="auto" w:fill="auto"/>
          </w:tcPr>
          <w:p w:rsidR="001932EA" w:rsidRPr="001830EF" w:rsidRDefault="001932EA" w:rsidP="000E1D0C">
            <w:pPr>
              <w:spacing w:before="40" w:after="40"/>
              <w:jc w:val="both"/>
              <w:rPr>
                <w:rFonts w:ascii="Arial Narrow" w:hAnsi="Arial Narrow"/>
                <w:sz w:val="16"/>
                <w:szCs w:val="16"/>
              </w:rPr>
            </w:pPr>
            <w:r>
              <w:rPr>
                <w:rFonts w:ascii="Arial Narrow" w:hAnsi="Arial Narrow"/>
                <w:sz w:val="16"/>
                <w:szCs w:val="16"/>
              </w:rPr>
              <w:t>Ανάλωση διαθεσίμων</w:t>
            </w:r>
          </w:p>
        </w:tc>
        <w:tc>
          <w:tcPr>
            <w:tcW w:w="2411" w:type="dxa"/>
            <w:tcBorders>
              <w:top w:val="nil"/>
              <w:left w:val="nil"/>
              <w:bottom w:val="nil"/>
            </w:tcBorders>
            <w:shd w:val="clear" w:color="auto" w:fill="auto"/>
            <w:vAlign w:val="bottom"/>
          </w:tcPr>
          <w:p w:rsidR="001932EA" w:rsidRDefault="001932EA" w:rsidP="000E1D0C">
            <w:pPr>
              <w:tabs>
                <w:tab w:val="decimal" w:pos="1335"/>
              </w:tabs>
              <w:spacing w:before="40" w:after="40"/>
              <w:jc w:val="both"/>
              <w:rPr>
                <w:rFonts w:ascii="Arial Narrow" w:hAnsi="Arial Narrow"/>
                <w:color w:val="000000"/>
                <w:sz w:val="16"/>
                <w:szCs w:val="16"/>
              </w:rPr>
            </w:pPr>
            <w:r>
              <w:rPr>
                <w:rFonts w:ascii="Arial Narrow" w:hAnsi="Arial Narrow"/>
                <w:color w:val="000000"/>
                <w:sz w:val="16"/>
                <w:szCs w:val="16"/>
              </w:rPr>
              <w:t>9.036</w:t>
            </w:r>
          </w:p>
        </w:tc>
      </w:tr>
      <w:tr w:rsidR="001932EA" w:rsidRPr="001830EF" w:rsidTr="00A90E34">
        <w:trPr>
          <w:cantSplit/>
          <w:trHeight w:val="20"/>
          <w:jc w:val="center"/>
        </w:trPr>
        <w:tc>
          <w:tcPr>
            <w:tcW w:w="4631" w:type="dxa"/>
            <w:tcBorders>
              <w:top w:val="nil"/>
              <w:bottom w:val="nil"/>
              <w:right w:val="nil"/>
            </w:tcBorders>
            <w:shd w:val="clear" w:color="auto" w:fill="auto"/>
          </w:tcPr>
          <w:p w:rsidR="001932EA" w:rsidRPr="00F970DF" w:rsidRDefault="001932EA" w:rsidP="000E1D0C">
            <w:pPr>
              <w:spacing w:before="40" w:after="40"/>
              <w:jc w:val="both"/>
              <w:rPr>
                <w:rFonts w:ascii="Arial Narrow" w:hAnsi="Arial Narrow"/>
                <w:sz w:val="16"/>
                <w:szCs w:val="16"/>
              </w:rPr>
            </w:pPr>
            <w:r>
              <w:rPr>
                <w:rFonts w:ascii="Arial Narrow" w:hAnsi="Arial Narrow"/>
                <w:sz w:val="16"/>
                <w:szCs w:val="16"/>
              </w:rPr>
              <w:t>Μακροπρόθεσμος δανεισμός</w:t>
            </w:r>
          </w:p>
        </w:tc>
        <w:tc>
          <w:tcPr>
            <w:tcW w:w="2411" w:type="dxa"/>
            <w:tcBorders>
              <w:top w:val="nil"/>
              <w:left w:val="nil"/>
              <w:bottom w:val="nil"/>
            </w:tcBorders>
            <w:shd w:val="clear" w:color="auto" w:fill="auto"/>
            <w:vAlign w:val="bottom"/>
          </w:tcPr>
          <w:p w:rsidR="001932EA" w:rsidRDefault="001932EA" w:rsidP="000E1D0C">
            <w:pPr>
              <w:tabs>
                <w:tab w:val="decimal" w:pos="1335"/>
              </w:tabs>
              <w:spacing w:before="40" w:after="40"/>
              <w:jc w:val="both"/>
              <w:rPr>
                <w:rFonts w:ascii="Arial Narrow" w:hAnsi="Arial Narrow"/>
                <w:color w:val="000000"/>
                <w:sz w:val="16"/>
                <w:szCs w:val="16"/>
              </w:rPr>
            </w:pPr>
            <w:r>
              <w:rPr>
                <w:rFonts w:ascii="Arial Narrow" w:hAnsi="Arial Narrow"/>
                <w:color w:val="000000"/>
                <w:sz w:val="16"/>
                <w:szCs w:val="16"/>
              </w:rPr>
              <w:t>13.700</w:t>
            </w:r>
          </w:p>
        </w:tc>
      </w:tr>
      <w:tr w:rsidR="001932EA" w:rsidRPr="001830EF" w:rsidTr="00A90E34">
        <w:trPr>
          <w:cantSplit/>
          <w:trHeight w:val="20"/>
          <w:jc w:val="center"/>
        </w:trPr>
        <w:tc>
          <w:tcPr>
            <w:tcW w:w="4631" w:type="dxa"/>
            <w:tcBorders>
              <w:top w:val="nil"/>
              <w:right w:val="nil"/>
            </w:tcBorders>
            <w:shd w:val="clear" w:color="auto" w:fill="auto"/>
          </w:tcPr>
          <w:p w:rsidR="001932EA" w:rsidRPr="001830EF" w:rsidRDefault="001932EA" w:rsidP="000E1D0C">
            <w:pPr>
              <w:keepNext/>
              <w:spacing w:before="40" w:after="40"/>
              <w:outlineLvl w:val="2"/>
              <w:rPr>
                <w:rFonts w:ascii="Arial Narrow" w:hAnsi="Arial Narrow" w:cs="Arial"/>
                <w:b/>
                <w:bCs/>
                <w:sz w:val="16"/>
                <w:szCs w:val="16"/>
              </w:rPr>
            </w:pPr>
            <w:r w:rsidRPr="001830EF">
              <w:rPr>
                <w:rFonts w:ascii="Arial Narrow" w:hAnsi="Arial Narrow" w:cs="Arial"/>
                <w:b/>
                <w:bCs/>
                <w:sz w:val="16"/>
                <w:szCs w:val="16"/>
                <w:lang w:val="en-GB"/>
              </w:rPr>
              <w:t>Σύνολο</w:t>
            </w:r>
            <w:r w:rsidRPr="001830EF">
              <w:rPr>
                <w:rFonts w:ascii="Arial Narrow" w:hAnsi="Arial Narrow" w:cs="Arial"/>
                <w:b/>
                <w:bCs/>
                <w:sz w:val="16"/>
                <w:szCs w:val="16"/>
              </w:rPr>
              <w:t xml:space="preserve"> δανεισμού</w:t>
            </w:r>
          </w:p>
        </w:tc>
        <w:tc>
          <w:tcPr>
            <w:tcW w:w="2411" w:type="dxa"/>
            <w:tcBorders>
              <w:top w:val="nil"/>
              <w:left w:val="nil"/>
            </w:tcBorders>
            <w:shd w:val="clear" w:color="auto" w:fill="auto"/>
            <w:vAlign w:val="bottom"/>
          </w:tcPr>
          <w:p w:rsidR="001932EA" w:rsidRDefault="001932EA" w:rsidP="000E1D0C">
            <w:pPr>
              <w:tabs>
                <w:tab w:val="decimal" w:pos="1335"/>
              </w:tabs>
              <w:spacing w:before="40" w:after="40"/>
              <w:jc w:val="both"/>
              <w:rPr>
                <w:rFonts w:ascii="Arial Narrow" w:hAnsi="Arial Narrow"/>
                <w:b/>
                <w:bCs/>
                <w:color w:val="000000"/>
                <w:sz w:val="16"/>
                <w:szCs w:val="16"/>
              </w:rPr>
            </w:pPr>
            <w:r>
              <w:rPr>
                <w:rFonts w:ascii="Arial Narrow" w:hAnsi="Arial Narrow"/>
                <w:b/>
                <w:bCs/>
                <w:color w:val="000000"/>
                <w:sz w:val="16"/>
                <w:szCs w:val="16"/>
              </w:rPr>
              <w:t>747.736</w:t>
            </w:r>
          </w:p>
        </w:tc>
      </w:tr>
    </w:tbl>
    <w:p w:rsidR="00631273" w:rsidRPr="00F26CAF" w:rsidRDefault="00631273" w:rsidP="00631273">
      <w:pPr>
        <w:tabs>
          <w:tab w:val="left" w:pos="993"/>
        </w:tabs>
        <w:jc w:val="both"/>
        <w:rPr>
          <w:rFonts w:ascii="Arial Narrow" w:hAnsi="Arial Narrow"/>
          <w:sz w:val="16"/>
          <w:szCs w:val="18"/>
        </w:rPr>
      </w:pPr>
      <w:r w:rsidRPr="00E67F0E">
        <w:rPr>
          <w:rFonts w:ascii="Arial Narrow" w:hAnsi="Arial Narrow"/>
          <w:sz w:val="16"/>
          <w:szCs w:val="18"/>
        </w:rPr>
        <w:tab/>
      </w:r>
      <w:r w:rsidRPr="00F26CAF">
        <w:rPr>
          <w:rFonts w:ascii="Arial Narrow" w:hAnsi="Arial Narrow"/>
          <w:sz w:val="16"/>
          <w:szCs w:val="18"/>
        </w:rPr>
        <w:t>Πηγή: ΟΔΔΗΧ - ΔΠΓΚ</w:t>
      </w:r>
    </w:p>
    <w:p w:rsidR="00631273" w:rsidRPr="0092286A" w:rsidRDefault="00631273" w:rsidP="00631273">
      <w:pPr>
        <w:tabs>
          <w:tab w:val="left" w:pos="993"/>
          <w:tab w:val="left" w:pos="1276"/>
        </w:tabs>
        <w:jc w:val="both"/>
        <w:rPr>
          <w:rFonts w:ascii="Arial Narrow" w:hAnsi="Arial Narrow"/>
          <w:sz w:val="6"/>
          <w:szCs w:val="18"/>
          <w:highlight w:val="yellow"/>
        </w:rPr>
      </w:pPr>
    </w:p>
    <w:p w:rsidR="00631273" w:rsidRPr="00E67F0E" w:rsidRDefault="00631273" w:rsidP="00631273">
      <w:pPr>
        <w:tabs>
          <w:tab w:val="left" w:pos="993"/>
          <w:tab w:val="left" w:pos="1276"/>
        </w:tabs>
        <w:ind w:left="1276" w:right="991" w:hanging="1276"/>
        <w:jc w:val="both"/>
        <w:rPr>
          <w:bCs/>
          <w:sz w:val="22"/>
          <w:szCs w:val="22"/>
        </w:rPr>
      </w:pPr>
      <w:r w:rsidRPr="007B3D50">
        <w:rPr>
          <w:rFonts w:ascii="Arial Narrow" w:hAnsi="Arial Narrow"/>
          <w:sz w:val="14"/>
          <w:szCs w:val="18"/>
        </w:rPr>
        <w:tab/>
      </w:r>
      <w:r w:rsidRPr="007B3D50">
        <w:rPr>
          <w:rFonts w:ascii="Arial Narrow" w:hAnsi="Arial Narrow"/>
          <w:sz w:val="16"/>
          <w:szCs w:val="18"/>
        </w:rPr>
        <w:t xml:space="preserve">* </w:t>
      </w:r>
      <w:r w:rsidRPr="007B3D50">
        <w:rPr>
          <w:rFonts w:ascii="Arial Narrow" w:hAnsi="Arial Narrow"/>
          <w:sz w:val="16"/>
          <w:szCs w:val="18"/>
        </w:rPr>
        <w:tab/>
        <w:t xml:space="preserve">Υπολογίζεται ότι θα γίνει επανέκδοση του μεγαλύτερου μέρους των λήξεων του βραχυπρόθεσμου χρέους (έντοκα γραμμάτια και repos). </w:t>
      </w:r>
    </w:p>
    <w:p w:rsidR="00112CDE" w:rsidRDefault="00112CDE" w:rsidP="0081244A">
      <w:pPr>
        <w:rPr>
          <w:sz w:val="22"/>
          <w:szCs w:val="22"/>
        </w:rPr>
      </w:pPr>
    </w:p>
    <w:p w:rsidR="000E1D0C" w:rsidRDefault="000E1D0C" w:rsidP="0081244A">
      <w:pPr>
        <w:rPr>
          <w:sz w:val="22"/>
          <w:szCs w:val="22"/>
        </w:rPr>
      </w:pPr>
    </w:p>
    <w:p w:rsidR="000E1D0C" w:rsidRDefault="000E1D0C" w:rsidP="0081244A">
      <w:pPr>
        <w:rPr>
          <w:sz w:val="22"/>
          <w:szCs w:val="22"/>
        </w:rPr>
      </w:pPr>
    </w:p>
    <w:p w:rsidR="000E1D0C" w:rsidRDefault="000E1D0C" w:rsidP="0081244A">
      <w:pPr>
        <w:rPr>
          <w:sz w:val="22"/>
          <w:szCs w:val="22"/>
        </w:rPr>
      </w:pPr>
    </w:p>
    <w:p w:rsidR="0081244A" w:rsidRPr="00221A99" w:rsidRDefault="0081244A" w:rsidP="0081244A">
      <w:pPr>
        <w:shd w:val="clear" w:color="auto" w:fill="BFBFBF" w:themeFill="background1" w:themeFillShade="BF"/>
        <w:spacing w:line="235" w:lineRule="auto"/>
        <w:rPr>
          <w:rFonts w:ascii="Arial Narrow" w:hAnsi="Arial Narrow"/>
          <w:b/>
          <w:szCs w:val="26"/>
        </w:rPr>
      </w:pPr>
      <w:r>
        <w:rPr>
          <w:rFonts w:ascii="Arial Narrow" w:hAnsi="Arial Narrow"/>
          <w:b/>
          <w:szCs w:val="26"/>
        </w:rPr>
        <w:t>4.4</w:t>
      </w:r>
      <w:r w:rsidRPr="00221A99">
        <w:rPr>
          <w:rFonts w:ascii="Arial Narrow" w:hAnsi="Arial Narrow"/>
          <w:b/>
          <w:szCs w:val="26"/>
        </w:rPr>
        <w:tab/>
      </w:r>
      <w:r>
        <w:rPr>
          <w:rFonts w:ascii="Arial Narrow" w:hAnsi="Arial Narrow"/>
          <w:b/>
          <w:szCs w:val="26"/>
        </w:rPr>
        <w:t>Μηνιαία κατανομή εσόδων-δαπα</w:t>
      </w:r>
      <w:r w:rsidR="00222D38">
        <w:rPr>
          <w:rFonts w:ascii="Arial Narrow" w:hAnsi="Arial Narrow"/>
          <w:b/>
          <w:szCs w:val="26"/>
        </w:rPr>
        <w:t>νών Κρατικού Προϋπολογισμού 2021</w:t>
      </w:r>
    </w:p>
    <w:p w:rsidR="0081244A" w:rsidRDefault="0081244A" w:rsidP="0081244A">
      <w:pPr>
        <w:rPr>
          <w:sz w:val="22"/>
          <w:szCs w:val="22"/>
        </w:rPr>
      </w:pPr>
    </w:p>
    <w:p w:rsidR="0081244A" w:rsidRDefault="0081244A" w:rsidP="0081244A">
      <w:pPr>
        <w:jc w:val="both"/>
        <w:rPr>
          <w:sz w:val="22"/>
          <w:szCs w:val="22"/>
        </w:rPr>
      </w:pPr>
      <w:r>
        <w:rPr>
          <w:sz w:val="22"/>
          <w:szCs w:val="22"/>
        </w:rPr>
        <w:t xml:space="preserve">Στον πίνακα </w:t>
      </w:r>
      <w:r w:rsidR="00D127FE">
        <w:rPr>
          <w:sz w:val="22"/>
          <w:szCs w:val="22"/>
        </w:rPr>
        <w:t>3.12</w:t>
      </w:r>
      <w:r>
        <w:rPr>
          <w:sz w:val="22"/>
          <w:szCs w:val="22"/>
        </w:rPr>
        <w:t xml:space="preserve"> παρατίθεται ενδεικτική μηνιαία κατανομή των εσόδων και των δαπανών του Κρατ</w:t>
      </w:r>
      <w:r>
        <w:rPr>
          <w:sz w:val="22"/>
          <w:szCs w:val="22"/>
        </w:rPr>
        <w:t>ι</w:t>
      </w:r>
      <w:r>
        <w:rPr>
          <w:sz w:val="22"/>
          <w:szCs w:val="22"/>
        </w:rPr>
        <w:t xml:space="preserve">κού Προϋπολογισμού για το έτος 2021 σε σωρευτική βάση. </w:t>
      </w:r>
    </w:p>
    <w:p w:rsidR="00112CDE" w:rsidRDefault="00112CDE" w:rsidP="0081244A">
      <w:pPr>
        <w:jc w:val="both"/>
        <w:rPr>
          <w:sz w:val="22"/>
          <w:szCs w:val="22"/>
        </w:rPr>
      </w:pPr>
    </w:p>
    <w:p w:rsidR="00112CDE" w:rsidRDefault="00112CDE" w:rsidP="0081244A">
      <w:pPr>
        <w:jc w:val="both"/>
        <w:rPr>
          <w:sz w:val="22"/>
          <w:szCs w:val="22"/>
        </w:rPr>
      </w:pPr>
    </w:p>
    <w:p w:rsidR="0081244A" w:rsidRPr="00B24211" w:rsidRDefault="0081244A" w:rsidP="0081244A">
      <w:pPr>
        <w:rPr>
          <w:sz w:val="12"/>
          <w:szCs w:val="22"/>
        </w:rPr>
      </w:pPr>
    </w:p>
    <w:tbl>
      <w:tblPr>
        <w:tblW w:w="10140" w:type="dxa"/>
        <w:jc w:val="center"/>
        <w:tblLayout w:type="fixed"/>
        <w:tblCellMar>
          <w:left w:w="28" w:type="dxa"/>
          <w:right w:w="28" w:type="dxa"/>
        </w:tblCellMar>
        <w:tblLook w:val="04A0"/>
      </w:tblPr>
      <w:tblGrid>
        <w:gridCol w:w="240"/>
        <w:gridCol w:w="3160"/>
        <w:gridCol w:w="520"/>
        <w:gridCol w:w="580"/>
        <w:gridCol w:w="600"/>
        <w:gridCol w:w="580"/>
        <w:gridCol w:w="560"/>
        <w:gridCol w:w="580"/>
        <w:gridCol w:w="580"/>
        <w:gridCol w:w="540"/>
        <w:gridCol w:w="560"/>
        <w:gridCol w:w="540"/>
        <w:gridCol w:w="560"/>
        <w:gridCol w:w="540"/>
      </w:tblGrid>
      <w:tr w:rsidR="0081244A" w:rsidTr="003C4CB4">
        <w:trPr>
          <w:trHeight w:val="255"/>
          <w:jc w:val="center"/>
        </w:trPr>
        <w:tc>
          <w:tcPr>
            <w:tcW w:w="10140" w:type="dxa"/>
            <w:gridSpan w:val="14"/>
            <w:tcBorders>
              <w:top w:val="single" w:sz="4" w:space="0" w:color="auto"/>
              <w:left w:val="single" w:sz="4" w:space="0" w:color="auto"/>
              <w:bottom w:val="nil"/>
              <w:right w:val="single" w:sz="4" w:space="0" w:color="auto"/>
            </w:tcBorders>
            <w:shd w:val="clear" w:color="auto" w:fill="404040" w:themeFill="text1" w:themeFillTint="BF"/>
            <w:vAlign w:val="center"/>
            <w:hideMark/>
          </w:tcPr>
          <w:p w:rsidR="0081244A" w:rsidRPr="004E7715" w:rsidRDefault="0081244A" w:rsidP="00493A74">
            <w:pPr>
              <w:spacing w:before="60"/>
              <w:jc w:val="center"/>
              <w:rPr>
                <w:rFonts w:ascii="Arial Narrow" w:hAnsi="Arial Narrow"/>
                <w:b/>
                <w:bCs/>
                <w:color w:val="FFFFFF" w:themeColor="background1"/>
              </w:rPr>
            </w:pPr>
            <w:r>
              <w:rPr>
                <w:sz w:val="22"/>
                <w:szCs w:val="22"/>
              </w:rPr>
              <w:br w:type="page"/>
            </w:r>
            <w:r w:rsidR="00D127FE">
              <w:rPr>
                <w:rFonts w:ascii="Arial Narrow" w:hAnsi="Arial Narrow"/>
                <w:b/>
                <w:bCs/>
                <w:color w:val="FFFFFF" w:themeColor="background1"/>
              </w:rPr>
              <w:t xml:space="preserve">Πίνακας 3.12 </w:t>
            </w:r>
            <w:r>
              <w:rPr>
                <w:rFonts w:ascii="Arial Narrow" w:hAnsi="Arial Narrow"/>
                <w:b/>
                <w:bCs/>
                <w:color w:val="FFFFFF" w:themeColor="background1"/>
              </w:rPr>
              <w:t xml:space="preserve"> Μηνιαία κατανομή εσόδων-δαπανών Κρατικού Προϋπολογισμού έτους 2021</w:t>
            </w:r>
          </w:p>
          <w:p w:rsidR="0081244A" w:rsidRDefault="0081244A" w:rsidP="003C4CB4">
            <w:pPr>
              <w:jc w:val="center"/>
              <w:rPr>
                <w:rFonts w:ascii="Arial Narrow" w:hAnsi="Arial Narrow"/>
                <w:b/>
                <w:bCs/>
                <w:color w:val="FFFFFF" w:themeColor="background1"/>
              </w:rPr>
            </w:pPr>
            <w:r>
              <w:rPr>
                <w:rFonts w:ascii="Arial Narrow" w:hAnsi="Arial Narrow"/>
                <w:b/>
                <w:bCs/>
                <w:color w:val="FFFFFF" w:themeColor="background1"/>
              </w:rPr>
              <w:t>σε σωρευτική ταμειακή βάση</w:t>
            </w:r>
          </w:p>
          <w:p w:rsidR="0081244A" w:rsidRDefault="0081244A" w:rsidP="00493A74">
            <w:pPr>
              <w:spacing w:after="60"/>
              <w:jc w:val="center"/>
              <w:rPr>
                <w:rFonts w:ascii="Arial Narrow" w:hAnsi="Arial Narrow"/>
                <w:b/>
                <w:bCs/>
                <w:color w:val="FFFFFF" w:themeColor="background1"/>
              </w:rPr>
            </w:pPr>
            <w:r>
              <w:rPr>
                <w:rFonts w:ascii="Arial Narrow" w:hAnsi="Arial Narrow"/>
                <w:b/>
                <w:bCs/>
                <w:color w:val="FFFFFF" w:themeColor="background1"/>
              </w:rPr>
              <w:t>(σε εκατ. ευρώ)</w:t>
            </w:r>
          </w:p>
        </w:tc>
      </w:tr>
      <w:tr w:rsidR="0081244A" w:rsidRPr="00493A74" w:rsidTr="003C4CB4">
        <w:trPr>
          <w:trHeight w:val="170"/>
          <w:jc w:val="center"/>
        </w:trPr>
        <w:tc>
          <w:tcPr>
            <w:tcW w:w="240" w:type="dxa"/>
            <w:tcBorders>
              <w:top w:val="single" w:sz="4" w:space="0" w:color="auto"/>
              <w:left w:val="single" w:sz="4" w:space="0" w:color="auto"/>
              <w:bottom w:val="nil"/>
              <w:right w:val="nil"/>
            </w:tcBorders>
            <w:vAlign w:val="center"/>
            <w:hideMark/>
          </w:tcPr>
          <w:p w:rsidR="0081244A" w:rsidRPr="00493A74" w:rsidRDefault="0081244A" w:rsidP="003C4CB4">
            <w:pPr>
              <w:jc w:val="right"/>
              <w:rPr>
                <w:rFonts w:ascii="Arial Narrow" w:hAnsi="Arial Narrow"/>
                <w:color w:val="000000"/>
                <w:sz w:val="12"/>
                <w:szCs w:val="16"/>
              </w:rPr>
            </w:pPr>
            <w:r w:rsidRPr="00493A74">
              <w:rPr>
                <w:rFonts w:ascii="Arial Narrow" w:hAnsi="Arial Narrow"/>
                <w:color w:val="000000"/>
                <w:sz w:val="12"/>
                <w:szCs w:val="16"/>
              </w:rPr>
              <w:t> </w:t>
            </w:r>
          </w:p>
        </w:tc>
        <w:tc>
          <w:tcPr>
            <w:tcW w:w="3160" w:type="dxa"/>
            <w:tcBorders>
              <w:top w:val="single" w:sz="4" w:space="0" w:color="auto"/>
              <w:left w:val="nil"/>
              <w:bottom w:val="nil"/>
              <w:right w:val="nil"/>
            </w:tcBorders>
            <w:vAlign w:val="center"/>
            <w:hideMark/>
          </w:tcPr>
          <w:p w:rsidR="0081244A" w:rsidRPr="00493A74" w:rsidRDefault="0081244A" w:rsidP="003C4CB4">
            <w:pPr>
              <w:jc w:val="center"/>
              <w:rPr>
                <w:rFonts w:ascii="Arial Narrow" w:hAnsi="Arial Narrow"/>
                <w:b/>
                <w:bCs/>
                <w:color w:val="000000"/>
                <w:sz w:val="12"/>
                <w:szCs w:val="16"/>
              </w:rPr>
            </w:pPr>
            <w:r w:rsidRPr="00493A74">
              <w:rPr>
                <w:rFonts w:ascii="Arial Narrow" w:hAnsi="Arial Narrow"/>
                <w:b/>
                <w:bCs/>
                <w:color w:val="000000"/>
                <w:sz w:val="12"/>
                <w:szCs w:val="16"/>
              </w:rPr>
              <w:t> </w:t>
            </w:r>
          </w:p>
        </w:tc>
        <w:tc>
          <w:tcPr>
            <w:tcW w:w="520" w:type="dxa"/>
            <w:tcBorders>
              <w:top w:val="single" w:sz="4" w:space="0" w:color="auto"/>
              <w:left w:val="nil"/>
              <w:bottom w:val="nil"/>
              <w:right w:val="nil"/>
            </w:tcBorders>
            <w:vAlign w:val="center"/>
            <w:hideMark/>
          </w:tcPr>
          <w:p w:rsidR="0081244A" w:rsidRPr="00493A74" w:rsidRDefault="0081244A" w:rsidP="003C4CB4">
            <w:pPr>
              <w:jc w:val="center"/>
              <w:rPr>
                <w:rFonts w:ascii="Arial Narrow" w:hAnsi="Arial Narrow"/>
                <w:b/>
                <w:bCs/>
                <w:color w:val="000000"/>
                <w:sz w:val="12"/>
                <w:szCs w:val="16"/>
              </w:rPr>
            </w:pPr>
            <w:r w:rsidRPr="00493A74">
              <w:rPr>
                <w:rFonts w:ascii="Arial Narrow" w:hAnsi="Arial Narrow"/>
                <w:b/>
                <w:bCs/>
                <w:color w:val="000000"/>
                <w:sz w:val="12"/>
                <w:szCs w:val="16"/>
              </w:rPr>
              <w:t> </w:t>
            </w:r>
          </w:p>
        </w:tc>
        <w:tc>
          <w:tcPr>
            <w:tcW w:w="580" w:type="dxa"/>
            <w:tcBorders>
              <w:top w:val="single" w:sz="4" w:space="0" w:color="auto"/>
              <w:left w:val="nil"/>
              <w:bottom w:val="nil"/>
              <w:right w:val="nil"/>
            </w:tcBorders>
            <w:vAlign w:val="center"/>
            <w:hideMark/>
          </w:tcPr>
          <w:p w:rsidR="0081244A" w:rsidRPr="00493A74" w:rsidRDefault="0081244A" w:rsidP="003C4CB4">
            <w:pPr>
              <w:jc w:val="center"/>
              <w:rPr>
                <w:rFonts w:ascii="Arial Narrow" w:hAnsi="Arial Narrow"/>
                <w:b/>
                <w:bCs/>
                <w:color w:val="000000"/>
                <w:sz w:val="12"/>
                <w:szCs w:val="16"/>
              </w:rPr>
            </w:pPr>
            <w:r w:rsidRPr="00493A74">
              <w:rPr>
                <w:rFonts w:ascii="Arial Narrow" w:hAnsi="Arial Narrow"/>
                <w:b/>
                <w:bCs/>
                <w:color w:val="000000"/>
                <w:sz w:val="12"/>
                <w:szCs w:val="16"/>
              </w:rPr>
              <w:t> </w:t>
            </w:r>
          </w:p>
        </w:tc>
        <w:tc>
          <w:tcPr>
            <w:tcW w:w="600" w:type="dxa"/>
            <w:tcBorders>
              <w:top w:val="single" w:sz="4" w:space="0" w:color="auto"/>
              <w:left w:val="nil"/>
              <w:bottom w:val="nil"/>
              <w:right w:val="nil"/>
            </w:tcBorders>
            <w:vAlign w:val="center"/>
            <w:hideMark/>
          </w:tcPr>
          <w:p w:rsidR="0081244A" w:rsidRPr="00493A74" w:rsidRDefault="0081244A" w:rsidP="003C4CB4">
            <w:pPr>
              <w:jc w:val="center"/>
              <w:rPr>
                <w:rFonts w:ascii="Arial Narrow" w:hAnsi="Arial Narrow"/>
                <w:b/>
                <w:bCs/>
                <w:color w:val="000000"/>
                <w:sz w:val="12"/>
                <w:szCs w:val="16"/>
              </w:rPr>
            </w:pPr>
            <w:r w:rsidRPr="00493A74">
              <w:rPr>
                <w:rFonts w:ascii="Arial Narrow" w:hAnsi="Arial Narrow"/>
                <w:b/>
                <w:bCs/>
                <w:color w:val="000000"/>
                <w:sz w:val="12"/>
                <w:szCs w:val="16"/>
              </w:rPr>
              <w:t> </w:t>
            </w:r>
          </w:p>
        </w:tc>
        <w:tc>
          <w:tcPr>
            <w:tcW w:w="580" w:type="dxa"/>
            <w:tcBorders>
              <w:top w:val="single" w:sz="4" w:space="0" w:color="auto"/>
              <w:left w:val="nil"/>
              <w:bottom w:val="nil"/>
              <w:right w:val="nil"/>
            </w:tcBorders>
            <w:vAlign w:val="center"/>
            <w:hideMark/>
          </w:tcPr>
          <w:p w:rsidR="0081244A" w:rsidRPr="00493A74" w:rsidRDefault="0081244A" w:rsidP="003C4CB4">
            <w:pPr>
              <w:jc w:val="center"/>
              <w:rPr>
                <w:rFonts w:ascii="Arial Narrow" w:hAnsi="Arial Narrow"/>
                <w:b/>
                <w:bCs/>
                <w:color w:val="000000"/>
                <w:sz w:val="12"/>
                <w:szCs w:val="16"/>
              </w:rPr>
            </w:pPr>
            <w:r w:rsidRPr="00493A74">
              <w:rPr>
                <w:rFonts w:ascii="Arial Narrow" w:hAnsi="Arial Narrow"/>
                <w:b/>
                <w:bCs/>
                <w:color w:val="000000"/>
                <w:sz w:val="12"/>
                <w:szCs w:val="16"/>
              </w:rPr>
              <w:t> </w:t>
            </w:r>
          </w:p>
        </w:tc>
        <w:tc>
          <w:tcPr>
            <w:tcW w:w="560" w:type="dxa"/>
            <w:tcBorders>
              <w:top w:val="single" w:sz="4" w:space="0" w:color="auto"/>
              <w:left w:val="nil"/>
              <w:bottom w:val="nil"/>
              <w:right w:val="nil"/>
            </w:tcBorders>
            <w:vAlign w:val="center"/>
            <w:hideMark/>
          </w:tcPr>
          <w:p w:rsidR="0081244A" w:rsidRPr="00493A74" w:rsidRDefault="0081244A" w:rsidP="003C4CB4">
            <w:pPr>
              <w:jc w:val="center"/>
              <w:rPr>
                <w:rFonts w:ascii="Arial Narrow" w:hAnsi="Arial Narrow"/>
                <w:b/>
                <w:bCs/>
                <w:color w:val="000000"/>
                <w:sz w:val="12"/>
                <w:szCs w:val="16"/>
              </w:rPr>
            </w:pPr>
            <w:r w:rsidRPr="00493A74">
              <w:rPr>
                <w:rFonts w:ascii="Arial Narrow" w:hAnsi="Arial Narrow"/>
                <w:b/>
                <w:bCs/>
                <w:color w:val="000000"/>
                <w:sz w:val="12"/>
                <w:szCs w:val="16"/>
              </w:rPr>
              <w:t> </w:t>
            </w:r>
          </w:p>
        </w:tc>
        <w:tc>
          <w:tcPr>
            <w:tcW w:w="580" w:type="dxa"/>
            <w:tcBorders>
              <w:top w:val="single" w:sz="4" w:space="0" w:color="auto"/>
              <w:left w:val="nil"/>
              <w:bottom w:val="nil"/>
              <w:right w:val="nil"/>
            </w:tcBorders>
            <w:vAlign w:val="center"/>
            <w:hideMark/>
          </w:tcPr>
          <w:p w:rsidR="0081244A" w:rsidRPr="00493A74" w:rsidRDefault="0081244A" w:rsidP="003C4CB4">
            <w:pPr>
              <w:jc w:val="center"/>
              <w:rPr>
                <w:rFonts w:ascii="Arial Narrow" w:hAnsi="Arial Narrow"/>
                <w:b/>
                <w:bCs/>
                <w:color w:val="000000"/>
                <w:sz w:val="12"/>
                <w:szCs w:val="16"/>
              </w:rPr>
            </w:pPr>
            <w:r w:rsidRPr="00493A74">
              <w:rPr>
                <w:rFonts w:ascii="Arial Narrow" w:hAnsi="Arial Narrow"/>
                <w:b/>
                <w:bCs/>
                <w:color w:val="000000"/>
                <w:sz w:val="12"/>
                <w:szCs w:val="16"/>
              </w:rPr>
              <w:t> </w:t>
            </w:r>
          </w:p>
        </w:tc>
        <w:tc>
          <w:tcPr>
            <w:tcW w:w="580" w:type="dxa"/>
            <w:tcBorders>
              <w:top w:val="single" w:sz="4" w:space="0" w:color="auto"/>
              <w:left w:val="nil"/>
              <w:bottom w:val="nil"/>
              <w:right w:val="nil"/>
            </w:tcBorders>
            <w:vAlign w:val="center"/>
            <w:hideMark/>
          </w:tcPr>
          <w:p w:rsidR="0081244A" w:rsidRPr="00493A74" w:rsidRDefault="0081244A" w:rsidP="003C4CB4">
            <w:pPr>
              <w:jc w:val="center"/>
              <w:rPr>
                <w:rFonts w:ascii="Arial Narrow" w:hAnsi="Arial Narrow"/>
                <w:b/>
                <w:bCs/>
                <w:color w:val="000000"/>
                <w:sz w:val="12"/>
                <w:szCs w:val="16"/>
              </w:rPr>
            </w:pPr>
            <w:r w:rsidRPr="00493A74">
              <w:rPr>
                <w:rFonts w:ascii="Arial Narrow" w:hAnsi="Arial Narrow"/>
                <w:b/>
                <w:bCs/>
                <w:color w:val="000000"/>
                <w:sz w:val="12"/>
                <w:szCs w:val="16"/>
              </w:rPr>
              <w:t> </w:t>
            </w:r>
          </w:p>
        </w:tc>
        <w:tc>
          <w:tcPr>
            <w:tcW w:w="540" w:type="dxa"/>
            <w:tcBorders>
              <w:top w:val="single" w:sz="4" w:space="0" w:color="auto"/>
              <w:left w:val="nil"/>
              <w:bottom w:val="nil"/>
              <w:right w:val="nil"/>
            </w:tcBorders>
            <w:vAlign w:val="center"/>
            <w:hideMark/>
          </w:tcPr>
          <w:p w:rsidR="0081244A" w:rsidRPr="00493A74" w:rsidRDefault="0081244A" w:rsidP="003C4CB4">
            <w:pPr>
              <w:jc w:val="center"/>
              <w:rPr>
                <w:rFonts w:ascii="Arial Narrow" w:hAnsi="Arial Narrow"/>
                <w:b/>
                <w:bCs/>
                <w:color w:val="000000"/>
                <w:sz w:val="12"/>
                <w:szCs w:val="16"/>
              </w:rPr>
            </w:pPr>
            <w:r w:rsidRPr="00493A74">
              <w:rPr>
                <w:rFonts w:ascii="Arial Narrow" w:hAnsi="Arial Narrow"/>
                <w:b/>
                <w:bCs/>
                <w:color w:val="000000"/>
                <w:sz w:val="12"/>
                <w:szCs w:val="16"/>
              </w:rPr>
              <w:t> </w:t>
            </w:r>
          </w:p>
        </w:tc>
        <w:tc>
          <w:tcPr>
            <w:tcW w:w="560" w:type="dxa"/>
            <w:tcBorders>
              <w:top w:val="single" w:sz="4" w:space="0" w:color="auto"/>
              <w:left w:val="nil"/>
              <w:bottom w:val="nil"/>
              <w:right w:val="nil"/>
            </w:tcBorders>
            <w:vAlign w:val="center"/>
            <w:hideMark/>
          </w:tcPr>
          <w:p w:rsidR="0081244A" w:rsidRPr="00493A74" w:rsidRDefault="0081244A" w:rsidP="003C4CB4">
            <w:pPr>
              <w:jc w:val="center"/>
              <w:rPr>
                <w:rFonts w:ascii="Arial Narrow" w:hAnsi="Arial Narrow"/>
                <w:b/>
                <w:bCs/>
                <w:color w:val="000000"/>
                <w:sz w:val="12"/>
                <w:szCs w:val="16"/>
              </w:rPr>
            </w:pPr>
            <w:r w:rsidRPr="00493A74">
              <w:rPr>
                <w:rFonts w:ascii="Arial Narrow" w:hAnsi="Arial Narrow"/>
                <w:b/>
                <w:bCs/>
                <w:color w:val="000000"/>
                <w:sz w:val="12"/>
                <w:szCs w:val="16"/>
              </w:rPr>
              <w:t> </w:t>
            </w:r>
          </w:p>
        </w:tc>
        <w:tc>
          <w:tcPr>
            <w:tcW w:w="540" w:type="dxa"/>
            <w:tcBorders>
              <w:top w:val="single" w:sz="4" w:space="0" w:color="auto"/>
              <w:left w:val="nil"/>
              <w:bottom w:val="nil"/>
              <w:right w:val="nil"/>
            </w:tcBorders>
            <w:vAlign w:val="center"/>
            <w:hideMark/>
          </w:tcPr>
          <w:p w:rsidR="0081244A" w:rsidRPr="00493A74" w:rsidRDefault="0081244A" w:rsidP="003C4CB4">
            <w:pPr>
              <w:jc w:val="center"/>
              <w:rPr>
                <w:rFonts w:ascii="Arial Narrow" w:hAnsi="Arial Narrow"/>
                <w:b/>
                <w:bCs/>
                <w:color w:val="000000"/>
                <w:sz w:val="12"/>
                <w:szCs w:val="16"/>
              </w:rPr>
            </w:pPr>
            <w:r w:rsidRPr="00493A74">
              <w:rPr>
                <w:rFonts w:ascii="Arial Narrow" w:hAnsi="Arial Narrow"/>
                <w:b/>
                <w:bCs/>
                <w:color w:val="000000"/>
                <w:sz w:val="12"/>
                <w:szCs w:val="16"/>
              </w:rPr>
              <w:t> </w:t>
            </w:r>
          </w:p>
        </w:tc>
        <w:tc>
          <w:tcPr>
            <w:tcW w:w="560" w:type="dxa"/>
            <w:tcBorders>
              <w:top w:val="single" w:sz="4" w:space="0" w:color="auto"/>
              <w:left w:val="nil"/>
              <w:bottom w:val="nil"/>
              <w:right w:val="nil"/>
            </w:tcBorders>
            <w:vAlign w:val="center"/>
            <w:hideMark/>
          </w:tcPr>
          <w:p w:rsidR="0081244A" w:rsidRPr="00493A74" w:rsidRDefault="0081244A" w:rsidP="003C4CB4">
            <w:pPr>
              <w:jc w:val="center"/>
              <w:rPr>
                <w:rFonts w:ascii="Arial Narrow" w:hAnsi="Arial Narrow"/>
                <w:b/>
                <w:bCs/>
                <w:color w:val="000000"/>
                <w:sz w:val="12"/>
                <w:szCs w:val="16"/>
              </w:rPr>
            </w:pPr>
            <w:r w:rsidRPr="00493A74">
              <w:rPr>
                <w:rFonts w:ascii="Arial Narrow" w:hAnsi="Arial Narrow"/>
                <w:b/>
                <w:bCs/>
                <w:color w:val="000000"/>
                <w:sz w:val="12"/>
                <w:szCs w:val="16"/>
              </w:rPr>
              <w:t> </w:t>
            </w:r>
          </w:p>
        </w:tc>
        <w:tc>
          <w:tcPr>
            <w:tcW w:w="540" w:type="dxa"/>
            <w:tcBorders>
              <w:top w:val="single" w:sz="4" w:space="0" w:color="auto"/>
              <w:left w:val="nil"/>
              <w:bottom w:val="nil"/>
              <w:right w:val="single" w:sz="4" w:space="0" w:color="auto"/>
            </w:tcBorders>
            <w:vAlign w:val="center"/>
            <w:hideMark/>
          </w:tcPr>
          <w:p w:rsidR="0081244A" w:rsidRPr="00493A74" w:rsidRDefault="0081244A" w:rsidP="003C4CB4">
            <w:pPr>
              <w:jc w:val="center"/>
              <w:rPr>
                <w:rFonts w:ascii="Arial Narrow" w:hAnsi="Arial Narrow"/>
                <w:b/>
                <w:bCs/>
                <w:color w:val="000000"/>
                <w:sz w:val="12"/>
                <w:szCs w:val="16"/>
              </w:rPr>
            </w:pPr>
            <w:r w:rsidRPr="00493A74">
              <w:rPr>
                <w:rFonts w:ascii="Arial Narrow" w:hAnsi="Arial Narrow"/>
                <w:b/>
                <w:bCs/>
                <w:color w:val="000000"/>
                <w:sz w:val="12"/>
                <w:szCs w:val="16"/>
              </w:rPr>
              <w:t> </w:t>
            </w:r>
          </w:p>
        </w:tc>
      </w:tr>
      <w:tr w:rsidR="0081244A" w:rsidTr="003C4CB4">
        <w:trPr>
          <w:trHeight w:val="255"/>
          <w:jc w:val="center"/>
        </w:trPr>
        <w:tc>
          <w:tcPr>
            <w:tcW w:w="240" w:type="dxa"/>
            <w:tcBorders>
              <w:top w:val="single" w:sz="4" w:space="0" w:color="auto"/>
              <w:left w:val="single" w:sz="4" w:space="0" w:color="auto"/>
              <w:bottom w:val="single" w:sz="4" w:space="0" w:color="auto"/>
              <w:right w:val="nil"/>
            </w:tcBorders>
            <w:vAlign w:val="center"/>
            <w:hideMark/>
          </w:tcPr>
          <w:p w:rsidR="0081244A" w:rsidRDefault="0081244A" w:rsidP="003C4CB4">
            <w:pPr>
              <w:spacing w:before="120" w:after="120"/>
              <w:jc w:val="right"/>
              <w:rPr>
                <w:rFonts w:ascii="Arial Narrow" w:hAnsi="Arial Narrow"/>
                <w:color w:val="000000"/>
                <w:sz w:val="14"/>
                <w:szCs w:val="14"/>
              </w:rPr>
            </w:pPr>
            <w:r>
              <w:rPr>
                <w:rFonts w:ascii="Arial Narrow" w:hAnsi="Arial Narrow"/>
                <w:color w:val="000000"/>
                <w:sz w:val="14"/>
                <w:szCs w:val="14"/>
              </w:rPr>
              <w:t> </w:t>
            </w:r>
          </w:p>
        </w:tc>
        <w:tc>
          <w:tcPr>
            <w:tcW w:w="3160" w:type="dxa"/>
            <w:tcBorders>
              <w:top w:val="single" w:sz="4" w:space="0" w:color="auto"/>
              <w:left w:val="nil"/>
              <w:bottom w:val="single" w:sz="4" w:space="0" w:color="auto"/>
              <w:right w:val="single" w:sz="4" w:space="0" w:color="auto"/>
            </w:tcBorders>
            <w:vAlign w:val="center"/>
            <w:hideMark/>
          </w:tcPr>
          <w:p w:rsidR="0081244A" w:rsidRDefault="0081244A" w:rsidP="003C4CB4">
            <w:pPr>
              <w:spacing w:before="120" w:after="120"/>
              <w:jc w:val="center"/>
              <w:rPr>
                <w:rFonts w:ascii="Arial Narrow" w:hAnsi="Arial Narrow"/>
                <w:color w:val="000000"/>
                <w:sz w:val="14"/>
                <w:szCs w:val="14"/>
              </w:rPr>
            </w:pPr>
            <w:r>
              <w:rPr>
                <w:rFonts w:ascii="Arial Narrow" w:hAnsi="Arial Narrow"/>
                <w:color w:val="000000"/>
                <w:sz w:val="14"/>
                <w:szCs w:val="14"/>
              </w:rPr>
              <w:t> </w:t>
            </w:r>
          </w:p>
        </w:tc>
        <w:tc>
          <w:tcPr>
            <w:tcW w:w="520" w:type="dxa"/>
            <w:tcBorders>
              <w:top w:val="single" w:sz="4" w:space="0" w:color="auto"/>
              <w:left w:val="nil"/>
              <w:bottom w:val="single" w:sz="4" w:space="0" w:color="auto"/>
              <w:right w:val="single" w:sz="4" w:space="0" w:color="auto"/>
            </w:tcBorders>
            <w:vAlign w:val="center"/>
            <w:hideMark/>
          </w:tcPr>
          <w:p w:rsidR="0081244A" w:rsidRDefault="0081244A" w:rsidP="003C4CB4">
            <w:pPr>
              <w:spacing w:before="120" w:after="120"/>
              <w:jc w:val="center"/>
              <w:rPr>
                <w:rFonts w:ascii="Arial Narrow" w:hAnsi="Arial Narrow"/>
                <w:b/>
                <w:bCs/>
                <w:color w:val="000000"/>
                <w:sz w:val="14"/>
                <w:szCs w:val="14"/>
              </w:rPr>
            </w:pPr>
            <w:r>
              <w:rPr>
                <w:rFonts w:ascii="Arial Narrow" w:hAnsi="Arial Narrow"/>
                <w:b/>
                <w:bCs/>
                <w:color w:val="000000"/>
                <w:sz w:val="14"/>
                <w:szCs w:val="14"/>
              </w:rPr>
              <w:t>Ιαν.</w:t>
            </w:r>
          </w:p>
        </w:tc>
        <w:tc>
          <w:tcPr>
            <w:tcW w:w="580" w:type="dxa"/>
            <w:tcBorders>
              <w:top w:val="single" w:sz="4" w:space="0" w:color="auto"/>
              <w:left w:val="nil"/>
              <w:bottom w:val="single" w:sz="4" w:space="0" w:color="auto"/>
              <w:right w:val="single" w:sz="4" w:space="0" w:color="auto"/>
            </w:tcBorders>
            <w:vAlign w:val="center"/>
            <w:hideMark/>
          </w:tcPr>
          <w:p w:rsidR="0081244A" w:rsidRDefault="0081244A" w:rsidP="003C4CB4">
            <w:pPr>
              <w:spacing w:before="120" w:after="120"/>
              <w:jc w:val="center"/>
              <w:rPr>
                <w:rFonts w:ascii="Arial Narrow" w:hAnsi="Arial Narrow"/>
                <w:b/>
                <w:bCs/>
                <w:color w:val="000000"/>
                <w:sz w:val="14"/>
                <w:szCs w:val="14"/>
              </w:rPr>
            </w:pPr>
            <w:r>
              <w:rPr>
                <w:rFonts w:ascii="Arial Narrow" w:hAnsi="Arial Narrow"/>
                <w:b/>
                <w:bCs/>
                <w:color w:val="000000"/>
                <w:sz w:val="14"/>
                <w:szCs w:val="14"/>
              </w:rPr>
              <w:t>Φεβρ.</w:t>
            </w:r>
          </w:p>
        </w:tc>
        <w:tc>
          <w:tcPr>
            <w:tcW w:w="600" w:type="dxa"/>
            <w:tcBorders>
              <w:top w:val="single" w:sz="4" w:space="0" w:color="auto"/>
              <w:left w:val="nil"/>
              <w:bottom w:val="single" w:sz="4" w:space="0" w:color="auto"/>
              <w:right w:val="single" w:sz="4" w:space="0" w:color="auto"/>
            </w:tcBorders>
            <w:vAlign w:val="center"/>
            <w:hideMark/>
          </w:tcPr>
          <w:p w:rsidR="0081244A" w:rsidRDefault="0081244A" w:rsidP="003C4CB4">
            <w:pPr>
              <w:spacing w:before="120" w:after="120"/>
              <w:jc w:val="center"/>
              <w:rPr>
                <w:rFonts w:ascii="Arial Narrow" w:hAnsi="Arial Narrow"/>
                <w:b/>
                <w:bCs/>
                <w:color w:val="000000"/>
                <w:sz w:val="14"/>
                <w:szCs w:val="14"/>
              </w:rPr>
            </w:pPr>
            <w:r>
              <w:rPr>
                <w:rFonts w:ascii="Arial Narrow" w:hAnsi="Arial Narrow"/>
                <w:b/>
                <w:bCs/>
                <w:color w:val="000000"/>
                <w:sz w:val="14"/>
                <w:szCs w:val="14"/>
              </w:rPr>
              <w:t>Μαρ.</w:t>
            </w:r>
          </w:p>
        </w:tc>
        <w:tc>
          <w:tcPr>
            <w:tcW w:w="580" w:type="dxa"/>
            <w:tcBorders>
              <w:top w:val="single" w:sz="4" w:space="0" w:color="auto"/>
              <w:left w:val="nil"/>
              <w:bottom w:val="single" w:sz="4" w:space="0" w:color="auto"/>
              <w:right w:val="single" w:sz="4" w:space="0" w:color="auto"/>
            </w:tcBorders>
            <w:vAlign w:val="center"/>
            <w:hideMark/>
          </w:tcPr>
          <w:p w:rsidR="0081244A" w:rsidRDefault="0081244A" w:rsidP="003C4CB4">
            <w:pPr>
              <w:spacing w:before="120" w:after="120"/>
              <w:jc w:val="center"/>
              <w:rPr>
                <w:rFonts w:ascii="Arial Narrow" w:hAnsi="Arial Narrow"/>
                <w:b/>
                <w:bCs/>
                <w:color w:val="000000"/>
                <w:sz w:val="14"/>
                <w:szCs w:val="14"/>
              </w:rPr>
            </w:pPr>
            <w:r>
              <w:rPr>
                <w:rFonts w:ascii="Arial Narrow" w:hAnsi="Arial Narrow"/>
                <w:b/>
                <w:bCs/>
                <w:color w:val="000000"/>
                <w:sz w:val="14"/>
                <w:szCs w:val="14"/>
              </w:rPr>
              <w:t>Απρ.</w:t>
            </w:r>
          </w:p>
        </w:tc>
        <w:tc>
          <w:tcPr>
            <w:tcW w:w="560" w:type="dxa"/>
            <w:tcBorders>
              <w:top w:val="single" w:sz="4" w:space="0" w:color="auto"/>
              <w:left w:val="nil"/>
              <w:bottom w:val="single" w:sz="4" w:space="0" w:color="auto"/>
              <w:right w:val="single" w:sz="4" w:space="0" w:color="auto"/>
            </w:tcBorders>
            <w:vAlign w:val="center"/>
            <w:hideMark/>
          </w:tcPr>
          <w:p w:rsidR="0081244A" w:rsidRDefault="0081244A" w:rsidP="003C4CB4">
            <w:pPr>
              <w:spacing w:before="120" w:after="120"/>
              <w:jc w:val="center"/>
              <w:rPr>
                <w:rFonts w:ascii="Arial Narrow" w:hAnsi="Arial Narrow"/>
                <w:b/>
                <w:bCs/>
                <w:color w:val="000000"/>
                <w:sz w:val="14"/>
                <w:szCs w:val="14"/>
              </w:rPr>
            </w:pPr>
            <w:r>
              <w:rPr>
                <w:rFonts w:ascii="Arial Narrow" w:hAnsi="Arial Narrow"/>
                <w:b/>
                <w:bCs/>
                <w:color w:val="000000"/>
                <w:sz w:val="14"/>
                <w:szCs w:val="14"/>
              </w:rPr>
              <w:t>Μάιος</w:t>
            </w:r>
          </w:p>
        </w:tc>
        <w:tc>
          <w:tcPr>
            <w:tcW w:w="580" w:type="dxa"/>
            <w:tcBorders>
              <w:top w:val="single" w:sz="4" w:space="0" w:color="auto"/>
              <w:left w:val="nil"/>
              <w:bottom w:val="single" w:sz="4" w:space="0" w:color="auto"/>
              <w:right w:val="single" w:sz="4" w:space="0" w:color="auto"/>
            </w:tcBorders>
            <w:vAlign w:val="center"/>
            <w:hideMark/>
          </w:tcPr>
          <w:p w:rsidR="0081244A" w:rsidRDefault="0081244A" w:rsidP="003C4CB4">
            <w:pPr>
              <w:spacing w:before="120" w:after="120"/>
              <w:jc w:val="center"/>
              <w:rPr>
                <w:rFonts w:ascii="Arial Narrow" w:hAnsi="Arial Narrow"/>
                <w:b/>
                <w:bCs/>
                <w:color w:val="000000"/>
                <w:sz w:val="14"/>
                <w:szCs w:val="14"/>
              </w:rPr>
            </w:pPr>
            <w:r>
              <w:rPr>
                <w:rFonts w:ascii="Arial Narrow" w:hAnsi="Arial Narrow"/>
                <w:b/>
                <w:bCs/>
                <w:color w:val="000000"/>
                <w:sz w:val="14"/>
                <w:szCs w:val="14"/>
              </w:rPr>
              <w:t>Ιουν.</w:t>
            </w:r>
          </w:p>
        </w:tc>
        <w:tc>
          <w:tcPr>
            <w:tcW w:w="580" w:type="dxa"/>
            <w:tcBorders>
              <w:top w:val="single" w:sz="4" w:space="0" w:color="auto"/>
              <w:left w:val="nil"/>
              <w:bottom w:val="single" w:sz="4" w:space="0" w:color="auto"/>
              <w:right w:val="single" w:sz="4" w:space="0" w:color="auto"/>
            </w:tcBorders>
            <w:vAlign w:val="center"/>
            <w:hideMark/>
          </w:tcPr>
          <w:p w:rsidR="0081244A" w:rsidRDefault="0081244A" w:rsidP="003C4CB4">
            <w:pPr>
              <w:spacing w:before="120" w:after="120"/>
              <w:jc w:val="center"/>
              <w:rPr>
                <w:rFonts w:ascii="Arial Narrow" w:hAnsi="Arial Narrow"/>
                <w:b/>
                <w:bCs/>
                <w:color w:val="000000"/>
                <w:sz w:val="14"/>
                <w:szCs w:val="14"/>
              </w:rPr>
            </w:pPr>
            <w:r>
              <w:rPr>
                <w:rFonts w:ascii="Arial Narrow" w:hAnsi="Arial Narrow"/>
                <w:b/>
                <w:bCs/>
                <w:color w:val="000000"/>
                <w:sz w:val="14"/>
                <w:szCs w:val="14"/>
              </w:rPr>
              <w:t>Ιουλ.</w:t>
            </w:r>
          </w:p>
        </w:tc>
        <w:tc>
          <w:tcPr>
            <w:tcW w:w="540" w:type="dxa"/>
            <w:tcBorders>
              <w:top w:val="single" w:sz="4" w:space="0" w:color="auto"/>
              <w:left w:val="nil"/>
              <w:bottom w:val="single" w:sz="4" w:space="0" w:color="auto"/>
              <w:right w:val="single" w:sz="4" w:space="0" w:color="auto"/>
            </w:tcBorders>
            <w:vAlign w:val="center"/>
            <w:hideMark/>
          </w:tcPr>
          <w:p w:rsidR="0081244A" w:rsidRDefault="0081244A" w:rsidP="003C4CB4">
            <w:pPr>
              <w:spacing w:before="120" w:after="120"/>
              <w:jc w:val="center"/>
              <w:rPr>
                <w:rFonts w:ascii="Arial Narrow" w:hAnsi="Arial Narrow"/>
                <w:b/>
                <w:bCs/>
                <w:color w:val="000000"/>
                <w:sz w:val="14"/>
                <w:szCs w:val="14"/>
              </w:rPr>
            </w:pPr>
            <w:r>
              <w:rPr>
                <w:rFonts w:ascii="Arial Narrow" w:hAnsi="Arial Narrow"/>
                <w:b/>
                <w:bCs/>
                <w:color w:val="000000"/>
                <w:sz w:val="14"/>
                <w:szCs w:val="14"/>
              </w:rPr>
              <w:t>Αυγ.</w:t>
            </w:r>
          </w:p>
        </w:tc>
        <w:tc>
          <w:tcPr>
            <w:tcW w:w="560" w:type="dxa"/>
            <w:tcBorders>
              <w:top w:val="single" w:sz="4" w:space="0" w:color="auto"/>
              <w:left w:val="nil"/>
              <w:bottom w:val="single" w:sz="4" w:space="0" w:color="auto"/>
              <w:right w:val="single" w:sz="4" w:space="0" w:color="auto"/>
            </w:tcBorders>
            <w:vAlign w:val="center"/>
            <w:hideMark/>
          </w:tcPr>
          <w:p w:rsidR="0081244A" w:rsidRDefault="0081244A" w:rsidP="003C4CB4">
            <w:pPr>
              <w:spacing w:before="120" w:after="120"/>
              <w:jc w:val="center"/>
              <w:rPr>
                <w:rFonts w:ascii="Arial Narrow" w:hAnsi="Arial Narrow"/>
                <w:b/>
                <w:bCs/>
                <w:color w:val="000000"/>
                <w:sz w:val="14"/>
                <w:szCs w:val="14"/>
              </w:rPr>
            </w:pPr>
            <w:r>
              <w:rPr>
                <w:rFonts w:ascii="Arial Narrow" w:hAnsi="Arial Narrow"/>
                <w:b/>
                <w:bCs/>
                <w:color w:val="000000"/>
                <w:sz w:val="14"/>
                <w:szCs w:val="14"/>
              </w:rPr>
              <w:t>Σεπ.</w:t>
            </w:r>
          </w:p>
        </w:tc>
        <w:tc>
          <w:tcPr>
            <w:tcW w:w="540" w:type="dxa"/>
            <w:tcBorders>
              <w:top w:val="single" w:sz="4" w:space="0" w:color="auto"/>
              <w:left w:val="nil"/>
              <w:bottom w:val="single" w:sz="4" w:space="0" w:color="auto"/>
              <w:right w:val="single" w:sz="4" w:space="0" w:color="auto"/>
            </w:tcBorders>
            <w:vAlign w:val="center"/>
            <w:hideMark/>
          </w:tcPr>
          <w:p w:rsidR="0081244A" w:rsidRDefault="0081244A" w:rsidP="003C4CB4">
            <w:pPr>
              <w:spacing w:before="120" w:after="120"/>
              <w:jc w:val="center"/>
              <w:rPr>
                <w:rFonts w:ascii="Arial Narrow" w:hAnsi="Arial Narrow"/>
                <w:b/>
                <w:bCs/>
                <w:color w:val="000000"/>
                <w:sz w:val="14"/>
                <w:szCs w:val="14"/>
              </w:rPr>
            </w:pPr>
            <w:r>
              <w:rPr>
                <w:rFonts w:ascii="Arial Narrow" w:hAnsi="Arial Narrow"/>
                <w:b/>
                <w:bCs/>
                <w:color w:val="000000"/>
                <w:sz w:val="14"/>
                <w:szCs w:val="14"/>
              </w:rPr>
              <w:t>Οκτ.</w:t>
            </w:r>
          </w:p>
        </w:tc>
        <w:tc>
          <w:tcPr>
            <w:tcW w:w="560" w:type="dxa"/>
            <w:tcBorders>
              <w:top w:val="single" w:sz="4" w:space="0" w:color="auto"/>
              <w:left w:val="nil"/>
              <w:bottom w:val="single" w:sz="4" w:space="0" w:color="auto"/>
              <w:right w:val="single" w:sz="4" w:space="0" w:color="auto"/>
            </w:tcBorders>
            <w:vAlign w:val="center"/>
            <w:hideMark/>
          </w:tcPr>
          <w:p w:rsidR="0081244A" w:rsidRDefault="0081244A" w:rsidP="003C4CB4">
            <w:pPr>
              <w:spacing w:before="120" w:after="120"/>
              <w:jc w:val="center"/>
              <w:rPr>
                <w:rFonts w:ascii="Arial Narrow" w:hAnsi="Arial Narrow"/>
                <w:b/>
                <w:bCs/>
                <w:color w:val="000000"/>
                <w:sz w:val="14"/>
                <w:szCs w:val="14"/>
              </w:rPr>
            </w:pPr>
            <w:r>
              <w:rPr>
                <w:rFonts w:ascii="Arial Narrow" w:hAnsi="Arial Narrow"/>
                <w:b/>
                <w:bCs/>
                <w:color w:val="000000"/>
                <w:sz w:val="14"/>
                <w:szCs w:val="14"/>
              </w:rPr>
              <w:t>Νοεμ.</w:t>
            </w:r>
          </w:p>
        </w:tc>
        <w:tc>
          <w:tcPr>
            <w:tcW w:w="540" w:type="dxa"/>
            <w:tcBorders>
              <w:top w:val="single" w:sz="4" w:space="0" w:color="auto"/>
              <w:left w:val="nil"/>
              <w:bottom w:val="single" w:sz="4" w:space="0" w:color="auto"/>
              <w:right w:val="single" w:sz="4" w:space="0" w:color="auto"/>
            </w:tcBorders>
            <w:vAlign w:val="center"/>
            <w:hideMark/>
          </w:tcPr>
          <w:p w:rsidR="0081244A" w:rsidRDefault="0081244A" w:rsidP="003C4CB4">
            <w:pPr>
              <w:spacing w:before="120" w:after="120"/>
              <w:jc w:val="center"/>
              <w:rPr>
                <w:rFonts w:ascii="Arial Narrow" w:hAnsi="Arial Narrow"/>
                <w:b/>
                <w:bCs/>
                <w:color w:val="000000"/>
                <w:sz w:val="14"/>
                <w:szCs w:val="14"/>
              </w:rPr>
            </w:pPr>
            <w:r>
              <w:rPr>
                <w:rFonts w:ascii="Arial Narrow" w:hAnsi="Arial Narrow"/>
                <w:b/>
                <w:bCs/>
                <w:color w:val="000000"/>
                <w:sz w:val="14"/>
                <w:szCs w:val="14"/>
              </w:rPr>
              <w:t>Δεκ.</w:t>
            </w:r>
          </w:p>
        </w:tc>
      </w:tr>
      <w:tr w:rsidR="00D65ADB" w:rsidTr="003C4CB4">
        <w:trPr>
          <w:trHeight w:val="170"/>
          <w:jc w:val="center"/>
        </w:trPr>
        <w:tc>
          <w:tcPr>
            <w:tcW w:w="240" w:type="dxa"/>
            <w:tcBorders>
              <w:top w:val="single" w:sz="4" w:space="0" w:color="auto"/>
              <w:left w:val="single" w:sz="4" w:space="0" w:color="auto"/>
              <w:bottom w:val="nil"/>
              <w:right w:val="nil"/>
            </w:tcBorders>
            <w:shd w:val="clear" w:color="auto" w:fill="BFBFBF" w:themeFill="background1" w:themeFillShade="BF"/>
            <w:vAlign w:val="center"/>
            <w:hideMark/>
          </w:tcPr>
          <w:p w:rsidR="00D65ADB" w:rsidRPr="005825E4" w:rsidRDefault="00D65ADB" w:rsidP="000E1D0C">
            <w:pPr>
              <w:spacing w:before="20" w:after="20"/>
              <w:jc w:val="center"/>
              <w:rPr>
                <w:rFonts w:ascii="Arial Narrow" w:hAnsi="Arial Narrow"/>
                <w:b/>
                <w:bCs/>
                <w:sz w:val="14"/>
                <w:szCs w:val="14"/>
              </w:rPr>
            </w:pPr>
            <w:r w:rsidRPr="005825E4">
              <w:rPr>
                <w:rFonts w:ascii="Arial Narrow" w:hAnsi="Arial Narrow"/>
                <w:b/>
                <w:bCs/>
                <w:sz w:val="14"/>
                <w:szCs w:val="14"/>
              </w:rPr>
              <w:t>I.</w:t>
            </w:r>
          </w:p>
        </w:tc>
        <w:tc>
          <w:tcPr>
            <w:tcW w:w="3160" w:type="dxa"/>
            <w:tcBorders>
              <w:top w:val="single" w:sz="4" w:space="0" w:color="auto"/>
              <w:left w:val="nil"/>
              <w:bottom w:val="nil"/>
              <w:right w:val="nil"/>
            </w:tcBorders>
            <w:shd w:val="clear" w:color="auto" w:fill="BFBFBF" w:themeFill="background1" w:themeFillShade="BF"/>
            <w:vAlign w:val="center"/>
            <w:hideMark/>
          </w:tcPr>
          <w:p w:rsidR="00D65ADB" w:rsidRPr="005825E4" w:rsidRDefault="00D65ADB" w:rsidP="000E1D0C">
            <w:pPr>
              <w:spacing w:before="20" w:after="20"/>
              <w:rPr>
                <w:rFonts w:ascii="Arial Narrow" w:hAnsi="Arial Narrow"/>
                <w:b/>
                <w:bCs/>
                <w:sz w:val="14"/>
                <w:szCs w:val="14"/>
              </w:rPr>
            </w:pPr>
            <w:r w:rsidRPr="005825E4">
              <w:rPr>
                <w:rFonts w:ascii="Arial Narrow" w:hAnsi="Arial Narrow"/>
                <w:b/>
                <w:bCs/>
                <w:sz w:val="14"/>
                <w:szCs w:val="14"/>
              </w:rPr>
              <w:t>Έσοδα Κρατι</w:t>
            </w:r>
            <w:r>
              <w:rPr>
                <w:rFonts w:ascii="Arial Narrow" w:hAnsi="Arial Narrow"/>
                <w:b/>
                <w:bCs/>
                <w:sz w:val="14"/>
                <w:szCs w:val="14"/>
              </w:rPr>
              <w:t>κού Προϋπολογισμού (1+2+3+4+5+6-</w:t>
            </w:r>
            <w:r w:rsidRPr="005825E4">
              <w:rPr>
                <w:rFonts w:ascii="Arial Narrow" w:hAnsi="Arial Narrow"/>
                <w:b/>
                <w:bCs/>
                <w:sz w:val="14"/>
                <w:szCs w:val="14"/>
              </w:rPr>
              <w:t>7)</w:t>
            </w:r>
          </w:p>
        </w:tc>
        <w:tc>
          <w:tcPr>
            <w:tcW w:w="520" w:type="dxa"/>
            <w:tcBorders>
              <w:top w:val="single" w:sz="4" w:space="0" w:color="auto"/>
              <w:left w:val="nil"/>
              <w:bottom w:val="nil"/>
              <w:right w:val="nil"/>
            </w:tcBorders>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4.660</w:t>
            </w:r>
          </w:p>
        </w:tc>
        <w:tc>
          <w:tcPr>
            <w:tcW w:w="580" w:type="dxa"/>
            <w:tcBorders>
              <w:top w:val="single" w:sz="4" w:space="0" w:color="auto"/>
              <w:left w:val="nil"/>
              <w:bottom w:val="nil"/>
              <w:right w:val="nil"/>
            </w:tcBorders>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8.253</w:t>
            </w:r>
          </w:p>
        </w:tc>
        <w:tc>
          <w:tcPr>
            <w:tcW w:w="600" w:type="dxa"/>
            <w:tcBorders>
              <w:top w:val="single" w:sz="4" w:space="0" w:color="auto"/>
              <w:left w:val="nil"/>
              <w:bottom w:val="nil"/>
              <w:right w:val="nil"/>
            </w:tcBorders>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12.167</w:t>
            </w:r>
          </w:p>
        </w:tc>
        <w:tc>
          <w:tcPr>
            <w:tcW w:w="580" w:type="dxa"/>
            <w:tcBorders>
              <w:top w:val="single" w:sz="4" w:space="0" w:color="auto"/>
              <w:left w:val="nil"/>
              <w:bottom w:val="nil"/>
              <w:right w:val="nil"/>
            </w:tcBorders>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15.592</w:t>
            </w:r>
          </w:p>
        </w:tc>
        <w:tc>
          <w:tcPr>
            <w:tcW w:w="560" w:type="dxa"/>
            <w:tcBorders>
              <w:top w:val="single" w:sz="4" w:space="0" w:color="auto"/>
              <w:left w:val="nil"/>
              <w:bottom w:val="nil"/>
              <w:right w:val="nil"/>
            </w:tcBorders>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18.549</w:t>
            </w:r>
          </w:p>
        </w:tc>
        <w:tc>
          <w:tcPr>
            <w:tcW w:w="580" w:type="dxa"/>
            <w:tcBorders>
              <w:top w:val="single" w:sz="4" w:space="0" w:color="auto"/>
              <w:left w:val="nil"/>
              <w:bottom w:val="nil"/>
              <w:right w:val="nil"/>
            </w:tcBorders>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22.239</w:t>
            </w:r>
          </w:p>
        </w:tc>
        <w:tc>
          <w:tcPr>
            <w:tcW w:w="580" w:type="dxa"/>
            <w:tcBorders>
              <w:top w:val="single" w:sz="4" w:space="0" w:color="auto"/>
              <w:left w:val="nil"/>
              <w:bottom w:val="nil"/>
              <w:right w:val="nil"/>
            </w:tcBorders>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28.493</w:t>
            </w:r>
          </w:p>
        </w:tc>
        <w:tc>
          <w:tcPr>
            <w:tcW w:w="540" w:type="dxa"/>
            <w:tcBorders>
              <w:top w:val="single" w:sz="4" w:space="0" w:color="auto"/>
              <w:left w:val="nil"/>
              <w:bottom w:val="nil"/>
              <w:right w:val="nil"/>
            </w:tcBorders>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32.764</w:t>
            </w:r>
          </w:p>
        </w:tc>
        <w:tc>
          <w:tcPr>
            <w:tcW w:w="560" w:type="dxa"/>
            <w:tcBorders>
              <w:top w:val="single" w:sz="4" w:space="0" w:color="auto"/>
              <w:left w:val="nil"/>
              <w:bottom w:val="nil"/>
              <w:right w:val="nil"/>
            </w:tcBorders>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37.723</w:t>
            </w:r>
          </w:p>
        </w:tc>
        <w:tc>
          <w:tcPr>
            <w:tcW w:w="540" w:type="dxa"/>
            <w:tcBorders>
              <w:top w:val="single" w:sz="4" w:space="0" w:color="auto"/>
              <w:left w:val="nil"/>
              <w:bottom w:val="nil"/>
              <w:right w:val="nil"/>
            </w:tcBorders>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42.492</w:t>
            </w:r>
          </w:p>
        </w:tc>
        <w:tc>
          <w:tcPr>
            <w:tcW w:w="560" w:type="dxa"/>
            <w:tcBorders>
              <w:top w:val="single" w:sz="4" w:space="0" w:color="auto"/>
              <w:left w:val="nil"/>
              <w:bottom w:val="nil"/>
              <w:right w:val="nil"/>
            </w:tcBorders>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46.978</w:t>
            </w:r>
          </w:p>
        </w:tc>
        <w:tc>
          <w:tcPr>
            <w:tcW w:w="540" w:type="dxa"/>
            <w:tcBorders>
              <w:top w:val="single" w:sz="4" w:space="0" w:color="auto"/>
              <w:left w:val="nil"/>
              <w:bottom w:val="nil"/>
              <w:right w:val="single" w:sz="4" w:space="0" w:color="auto"/>
            </w:tcBorders>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52.970</w:t>
            </w:r>
          </w:p>
        </w:tc>
      </w:tr>
      <w:tr w:rsidR="00D65ADB" w:rsidTr="003C4CB4">
        <w:trPr>
          <w:trHeight w:val="170"/>
          <w:jc w:val="center"/>
        </w:trPr>
        <w:tc>
          <w:tcPr>
            <w:tcW w:w="240" w:type="dxa"/>
            <w:tcBorders>
              <w:top w:val="nil"/>
              <w:left w:val="single" w:sz="4" w:space="0" w:color="auto"/>
              <w:bottom w:val="nil"/>
              <w:right w:val="nil"/>
            </w:tcBorders>
            <w:vAlign w:val="center"/>
            <w:hideMark/>
          </w:tcPr>
          <w:p w:rsidR="00D65ADB" w:rsidRPr="005825E4" w:rsidRDefault="00D65ADB" w:rsidP="000E1D0C">
            <w:pPr>
              <w:spacing w:before="20" w:after="20"/>
              <w:jc w:val="center"/>
              <w:rPr>
                <w:rFonts w:ascii="Arial Narrow" w:hAnsi="Arial Narrow"/>
                <w:sz w:val="14"/>
                <w:szCs w:val="14"/>
              </w:rPr>
            </w:pPr>
            <w:r w:rsidRPr="005825E4">
              <w:rPr>
                <w:rFonts w:ascii="Arial Narrow" w:hAnsi="Arial Narrow"/>
                <w:sz w:val="14"/>
                <w:szCs w:val="14"/>
              </w:rPr>
              <w:t>1</w:t>
            </w:r>
          </w:p>
        </w:tc>
        <w:tc>
          <w:tcPr>
            <w:tcW w:w="3160" w:type="dxa"/>
            <w:vAlign w:val="bottom"/>
            <w:hideMark/>
          </w:tcPr>
          <w:p w:rsidR="00D65ADB" w:rsidRPr="005825E4" w:rsidRDefault="00D65ADB" w:rsidP="000E1D0C">
            <w:pPr>
              <w:spacing w:before="20" w:after="20"/>
              <w:rPr>
                <w:rFonts w:ascii="Arial Narrow" w:hAnsi="Arial Narrow"/>
                <w:sz w:val="14"/>
                <w:szCs w:val="14"/>
              </w:rPr>
            </w:pPr>
            <w:r w:rsidRPr="005825E4">
              <w:rPr>
                <w:rFonts w:ascii="Arial Narrow" w:hAnsi="Arial Narrow"/>
                <w:sz w:val="14"/>
                <w:szCs w:val="14"/>
              </w:rPr>
              <w:t>Φόροι</w:t>
            </w:r>
          </w:p>
        </w:tc>
        <w:tc>
          <w:tcPr>
            <w:tcW w:w="52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3.986</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7.560</w:t>
            </w:r>
          </w:p>
        </w:tc>
        <w:tc>
          <w:tcPr>
            <w:tcW w:w="60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10.868</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14.117</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17.052</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20.185</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25.019</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29.067</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34.334</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39.089</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43.557</w:t>
            </w:r>
          </w:p>
        </w:tc>
        <w:tc>
          <w:tcPr>
            <w:tcW w:w="540" w:type="dxa"/>
            <w:tcBorders>
              <w:top w:val="nil"/>
              <w:left w:val="nil"/>
              <w:bottom w:val="nil"/>
              <w:right w:val="single" w:sz="4" w:space="0" w:color="auto"/>
            </w:tcBorders>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48.652</w:t>
            </w:r>
          </w:p>
        </w:tc>
      </w:tr>
      <w:tr w:rsidR="00D65ADB" w:rsidTr="003C4CB4">
        <w:trPr>
          <w:trHeight w:val="170"/>
          <w:jc w:val="center"/>
        </w:trPr>
        <w:tc>
          <w:tcPr>
            <w:tcW w:w="240" w:type="dxa"/>
            <w:tcBorders>
              <w:top w:val="nil"/>
              <w:left w:val="single" w:sz="4" w:space="0" w:color="auto"/>
              <w:bottom w:val="nil"/>
              <w:right w:val="nil"/>
            </w:tcBorders>
            <w:vAlign w:val="center"/>
            <w:hideMark/>
          </w:tcPr>
          <w:p w:rsidR="00D65ADB" w:rsidRPr="005825E4" w:rsidRDefault="00D65ADB" w:rsidP="000E1D0C">
            <w:pPr>
              <w:spacing w:before="20" w:after="20"/>
              <w:jc w:val="center"/>
              <w:rPr>
                <w:rFonts w:ascii="Arial Narrow" w:hAnsi="Arial Narrow"/>
                <w:sz w:val="14"/>
                <w:szCs w:val="14"/>
              </w:rPr>
            </w:pPr>
            <w:r w:rsidRPr="005825E4">
              <w:rPr>
                <w:rFonts w:ascii="Arial Narrow" w:hAnsi="Arial Narrow"/>
                <w:sz w:val="14"/>
                <w:szCs w:val="14"/>
              </w:rPr>
              <w:t>2</w:t>
            </w:r>
          </w:p>
        </w:tc>
        <w:tc>
          <w:tcPr>
            <w:tcW w:w="3160" w:type="dxa"/>
            <w:vAlign w:val="bottom"/>
            <w:hideMark/>
          </w:tcPr>
          <w:p w:rsidR="00D65ADB" w:rsidRPr="005825E4" w:rsidRDefault="00D65ADB" w:rsidP="000E1D0C">
            <w:pPr>
              <w:spacing w:before="20" w:after="20"/>
              <w:rPr>
                <w:rFonts w:ascii="Arial Narrow" w:hAnsi="Arial Narrow"/>
                <w:sz w:val="14"/>
                <w:szCs w:val="14"/>
              </w:rPr>
            </w:pPr>
            <w:r w:rsidRPr="005825E4">
              <w:rPr>
                <w:rFonts w:ascii="Arial Narrow" w:hAnsi="Arial Narrow"/>
                <w:sz w:val="14"/>
                <w:szCs w:val="14"/>
              </w:rPr>
              <w:t>Κοινωνικές εισφορές</w:t>
            </w:r>
          </w:p>
        </w:tc>
        <w:tc>
          <w:tcPr>
            <w:tcW w:w="52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4</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9</w:t>
            </w:r>
          </w:p>
        </w:tc>
        <w:tc>
          <w:tcPr>
            <w:tcW w:w="60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14</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18</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23</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27</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31</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36</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41</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45</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50</w:t>
            </w:r>
          </w:p>
        </w:tc>
        <w:tc>
          <w:tcPr>
            <w:tcW w:w="540" w:type="dxa"/>
            <w:tcBorders>
              <w:top w:val="nil"/>
              <w:left w:val="nil"/>
              <w:bottom w:val="nil"/>
              <w:right w:val="single" w:sz="4" w:space="0" w:color="auto"/>
            </w:tcBorders>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54</w:t>
            </w:r>
          </w:p>
        </w:tc>
      </w:tr>
      <w:tr w:rsidR="00D65ADB" w:rsidTr="003C4CB4">
        <w:trPr>
          <w:trHeight w:val="170"/>
          <w:jc w:val="center"/>
        </w:trPr>
        <w:tc>
          <w:tcPr>
            <w:tcW w:w="240" w:type="dxa"/>
            <w:tcBorders>
              <w:top w:val="nil"/>
              <w:left w:val="single" w:sz="4" w:space="0" w:color="auto"/>
              <w:bottom w:val="nil"/>
              <w:right w:val="nil"/>
            </w:tcBorders>
            <w:vAlign w:val="center"/>
            <w:hideMark/>
          </w:tcPr>
          <w:p w:rsidR="00D65ADB" w:rsidRPr="005825E4" w:rsidRDefault="00D65ADB" w:rsidP="000E1D0C">
            <w:pPr>
              <w:spacing w:before="20" w:after="20"/>
              <w:jc w:val="center"/>
              <w:rPr>
                <w:rFonts w:ascii="Arial Narrow" w:hAnsi="Arial Narrow"/>
                <w:sz w:val="14"/>
                <w:szCs w:val="14"/>
              </w:rPr>
            </w:pPr>
            <w:r w:rsidRPr="005825E4">
              <w:rPr>
                <w:rFonts w:ascii="Arial Narrow" w:hAnsi="Arial Narrow"/>
                <w:sz w:val="14"/>
                <w:szCs w:val="14"/>
              </w:rPr>
              <w:t>3</w:t>
            </w:r>
          </w:p>
        </w:tc>
        <w:tc>
          <w:tcPr>
            <w:tcW w:w="3160" w:type="dxa"/>
            <w:vAlign w:val="bottom"/>
            <w:hideMark/>
          </w:tcPr>
          <w:p w:rsidR="00D65ADB" w:rsidRPr="00FD74FB" w:rsidRDefault="00D65ADB" w:rsidP="000E1D0C">
            <w:pPr>
              <w:spacing w:before="20" w:after="20"/>
              <w:rPr>
                <w:rFonts w:ascii="Arial Narrow" w:hAnsi="Arial Narrow"/>
                <w:sz w:val="14"/>
                <w:szCs w:val="14"/>
                <w:vertAlign w:val="superscript"/>
              </w:rPr>
            </w:pPr>
            <w:r w:rsidRPr="005825E4">
              <w:rPr>
                <w:rFonts w:ascii="Arial Narrow" w:hAnsi="Arial Narrow"/>
                <w:sz w:val="14"/>
                <w:szCs w:val="14"/>
              </w:rPr>
              <w:t>Μεταβιβάσεις</w:t>
            </w:r>
            <w:r>
              <w:rPr>
                <w:rFonts w:ascii="Arial Narrow" w:hAnsi="Arial Narrow"/>
                <w:sz w:val="14"/>
                <w:szCs w:val="14"/>
                <w:vertAlign w:val="superscript"/>
              </w:rPr>
              <w:t>1, 2</w:t>
            </w:r>
          </w:p>
        </w:tc>
        <w:tc>
          <w:tcPr>
            <w:tcW w:w="52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739</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1.037</w:t>
            </w:r>
          </w:p>
        </w:tc>
        <w:tc>
          <w:tcPr>
            <w:tcW w:w="60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1.538</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1.806</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2.049</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2.597</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4.316</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4.915</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5.028</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5.267</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5.490</w:t>
            </w:r>
          </w:p>
        </w:tc>
        <w:tc>
          <w:tcPr>
            <w:tcW w:w="540" w:type="dxa"/>
            <w:tcBorders>
              <w:top w:val="nil"/>
              <w:left w:val="nil"/>
              <w:bottom w:val="nil"/>
              <w:right w:val="single" w:sz="4" w:space="0" w:color="auto"/>
            </w:tcBorders>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6.951</w:t>
            </w:r>
          </w:p>
        </w:tc>
      </w:tr>
      <w:tr w:rsidR="00D65ADB" w:rsidTr="003C4CB4">
        <w:trPr>
          <w:trHeight w:val="170"/>
          <w:jc w:val="center"/>
        </w:trPr>
        <w:tc>
          <w:tcPr>
            <w:tcW w:w="240" w:type="dxa"/>
            <w:tcBorders>
              <w:top w:val="nil"/>
              <w:left w:val="single" w:sz="4" w:space="0" w:color="auto"/>
              <w:bottom w:val="nil"/>
              <w:right w:val="nil"/>
            </w:tcBorders>
            <w:vAlign w:val="center"/>
            <w:hideMark/>
          </w:tcPr>
          <w:p w:rsidR="00D65ADB" w:rsidRPr="005825E4" w:rsidRDefault="00D65ADB" w:rsidP="000E1D0C">
            <w:pPr>
              <w:spacing w:before="20" w:after="20"/>
              <w:jc w:val="center"/>
              <w:rPr>
                <w:rFonts w:ascii="Arial Narrow" w:hAnsi="Arial Narrow"/>
                <w:sz w:val="14"/>
                <w:szCs w:val="14"/>
              </w:rPr>
            </w:pPr>
            <w:r w:rsidRPr="005825E4">
              <w:rPr>
                <w:rFonts w:ascii="Arial Narrow" w:hAnsi="Arial Narrow"/>
                <w:sz w:val="14"/>
                <w:szCs w:val="14"/>
              </w:rPr>
              <w:t>4</w:t>
            </w:r>
          </w:p>
        </w:tc>
        <w:tc>
          <w:tcPr>
            <w:tcW w:w="3160" w:type="dxa"/>
            <w:vAlign w:val="bottom"/>
            <w:hideMark/>
          </w:tcPr>
          <w:p w:rsidR="00D65ADB" w:rsidRPr="005825E4" w:rsidRDefault="00D65ADB" w:rsidP="000E1D0C">
            <w:pPr>
              <w:spacing w:before="20" w:after="20"/>
              <w:rPr>
                <w:rFonts w:ascii="Arial Narrow" w:hAnsi="Arial Narrow"/>
                <w:sz w:val="14"/>
                <w:szCs w:val="14"/>
              </w:rPr>
            </w:pPr>
            <w:r w:rsidRPr="005825E4">
              <w:rPr>
                <w:rFonts w:ascii="Arial Narrow" w:hAnsi="Arial Narrow"/>
                <w:sz w:val="14"/>
                <w:szCs w:val="14"/>
              </w:rPr>
              <w:t>Πωλήσεις αγαθών και υπηρεσιών</w:t>
            </w:r>
          </w:p>
        </w:tc>
        <w:tc>
          <w:tcPr>
            <w:tcW w:w="52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51</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85</w:t>
            </w:r>
          </w:p>
        </w:tc>
        <w:tc>
          <w:tcPr>
            <w:tcW w:w="60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131</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188</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229</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269</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356</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389</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427</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489</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533</w:t>
            </w:r>
          </w:p>
        </w:tc>
        <w:tc>
          <w:tcPr>
            <w:tcW w:w="540" w:type="dxa"/>
            <w:tcBorders>
              <w:top w:val="nil"/>
              <w:left w:val="nil"/>
              <w:bottom w:val="nil"/>
              <w:right w:val="single" w:sz="4" w:space="0" w:color="auto"/>
            </w:tcBorders>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603</w:t>
            </w:r>
          </w:p>
        </w:tc>
      </w:tr>
      <w:tr w:rsidR="00D65ADB" w:rsidTr="003C4CB4">
        <w:trPr>
          <w:trHeight w:val="170"/>
          <w:jc w:val="center"/>
        </w:trPr>
        <w:tc>
          <w:tcPr>
            <w:tcW w:w="240" w:type="dxa"/>
            <w:tcBorders>
              <w:top w:val="nil"/>
              <w:left w:val="single" w:sz="4" w:space="0" w:color="auto"/>
              <w:bottom w:val="nil"/>
              <w:right w:val="nil"/>
            </w:tcBorders>
            <w:vAlign w:val="center"/>
            <w:hideMark/>
          </w:tcPr>
          <w:p w:rsidR="00D65ADB" w:rsidRPr="005825E4" w:rsidRDefault="00D65ADB" w:rsidP="000E1D0C">
            <w:pPr>
              <w:spacing w:before="20" w:after="20"/>
              <w:jc w:val="center"/>
              <w:rPr>
                <w:rFonts w:ascii="Arial Narrow" w:hAnsi="Arial Narrow"/>
                <w:sz w:val="14"/>
                <w:szCs w:val="14"/>
              </w:rPr>
            </w:pPr>
            <w:r w:rsidRPr="005825E4">
              <w:rPr>
                <w:rFonts w:ascii="Arial Narrow" w:hAnsi="Arial Narrow"/>
                <w:sz w:val="14"/>
                <w:szCs w:val="14"/>
              </w:rPr>
              <w:t>5</w:t>
            </w:r>
          </w:p>
        </w:tc>
        <w:tc>
          <w:tcPr>
            <w:tcW w:w="3160" w:type="dxa"/>
            <w:vAlign w:val="bottom"/>
            <w:hideMark/>
          </w:tcPr>
          <w:p w:rsidR="00D65ADB" w:rsidRPr="00FD74FB" w:rsidRDefault="00D65ADB" w:rsidP="000E1D0C">
            <w:pPr>
              <w:spacing w:before="20" w:after="20"/>
              <w:rPr>
                <w:rFonts w:ascii="Arial Narrow" w:hAnsi="Arial Narrow"/>
                <w:sz w:val="14"/>
                <w:szCs w:val="14"/>
                <w:vertAlign w:val="superscript"/>
              </w:rPr>
            </w:pPr>
            <w:r w:rsidRPr="005825E4">
              <w:rPr>
                <w:rFonts w:ascii="Arial Narrow" w:hAnsi="Arial Narrow"/>
                <w:sz w:val="14"/>
                <w:szCs w:val="14"/>
              </w:rPr>
              <w:t>Λοιπά τρέχοντα έσοδα</w:t>
            </w:r>
            <w:r>
              <w:rPr>
                <w:rFonts w:ascii="Arial Narrow" w:hAnsi="Arial Narrow"/>
                <w:sz w:val="14"/>
                <w:szCs w:val="14"/>
                <w:vertAlign w:val="superscript"/>
              </w:rPr>
              <w:t>1</w:t>
            </w:r>
          </w:p>
        </w:tc>
        <w:tc>
          <w:tcPr>
            <w:tcW w:w="52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145</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249</w:t>
            </w:r>
          </w:p>
        </w:tc>
        <w:tc>
          <w:tcPr>
            <w:tcW w:w="60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360</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456</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560</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828</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963</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1.060</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1.179</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1.342</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1.456</w:t>
            </w:r>
          </w:p>
        </w:tc>
        <w:tc>
          <w:tcPr>
            <w:tcW w:w="540" w:type="dxa"/>
            <w:tcBorders>
              <w:top w:val="nil"/>
              <w:left w:val="nil"/>
              <w:bottom w:val="nil"/>
              <w:right w:val="single" w:sz="4" w:space="0" w:color="auto"/>
            </w:tcBorders>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1.636</w:t>
            </w:r>
          </w:p>
        </w:tc>
      </w:tr>
      <w:tr w:rsidR="00D65ADB" w:rsidTr="003C4CB4">
        <w:trPr>
          <w:trHeight w:val="170"/>
          <w:jc w:val="center"/>
        </w:trPr>
        <w:tc>
          <w:tcPr>
            <w:tcW w:w="240" w:type="dxa"/>
            <w:tcBorders>
              <w:top w:val="nil"/>
              <w:left w:val="single" w:sz="4" w:space="0" w:color="auto"/>
              <w:bottom w:val="nil"/>
              <w:right w:val="nil"/>
            </w:tcBorders>
            <w:vAlign w:val="bottom"/>
            <w:hideMark/>
          </w:tcPr>
          <w:p w:rsidR="00D65ADB" w:rsidRPr="005825E4" w:rsidRDefault="00D65ADB" w:rsidP="000E1D0C">
            <w:pPr>
              <w:spacing w:before="20" w:after="20"/>
              <w:jc w:val="center"/>
              <w:rPr>
                <w:rFonts w:ascii="Arial Narrow" w:hAnsi="Arial Narrow"/>
                <w:i/>
                <w:iCs/>
                <w:sz w:val="14"/>
                <w:szCs w:val="14"/>
              </w:rPr>
            </w:pPr>
            <w:r w:rsidRPr="005825E4">
              <w:rPr>
                <w:rFonts w:ascii="Arial Narrow" w:hAnsi="Arial Narrow"/>
                <w:i/>
                <w:iCs/>
                <w:sz w:val="14"/>
                <w:szCs w:val="14"/>
              </w:rPr>
              <w:t>5α</w:t>
            </w:r>
          </w:p>
        </w:tc>
        <w:tc>
          <w:tcPr>
            <w:tcW w:w="3160" w:type="dxa"/>
            <w:vAlign w:val="bottom"/>
            <w:hideMark/>
          </w:tcPr>
          <w:p w:rsidR="00D65ADB" w:rsidRPr="005825E4" w:rsidRDefault="00D65ADB" w:rsidP="000E1D0C">
            <w:pPr>
              <w:spacing w:before="20" w:after="20"/>
              <w:rPr>
                <w:rFonts w:ascii="Arial Narrow" w:hAnsi="Arial Narrow"/>
                <w:i/>
                <w:iCs/>
                <w:sz w:val="14"/>
                <w:szCs w:val="14"/>
              </w:rPr>
            </w:pPr>
            <w:r w:rsidRPr="005825E4">
              <w:rPr>
                <w:rFonts w:ascii="Arial Narrow" w:hAnsi="Arial Narrow"/>
                <w:i/>
                <w:iCs/>
                <w:sz w:val="14"/>
                <w:szCs w:val="14"/>
              </w:rPr>
              <w:t>εκ των οποίων: Επιστροφές δαπανών για τόκους</w:t>
            </w:r>
          </w:p>
        </w:tc>
        <w:tc>
          <w:tcPr>
            <w:tcW w:w="52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0</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0</w:t>
            </w:r>
          </w:p>
        </w:tc>
        <w:tc>
          <w:tcPr>
            <w:tcW w:w="60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0</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0</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0</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0</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0</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0</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0</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0</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0</w:t>
            </w:r>
          </w:p>
        </w:tc>
        <w:tc>
          <w:tcPr>
            <w:tcW w:w="540" w:type="dxa"/>
            <w:tcBorders>
              <w:top w:val="nil"/>
              <w:left w:val="nil"/>
              <w:bottom w:val="nil"/>
              <w:right w:val="single" w:sz="4" w:space="0" w:color="auto"/>
            </w:tcBorders>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0</w:t>
            </w:r>
          </w:p>
        </w:tc>
      </w:tr>
      <w:tr w:rsidR="00D65ADB" w:rsidTr="003C4CB4">
        <w:trPr>
          <w:trHeight w:val="170"/>
          <w:jc w:val="center"/>
        </w:trPr>
        <w:tc>
          <w:tcPr>
            <w:tcW w:w="240" w:type="dxa"/>
            <w:tcBorders>
              <w:top w:val="nil"/>
              <w:left w:val="single" w:sz="4" w:space="0" w:color="auto"/>
              <w:bottom w:val="nil"/>
              <w:right w:val="nil"/>
            </w:tcBorders>
            <w:vAlign w:val="center"/>
            <w:hideMark/>
          </w:tcPr>
          <w:p w:rsidR="00D65ADB" w:rsidRPr="005825E4" w:rsidRDefault="00D65ADB" w:rsidP="000E1D0C">
            <w:pPr>
              <w:spacing w:before="20" w:after="20"/>
              <w:jc w:val="center"/>
              <w:rPr>
                <w:rFonts w:ascii="Arial Narrow" w:hAnsi="Arial Narrow"/>
                <w:sz w:val="14"/>
                <w:szCs w:val="14"/>
              </w:rPr>
            </w:pPr>
            <w:r w:rsidRPr="005825E4">
              <w:rPr>
                <w:rFonts w:ascii="Arial Narrow" w:hAnsi="Arial Narrow"/>
                <w:sz w:val="14"/>
                <w:szCs w:val="14"/>
              </w:rPr>
              <w:t>6</w:t>
            </w:r>
          </w:p>
        </w:tc>
        <w:tc>
          <w:tcPr>
            <w:tcW w:w="3160" w:type="dxa"/>
            <w:vAlign w:val="bottom"/>
            <w:hideMark/>
          </w:tcPr>
          <w:p w:rsidR="00D65ADB" w:rsidRPr="005825E4" w:rsidRDefault="00D65ADB" w:rsidP="000E1D0C">
            <w:pPr>
              <w:spacing w:before="20" w:after="20"/>
              <w:rPr>
                <w:rFonts w:ascii="Arial Narrow" w:hAnsi="Arial Narrow"/>
                <w:sz w:val="14"/>
                <w:szCs w:val="14"/>
              </w:rPr>
            </w:pPr>
            <w:r>
              <w:rPr>
                <w:rFonts w:ascii="Arial Narrow" w:hAnsi="Arial Narrow"/>
                <w:sz w:val="14"/>
                <w:szCs w:val="14"/>
              </w:rPr>
              <w:t>Πωλήσεις παγίων</w:t>
            </w:r>
            <w:r w:rsidRPr="005825E4">
              <w:rPr>
                <w:rFonts w:ascii="Arial Narrow" w:hAnsi="Arial Narrow"/>
                <w:sz w:val="14"/>
                <w:szCs w:val="14"/>
              </w:rPr>
              <w:t xml:space="preserve"> </w:t>
            </w:r>
            <w:r>
              <w:rPr>
                <w:rFonts w:ascii="Arial Narrow" w:hAnsi="Arial Narrow"/>
                <w:sz w:val="14"/>
                <w:szCs w:val="14"/>
              </w:rPr>
              <w:t>περιουσιακών στοιχείων</w:t>
            </w:r>
            <w:r w:rsidRPr="005825E4">
              <w:rPr>
                <w:rFonts w:ascii="Arial Narrow" w:hAnsi="Arial Narrow"/>
                <w:sz w:val="14"/>
                <w:szCs w:val="14"/>
              </w:rPr>
              <w:t xml:space="preserve"> </w:t>
            </w:r>
          </w:p>
        </w:tc>
        <w:tc>
          <w:tcPr>
            <w:tcW w:w="52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0</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0</w:t>
            </w:r>
          </w:p>
        </w:tc>
        <w:tc>
          <w:tcPr>
            <w:tcW w:w="60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303</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303</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303</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305</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305</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305</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306</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306</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306</w:t>
            </w:r>
          </w:p>
        </w:tc>
        <w:tc>
          <w:tcPr>
            <w:tcW w:w="540" w:type="dxa"/>
            <w:tcBorders>
              <w:top w:val="nil"/>
              <w:left w:val="nil"/>
              <w:bottom w:val="nil"/>
              <w:right w:val="single" w:sz="4" w:space="0" w:color="auto"/>
            </w:tcBorders>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330</w:t>
            </w:r>
          </w:p>
        </w:tc>
      </w:tr>
      <w:tr w:rsidR="00D65ADB" w:rsidTr="003C4CB4">
        <w:trPr>
          <w:trHeight w:val="170"/>
          <w:jc w:val="center"/>
        </w:trPr>
        <w:tc>
          <w:tcPr>
            <w:tcW w:w="240" w:type="dxa"/>
            <w:tcBorders>
              <w:top w:val="nil"/>
              <w:left w:val="single" w:sz="4" w:space="0" w:color="auto"/>
              <w:bottom w:val="nil"/>
              <w:right w:val="nil"/>
            </w:tcBorders>
            <w:vAlign w:val="center"/>
            <w:hideMark/>
          </w:tcPr>
          <w:p w:rsidR="00D65ADB" w:rsidRPr="005825E4" w:rsidRDefault="00D65ADB" w:rsidP="000E1D0C">
            <w:pPr>
              <w:spacing w:before="20" w:after="20"/>
              <w:jc w:val="center"/>
              <w:rPr>
                <w:rFonts w:ascii="Arial Narrow" w:hAnsi="Arial Narrow"/>
                <w:sz w:val="14"/>
                <w:szCs w:val="14"/>
              </w:rPr>
            </w:pPr>
            <w:r w:rsidRPr="005825E4">
              <w:rPr>
                <w:rFonts w:ascii="Arial Narrow" w:hAnsi="Arial Narrow"/>
                <w:sz w:val="14"/>
                <w:szCs w:val="14"/>
              </w:rPr>
              <w:t>7</w:t>
            </w:r>
          </w:p>
        </w:tc>
        <w:tc>
          <w:tcPr>
            <w:tcW w:w="3160" w:type="dxa"/>
            <w:vAlign w:val="bottom"/>
            <w:hideMark/>
          </w:tcPr>
          <w:p w:rsidR="00D65ADB" w:rsidRPr="005825E4" w:rsidRDefault="00D65ADB" w:rsidP="000E1D0C">
            <w:pPr>
              <w:spacing w:before="20" w:after="20"/>
              <w:rPr>
                <w:rFonts w:ascii="Arial Narrow" w:hAnsi="Arial Narrow"/>
                <w:sz w:val="14"/>
                <w:szCs w:val="14"/>
              </w:rPr>
            </w:pPr>
            <w:r w:rsidRPr="005825E4">
              <w:rPr>
                <w:rFonts w:ascii="Arial Narrow" w:hAnsi="Arial Narrow"/>
                <w:sz w:val="14"/>
                <w:szCs w:val="14"/>
              </w:rPr>
              <w:t>Επιστροφές εσόδων</w:t>
            </w:r>
          </w:p>
        </w:tc>
        <w:tc>
          <w:tcPr>
            <w:tcW w:w="52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265</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687</w:t>
            </w:r>
          </w:p>
        </w:tc>
        <w:tc>
          <w:tcPr>
            <w:tcW w:w="60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1.047</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1.297</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1.666</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1.973</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2.498</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3.008</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3.593</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4.047</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4.414</w:t>
            </w:r>
          </w:p>
        </w:tc>
        <w:tc>
          <w:tcPr>
            <w:tcW w:w="540" w:type="dxa"/>
            <w:tcBorders>
              <w:top w:val="nil"/>
              <w:left w:val="nil"/>
              <w:bottom w:val="nil"/>
              <w:right w:val="single" w:sz="4" w:space="0" w:color="auto"/>
            </w:tcBorders>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5.256</w:t>
            </w:r>
          </w:p>
        </w:tc>
      </w:tr>
      <w:tr w:rsidR="00D65ADB" w:rsidTr="003C4CB4">
        <w:trPr>
          <w:trHeight w:val="170"/>
          <w:jc w:val="center"/>
        </w:trPr>
        <w:tc>
          <w:tcPr>
            <w:tcW w:w="240" w:type="dxa"/>
            <w:tcBorders>
              <w:top w:val="nil"/>
              <w:left w:val="single" w:sz="4" w:space="0" w:color="auto"/>
              <w:bottom w:val="nil"/>
              <w:right w:val="nil"/>
            </w:tcBorders>
            <w:shd w:val="clear" w:color="auto" w:fill="BFBFBF" w:themeFill="background1" w:themeFillShade="BF"/>
            <w:hideMark/>
          </w:tcPr>
          <w:p w:rsidR="00D65ADB" w:rsidRPr="005825E4" w:rsidRDefault="00D65ADB" w:rsidP="000E1D0C">
            <w:pPr>
              <w:spacing w:before="20" w:after="20"/>
              <w:jc w:val="center"/>
              <w:rPr>
                <w:rFonts w:ascii="Arial Narrow" w:hAnsi="Arial Narrow"/>
                <w:b/>
                <w:bCs/>
                <w:sz w:val="14"/>
                <w:szCs w:val="14"/>
              </w:rPr>
            </w:pPr>
            <w:r w:rsidRPr="005825E4">
              <w:rPr>
                <w:rFonts w:ascii="Arial Narrow" w:hAnsi="Arial Narrow"/>
                <w:b/>
                <w:bCs/>
                <w:sz w:val="14"/>
                <w:szCs w:val="14"/>
              </w:rPr>
              <w:t>II.</w:t>
            </w:r>
          </w:p>
        </w:tc>
        <w:tc>
          <w:tcPr>
            <w:tcW w:w="3160" w:type="dxa"/>
            <w:shd w:val="clear" w:color="auto" w:fill="BFBFBF" w:themeFill="background1" w:themeFillShade="BF"/>
            <w:vAlign w:val="center"/>
            <w:hideMark/>
          </w:tcPr>
          <w:p w:rsidR="00D65ADB" w:rsidRPr="005825E4" w:rsidRDefault="00D65ADB" w:rsidP="000E1D0C">
            <w:pPr>
              <w:spacing w:before="20" w:after="20"/>
              <w:rPr>
                <w:rFonts w:ascii="Arial Narrow" w:hAnsi="Arial Narrow"/>
                <w:b/>
                <w:bCs/>
                <w:sz w:val="14"/>
                <w:szCs w:val="14"/>
              </w:rPr>
            </w:pPr>
            <w:r w:rsidRPr="005825E4">
              <w:rPr>
                <w:rFonts w:ascii="Arial Narrow" w:hAnsi="Arial Narrow"/>
                <w:b/>
                <w:bCs/>
                <w:sz w:val="14"/>
                <w:szCs w:val="14"/>
              </w:rPr>
              <w:t>Δαπάνες Κρατικού Προϋπολογισμού (1+2+3+4+5+6+7+8+9+10)</w:t>
            </w:r>
          </w:p>
        </w:tc>
        <w:tc>
          <w:tcPr>
            <w:tcW w:w="520" w:type="dxa"/>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5.751</w:t>
            </w:r>
          </w:p>
        </w:tc>
        <w:tc>
          <w:tcPr>
            <w:tcW w:w="580" w:type="dxa"/>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12.760</w:t>
            </w:r>
          </w:p>
        </w:tc>
        <w:tc>
          <w:tcPr>
            <w:tcW w:w="600" w:type="dxa"/>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18.771</w:t>
            </w:r>
          </w:p>
        </w:tc>
        <w:tc>
          <w:tcPr>
            <w:tcW w:w="580" w:type="dxa"/>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23.360</w:t>
            </w:r>
          </w:p>
        </w:tc>
        <w:tc>
          <w:tcPr>
            <w:tcW w:w="560" w:type="dxa"/>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28.317</w:t>
            </w:r>
          </w:p>
        </w:tc>
        <w:tc>
          <w:tcPr>
            <w:tcW w:w="580" w:type="dxa"/>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33.402</w:t>
            </w:r>
          </w:p>
        </w:tc>
        <w:tc>
          <w:tcPr>
            <w:tcW w:w="580" w:type="dxa"/>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39.012</w:t>
            </w:r>
          </w:p>
        </w:tc>
        <w:tc>
          <w:tcPr>
            <w:tcW w:w="540" w:type="dxa"/>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44.192</w:t>
            </w:r>
          </w:p>
        </w:tc>
        <w:tc>
          <w:tcPr>
            <w:tcW w:w="560" w:type="dxa"/>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49.588</w:t>
            </w:r>
          </w:p>
        </w:tc>
        <w:tc>
          <w:tcPr>
            <w:tcW w:w="540" w:type="dxa"/>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54.736</w:t>
            </w:r>
          </w:p>
        </w:tc>
        <w:tc>
          <w:tcPr>
            <w:tcW w:w="560" w:type="dxa"/>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60.664</w:t>
            </w:r>
          </w:p>
        </w:tc>
        <w:tc>
          <w:tcPr>
            <w:tcW w:w="540" w:type="dxa"/>
            <w:tcBorders>
              <w:top w:val="nil"/>
              <w:left w:val="nil"/>
              <w:bottom w:val="nil"/>
              <w:right w:val="single" w:sz="4" w:space="0" w:color="auto"/>
            </w:tcBorders>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67.811</w:t>
            </w:r>
          </w:p>
        </w:tc>
      </w:tr>
      <w:tr w:rsidR="00D65ADB" w:rsidTr="003C4CB4">
        <w:trPr>
          <w:trHeight w:val="170"/>
          <w:jc w:val="center"/>
        </w:trPr>
        <w:tc>
          <w:tcPr>
            <w:tcW w:w="240" w:type="dxa"/>
            <w:tcBorders>
              <w:top w:val="nil"/>
              <w:left w:val="single" w:sz="4" w:space="0" w:color="auto"/>
              <w:bottom w:val="nil"/>
              <w:right w:val="nil"/>
            </w:tcBorders>
            <w:shd w:val="clear" w:color="auto" w:fill="auto"/>
            <w:vAlign w:val="center"/>
            <w:hideMark/>
          </w:tcPr>
          <w:p w:rsidR="00D65ADB" w:rsidRPr="005825E4" w:rsidRDefault="00D65ADB" w:rsidP="000E1D0C">
            <w:pPr>
              <w:spacing w:before="20" w:after="20"/>
              <w:jc w:val="center"/>
              <w:rPr>
                <w:rFonts w:ascii="Arial Narrow" w:hAnsi="Arial Narrow"/>
                <w:sz w:val="14"/>
                <w:szCs w:val="14"/>
              </w:rPr>
            </w:pPr>
            <w:r w:rsidRPr="005825E4">
              <w:rPr>
                <w:rFonts w:ascii="Arial Narrow" w:hAnsi="Arial Narrow"/>
                <w:sz w:val="14"/>
                <w:szCs w:val="14"/>
              </w:rPr>
              <w:t>1</w:t>
            </w:r>
          </w:p>
        </w:tc>
        <w:tc>
          <w:tcPr>
            <w:tcW w:w="3160" w:type="dxa"/>
            <w:shd w:val="clear" w:color="auto" w:fill="auto"/>
            <w:vAlign w:val="bottom"/>
            <w:hideMark/>
          </w:tcPr>
          <w:p w:rsidR="00D65ADB" w:rsidRPr="005825E4" w:rsidRDefault="00D65ADB" w:rsidP="000E1D0C">
            <w:pPr>
              <w:spacing w:before="20" w:after="20"/>
              <w:rPr>
                <w:rFonts w:ascii="Arial Narrow" w:hAnsi="Arial Narrow"/>
                <w:sz w:val="14"/>
                <w:szCs w:val="14"/>
              </w:rPr>
            </w:pPr>
            <w:r w:rsidRPr="005825E4">
              <w:rPr>
                <w:rFonts w:ascii="Arial Narrow" w:hAnsi="Arial Narrow"/>
                <w:sz w:val="14"/>
                <w:szCs w:val="14"/>
              </w:rPr>
              <w:t xml:space="preserve">Παροχές σε εργαζομένους </w:t>
            </w:r>
          </w:p>
        </w:tc>
        <w:tc>
          <w:tcPr>
            <w:tcW w:w="520" w:type="dxa"/>
            <w:shd w:val="clear" w:color="auto" w:fill="auto"/>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1.081</w:t>
            </w:r>
          </w:p>
        </w:tc>
        <w:tc>
          <w:tcPr>
            <w:tcW w:w="580" w:type="dxa"/>
            <w:shd w:val="clear" w:color="auto" w:fill="auto"/>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2.214</w:t>
            </w:r>
          </w:p>
        </w:tc>
        <w:tc>
          <w:tcPr>
            <w:tcW w:w="600" w:type="dxa"/>
            <w:shd w:val="clear" w:color="auto" w:fill="auto"/>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3.337</w:t>
            </w:r>
          </w:p>
        </w:tc>
        <w:tc>
          <w:tcPr>
            <w:tcW w:w="580" w:type="dxa"/>
            <w:shd w:val="clear" w:color="auto" w:fill="auto"/>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4.443</w:t>
            </w:r>
          </w:p>
        </w:tc>
        <w:tc>
          <w:tcPr>
            <w:tcW w:w="560" w:type="dxa"/>
            <w:shd w:val="clear" w:color="auto" w:fill="auto"/>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5.575</w:t>
            </w:r>
          </w:p>
        </w:tc>
        <w:tc>
          <w:tcPr>
            <w:tcW w:w="580" w:type="dxa"/>
            <w:shd w:val="clear" w:color="auto" w:fill="auto"/>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6.713</w:t>
            </w:r>
          </w:p>
        </w:tc>
        <w:tc>
          <w:tcPr>
            <w:tcW w:w="580" w:type="dxa"/>
            <w:shd w:val="clear" w:color="auto" w:fill="auto"/>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7.844</w:t>
            </w:r>
          </w:p>
        </w:tc>
        <w:tc>
          <w:tcPr>
            <w:tcW w:w="540" w:type="dxa"/>
            <w:shd w:val="clear" w:color="auto" w:fill="auto"/>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8.993</w:t>
            </w:r>
          </w:p>
        </w:tc>
        <w:tc>
          <w:tcPr>
            <w:tcW w:w="560" w:type="dxa"/>
            <w:shd w:val="clear" w:color="auto" w:fill="auto"/>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10.119</w:t>
            </w:r>
          </w:p>
        </w:tc>
        <w:tc>
          <w:tcPr>
            <w:tcW w:w="540" w:type="dxa"/>
            <w:shd w:val="clear" w:color="auto" w:fill="auto"/>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11.236</w:t>
            </w:r>
          </w:p>
        </w:tc>
        <w:tc>
          <w:tcPr>
            <w:tcW w:w="560" w:type="dxa"/>
            <w:shd w:val="clear" w:color="auto" w:fill="auto"/>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12.377</w:t>
            </w:r>
          </w:p>
        </w:tc>
        <w:tc>
          <w:tcPr>
            <w:tcW w:w="540" w:type="dxa"/>
            <w:tcBorders>
              <w:top w:val="nil"/>
              <w:left w:val="nil"/>
              <w:bottom w:val="nil"/>
              <w:right w:val="single" w:sz="4" w:space="0" w:color="auto"/>
            </w:tcBorders>
            <w:shd w:val="clear" w:color="auto" w:fill="auto"/>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13.544</w:t>
            </w:r>
          </w:p>
        </w:tc>
      </w:tr>
      <w:tr w:rsidR="00D65ADB" w:rsidTr="003C4CB4">
        <w:trPr>
          <w:trHeight w:val="170"/>
          <w:jc w:val="center"/>
        </w:trPr>
        <w:tc>
          <w:tcPr>
            <w:tcW w:w="240" w:type="dxa"/>
            <w:tcBorders>
              <w:top w:val="nil"/>
              <w:left w:val="single" w:sz="4" w:space="0" w:color="auto"/>
              <w:bottom w:val="nil"/>
              <w:right w:val="nil"/>
            </w:tcBorders>
            <w:vAlign w:val="center"/>
            <w:hideMark/>
          </w:tcPr>
          <w:p w:rsidR="00D65ADB" w:rsidRPr="005825E4" w:rsidRDefault="00D65ADB" w:rsidP="000E1D0C">
            <w:pPr>
              <w:spacing w:before="20" w:after="20"/>
              <w:jc w:val="center"/>
              <w:rPr>
                <w:rFonts w:ascii="Arial Narrow" w:hAnsi="Arial Narrow"/>
                <w:sz w:val="14"/>
                <w:szCs w:val="14"/>
              </w:rPr>
            </w:pPr>
            <w:r w:rsidRPr="005825E4">
              <w:rPr>
                <w:rFonts w:ascii="Arial Narrow" w:hAnsi="Arial Narrow"/>
                <w:sz w:val="14"/>
                <w:szCs w:val="14"/>
              </w:rPr>
              <w:t>2</w:t>
            </w:r>
          </w:p>
        </w:tc>
        <w:tc>
          <w:tcPr>
            <w:tcW w:w="3160" w:type="dxa"/>
            <w:vAlign w:val="bottom"/>
            <w:hideMark/>
          </w:tcPr>
          <w:p w:rsidR="00D65ADB" w:rsidRPr="005825E4" w:rsidRDefault="00D65ADB" w:rsidP="000E1D0C">
            <w:pPr>
              <w:spacing w:before="20" w:after="20"/>
              <w:rPr>
                <w:rFonts w:ascii="Arial Narrow" w:hAnsi="Arial Narrow"/>
                <w:sz w:val="14"/>
                <w:szCs w:val="14"/>
              </w:rPr>
            </w:pPr>
            <w:r>
              <w:rPr>
                <w:rFonts w:ascii="Arial Narrow" w:hAnsi="Arial Narrow"/>
                <w:sz w:val="14"/>
                <w:szCs w:val="14"/>
              </w:rPr>
              <w:t>Κοινωνικές π</w:t>
            </w:r>
            <w:r w:rsidRPr="005825E4">
              <w:rPr>
                <w:rFonts w:ascii="Arial Narrow" w:hAnsi="Arial Narrow"/>
                <w:sz w:val="14"/>
                <w:szCs w:val="14"/>
              </w:rPr>
              <w:t>αροχές</w:t>
            </w:r>
          </w:p>
        </w:tc>
        <w:tc>
          <w:tcPr>
            <w:tcW w:w="52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4</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20</w:t>
            </w:r>
          </w:p>
        </w:tc>
        <w:tc>
          <w:tcPr>
            <w:tcW w:w="60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25</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32</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38</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50</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57</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63</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70</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80</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86</w:t>
            </w:r>
          </w:p>
        </w:tc>
        <w:tc>
          <w:tcPr>
            <w:tcW w:w="540" w:type="dxa"/>
            <w:tcBorders>
              <w:top w:val="nil"/>
              <w:left w:val="nil"/>
              <w:bottom w:val="nil"/>
              <w:right w:val="single" w:sz="4" w:space="0" w:color="auto"/>
            </w:tcBorders>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199</w:t>
            </w:r>
          </w:p>
        </w:tc>
      </w:tr>
      <w:tr w:rsidR="00D65ADB" w:rsidTr="003C4CB4">
        <w:trPr>
          <w:trHeight w:val="170"/>
          <w:jc w:val="center"/>
        </w:trPr>
        <w:tc>
          <w:tcPr>
            <w:tcW w:w="240" w:type="dxa"/>
            <w:tcBorders>
              <w:top w:val="nil"/>
              <w:left w:val="single" w:sz="4" w:space="0" w:color="auto"/>
              <w:bottom w:val="nil"/>
              <w:right w:val="nil"/>
            </w:tcBorders>
            <w:vAlign w:val="center"/>
            <w:hideMark/>
          </w:tcPr>
          <w:p w:rsidR="00D65ADB" w:rsidRPr="005825E4" w:rsidRDefault="00D65ADB" w:rsidP="000E1D0C">
            <w:pPr>
              <w:spacing w:before="20" w:after="20"/>
              <w:jc w:val="center"/>
              <w:rPr>
                <w:rFonts w:ascii="Arial Narrow" w:hAnsi="Arial Narrow"/>
                <w:sz w:val="14"/>
                <w:szCs w:val="14"/>
              </w:rPr>
            </w:pPr>
            <w:r w:rsidRPr="005825E4">
              <w:rPr>
                <w:rFonts w:ascii="Arial Narrow" w:hAnsi="Arial Narrow"/>
                <w:sz w:val="14"/>
                <w:szCs w:val="14"/>
              </w:rPr>
              <w:t>3</w:t>
            </w:r>
          </w:p>
        </w:tc>
        <w:tc>
          <w:tcPr>
            <w:tcW w:w="3160" w:type="dxa"/>
            <w:vAlign w:val="bottom"/>
            <w:hideMark/>
          </w:tcPr>
          <w:p w:rsidR="00D65ADB" w:rsidRPr="005825E4" w:rsidRDefault="00D65ADB" w:rsidP="000E1D0C">
            <w:pPr>
              <w:spacing w:before="20" w:after="20"/>
              <w:rPr>
                <w:rFonts w:ascii="Arial Narrow" w:hAnsi="Arial Narrow"/>
                <w:sz w:val="14"/>
                <w:szCs w:val="14"/>
              </w:rPr>
            </w:pPr>
            <w:r w:rsidRPr="005825E4">
              <w:rPr>
                <w:rFonts w:ascii="Arial Narrow" w:hAnsi="Arial Narrow"/>
                <w:sz w:val="14"/>
                <w:szCs w:val="14"/>
              </w:rPr>
              <w:t>Μεταβιβάσεις</w:t>
            </w:r>
          </w:p>
        </w:tc>
        <w:tc>
          <w:tcPr>
            <w:tcW w:w="52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3.215</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5.623</w:t>
            </w:r>
          </w:p>
        </w:tc>
        <w:tc>
          <w:tcPr>
            <w:tcW w:w="60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8.609</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10.943</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13.546</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15.968</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18.668</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20.735</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23.612</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25.719</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28.396</w:t>
            </w:r>
          </w:p>
        </w:tc>
        <w:tc>
          <w:tcPr>
            <w:tcW w:w="540" w:type="dxa"/>
            <w:tcBorders>
              <w:top w:val="nil"/>
              <w:left w:val="nil"/>
              <w:bottom w:val="nil"/>
              <w:right w:val="single" w:sz="4" w:space="0" w:color="auto"/>
            </w:tcBorders>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31.394</w:t>
            </w:r>
          </w:p>
        </w:tc>
      </w:tr>
      <w:tr w:rsidR="00D65ADB" w:rsidTr="003C4CB4">
        <w:trPr>
          <w:trHeight w:val="170"/>
          <w:jc w:val="center"/>
        </w:trPr>
        <w:tc>
          <w:tcPr>
            <w:tcW w:w="240" w:type="dxa"/>
            <w:tcBorders>
              <w:top w:val="nil"/>
              <w:left w:val="single" w:sz="4" w:space="0" w:color="auto"/>
              <w:bottom w:val="nil"/>
              <w:right w:val="nil"/>
            </w:tcBorders>
            <w:vAlign w:val="center"/>
            <w:hideMark/>
          </w:tcPr>
          <w:p w:rsidR="00D65ADB" w:rsidRPr="005825E4" w:rsidRDefault="00D65ADB" w:rsidP="000E1D0C">
            <w:pPr>
              <w:spacing w:before="20" w:after="20"/>
              <w:jc w:val="center"/>
              <w:rPr>
                <w:rFonts w:ascii="Arial Narrow" w:hAnsi="Arial Narrow"/>
                <w:sz w:val="14"/>
                <w:szCs w:val="14"/>
              </w:rPr>
            </w:pPr>
            <w:r w:rsidRPr="005825E4">
              <w:rPr>
                <w:rFonts w:ascii="Arial Narrow" w:hAnsi="Arial Narrow"/>
                <w:sz w:val="14"/>
                <w:szCs w:val="14"/>
              </w:rPr>
              <w:t>4</w:t>
            </w:r>
          </w:p>
        </w:tc>
        <w:tc>
          <w:tcPr>
            <w:tcW w:w="3160" w:type="dxa"/>
            <w:vAlign w:val="bottom"/>
            <w:hideMark/>
          </w:tcPr>
          <w:p w:rsidR="00D65ADB" w:rsidRPr="005825E4" w:rsidRDefault="00D65ADB" w:rsidP="000E1D0C">
            <w:pPr>
              <w:spacing w:before="20" w:after="20"/>
              <w:rPr>
                <w:rFonts w:ascii="Arial Narrow" w:hAnsi="Arial Narrow"/>
                <w:sz w:val="14"/>
                <w:szCs w:val="14"/>
              </w:rPr>
            </w:pPr>
            <w:r w:rsidRPr="005825E4">
              <w:rPr>
                <w:rFonts w:ascii="Arial Narrow" w:hAnsi="Arial Narrow"/>
                <w:sz w:val="14"/>
                <w:szCs w:val="14"/>
              </w:rPr>
              <w:t>Αγορές αγαθών και υπηρεσιών</w:t>
            </w:r>
          </w:p>
        </w:tc>
        <w:tc>
          <w:tcPr>
            <w:tcW w:w="52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6</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50</w:t>
            </w:r>
          </w:p>
        </w:tc>
        <w:tc>
          <w:tcPr>
            <w:tcW w:w="60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99</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214</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325</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425</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541</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596</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657</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759</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915</w:t>
            </w:r>
          </w:p>
        </w:tc>
        <w:tc>
          <w:tcPr>
            <w:tcW w:w="540" w:type="dxa"/>
            <w:tcBorders>
              <w:top w:val="nil"/>
              <w:left w:val="nil"/>
              <w:bottom w:val="nil"/>
              <w:right w:val="single" w:sz="4" w:space="0" w:color="auto"/>
            </w:tcBorders>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1.251</w:t>
            </w:r>
          </w:p>
        </w:tc>
      </w:tr>
      <w:tr w:rsidR="00D65ADB" w:rsidTr="003C4CB4">
        <w:trPr>
          <w:trHeight w:val="170"/>
          <w:jc w:val="center"/>
        </w:trPr>
        <w:tc>
          <w:tcPr>
            <w:tcW w:w="240" w:type="dxa"/>
            <w:tcBorders>
              <w:top w:val="nil"/>
              <w:left w:val="single" w:sz="4" w:space="0" w:color="auto"/>
              <w:bottom w:val="nil"/>
              <w:right w:val="nil"/>
            </w:tcBorders>
            <w:vAlign w:val="center"/>
            <w:hideMark/>
          </w:tcPr>
          <w:p w:rsidR="00D65ADB" w:rsidRPr="005825E4" w:rsidRDefault="00D65ADB" w:rsidP="000E1D0C">
            <w:pPr>
              <w:spacing w:before="20" w:after="20"/>
              <w:jc w:val="center"/>
              <w:rPr>
                <w:rFonts w:ascii="Arial Narrow" w:hAnsi="Arial Narrow"/>
                <w:sz w:val="14"/>
                <w:szCs w:val="14"/>
              </w:rPr>
            </w:pPr>
            <w:r w:rsidRPr="005825E4">
              <w:rPr>
                <w:rFonts w:ascii="Arial Narrow" w:hAnsi="Arial Narrow"/>
                <w:sz w:val="14"/>
                <w:szCs w:val="14"/>
              </w:rPr>
              <w:t>5</w:t>
            </w:r>
          </w:p>
        </w:tc>
        <w:tc>
          <w:tcPr>
            <w:tcW w:w="3160" w:type="dxa"/>
            <w:vAlign w:val="bottom"/>
            <w:hideMark/>
          </w:tcPr>
          <w:p w:rsidR="00D65ADB" w:rsidRPr="005825E4" w:rsidRDefault="00D65ADB" w:rsidP="000E1D0C">
            <w:pPr>
              <w:spacing w:before="20" w:after="20"/>
              <w:rPr>
                <w:rFonts w:ascii="Arial Narrow" w:hAnsi="Arial Narrow"/>
                <w:sz w:val="14"/>
                <w:szCs w:val="14"/>
              </w:rPr>
            </w:pPr>
            <w:r w:rsidRPr="005825E4">
              <w:rPr>
                <w:rFonts w:ascii="Arial Narrow" w:hAnsi="Arial Narrow"/>
                <w:sz w:val="14"/>
                <w:szCs w:val="14"/>
              </w:rPr>
              <w:t>Επιδοτήσεις</w:t>
            </w:r>
          </w:p>
        </w:tc>
        <w:tc>
          <w:tcPr>
            <w:tcW w:w="52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23</w:t>
            </w:r>
          </w:p>
        </w:tc>
        <w:tc>
          <w:tcPr>
            <w:tcW w:w="60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26</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29</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32</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33</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41</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42</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45</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48</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50</w:t>
            </w:r>
          </w:p>
        </w:tc>
        <w:tc>
          <w:tcPr>
            <w:tcW w:w="540" w:type="dxa"/>
            <w:tcBorders>
              <w:top w:val="nil"/>
              <w:left w:val="nil"/>
              <w:bottom w:val="nil"/>
              <w:right w:val="single" w:sz="4" w:space="0" w:color="auto"/>
            </w:tcBorders>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80</w:t>
            </w:r>
          </w:p>
        </w:tc>
      </w:tr>
      <w:tr w:rsidR="00D65ADB" w:rsidTr="003C4CB4">
        <w:trPr>
          <w:trHeight w:val="170"/>
          <w:jc w:val="center"/>
        </w:trPr>
        <w:tc>
          <w:tcPr>
            <w:tcW w:w="240" w:type="dxa"/>
            <w:tcBorders>
              <w:top w:val="nil"/>
              <w:left w:val="single" w:sz="4" w:space="0" w:color="auto"/>
              <w:bottom w:val="nil"/>
              <w:right w:val="nil"/>
            </w:tcBorders>
            <w:vAlign w:val="center"/>
            <w:hideMark/>
          </w:tcPr>
          <w:p w:rsidR="00D65ADB" w:rsidRPr="005825E4" w:rsidRDefault="00D65ADB" w:rsidP="000E1D0C">
            <w:pPr>
              <w:spacing w:before="20" w:after="20"/>
              <w:jc w:val="center"/>
              <w:rPr>
                <w:rFonts w:ascii="Arial Narrow" w:hAnsi="Arial Narrow"/>
                <w:sz w:val="14"/>
                <w:szCs w:val="14"/>
              </w:rPr>
            </w:pPr>
            <w:r w:rsidRPr="005825E4">
              <w:rPr>
                <w:rFonts w:ascii="Arial Narrow" w:hAnsi="Arial Narrow"/>
                <w:sz w:val="14"/>
                <w:szCs w:val="14"/>
              </w:rPr>
              <w:t>6</w:t>
            </w:r>
          </w:p>
        </w:tc>
        <w:tc>
          <w:tcPr>
            <w:tcW w:w="3160" w:type="dxa"/>
            <w:vAlign w:val="bottom"/>
            <w:hideMark/>
          </w:tcPr>
          <w:p w:rsidR="00D65ADB" w:rsidRPr="005825E4" w:rsidRDefault="00D65ADB" w:rsidP="000E1D0C">
            <w:pPr>
              <w:spacing w:before="20" w:after="20"/>
              <w:rPr>
                <w:rFonts w:ascii="Arial Narrow" w:hAnsi="Arial Narrow"/>
                <w:sz w:val="14"/>
                <w:szCs w:val="14"/>
                <w:vertAlign w:val="superscript"/>
              </w:rPr>
            </w:pPr>
            <w:r w:rsidRPr="005825E4">
              <w:rPr>
                <w:rFonts w:ascii="Arial Narrow" w:hAnsi="Arial Narrow"/>
                <w:sz w:val="14"/>
                <w:szCs w:val="14"/>
              </w:rPr>
              <w:t xml:space="preserve">Τόκοι </w:t>
            </w:r>
          </w:p>
        </w:tc>
        <w:tc>
          <w:tcPr>
            <w:tcW w:w="52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60</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1.770</w:t>
            </w:r>
          </w:p>
        </w:tc>
        <w:tc>
          <w:tcPr>
            <w:tcW w:w="60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2.240</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2.520</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2.600</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2.980</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3.295</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4.035</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4.110</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4.260</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4.380</w:t>
            </w:r>
          </w:p>
        </w:tc>
        <w:tc>
          <w:tcPr>
            <w:tcW w:w="540" w:type="dxa"/>
            <w:tcBorders>
              <w:top w:val="nil"/>
              <w:left w:val="nil"/>
              <w:bottom w:val="nil"/>
              <w:right w:val="single" w:sz="4" w:space="0" w:color="auto"/>
            </w:tcBorders>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4.510</w:t>
            </w:r>
          </w:p>
        </w:tc>
      </w:tr>
      <w:tr w:rsidR="00D65ADB" w:rsidTr="003C4CB4">
        <w:trPr>
          <w:trHeight w:val="170"/>
          <w:jc w:val="center"/>
        </w:trPr>
        <w:tc>
          <w:tcPr>
            <w:tcW w:w="240" w:type="dxa"/>
            <w:tcBorders>
              <w:top w:val="nil"/>
              <w:left w:val="single" w:sz="4" w:space="0" w:color="auto"/>
              <w:bottom w:val="nil"/>
              <w:right w:val="nil"/>
            </w:tcBorders>
            <w:vAlign w:val="center"/>
            <w:hideMark/>
          </w:tcPr>
          <w:p w:rsidR="00D65ADB" w:rsidRPr="005825E4" w:rsidRDefault="00D65ADB" w:rsidP="000E1D0C">
            <w:pPr>
              <w:spacing w:before="20" w:after="20"/>
              <w:jc w:val="center"/>
              <w:rPr>
                <w:rFonts w:ascii="Arial Narrow" w:hAnsi="Arial Narrow"/>
                <w:sz w:val="14"/>
                <w:szCs w:val="14"/>
              </w:rPr>
            </w:pPr>
            <w:r w:rsidRPr="005825E4">
              <w:rPr>
                <w:rFonts w:ascii="Arial Narrow" w:hAnsi="Arial Narrow"/>
                <w:sz w:val="14"/>
                <w:szCs w:val="14"/>
              </w:rPr>
              <w:t>7</w:t>
            </w:r>
          </w:p>
        </w:tc>
        <w:tc>
          <w:tcPr>
            <w:tcW w:w="3160" w:type="dxa"/>
            <w:vAlign w:val="bottom"/>
            <w:hideMark/>
          </w:tcPr>
          <w:p w:rsidR="00D65ADB" w:rsidRPr="005825E4" w:rsidRDefault="00D65ADB" w:rsidP="000E1D0C">
            <w:pPr>
              <w:spacing w:before="20" w:after="20"/>
              <w:rPr>
                <w:rFonts w:ascii="Arial Narrow" w:hAnsi="Arial Narrow"/>
                <w:sz w:val="14"/>
                <w:szCs w:val="14"/>
              </w:rPr>
            </w:pPr>
            <w:r>
              <w:rPr>
                <w:rFonts w:ascii="Arial Narrow" w:hAnsi="Arial Narrow"/>
                <w:sz w:val="14"/>
                <w:szCs w:val="14"/>
              </w:rPr>
              <w:t>Λοιπές δ</w:t>
            </w:r>
            <w:r w:rsidRPr="005825E4">
              <w:rPr>
                <w:rFonts w:ascii="Arial Narrow" w:hAnsi="Arial Narrow"/>
                <w:sz w:val="14"/>
                <w:szCs w:val="14"/>
              </w:rPr>
              <w:t>απάνες</w:t>
            </w:r>
          </w:p>
        </w:tc>
        <w:tc>
          <w:tcPr>
            <w:tcW w:w="52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25</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37</w:t>
            </w:r>
          </w:p>
        </w:tc>
        <w:tc>
          <w:tcPr>
            <w:tcW w:w="60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37</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47</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54</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55</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56</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67</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67</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68</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78</w:t>
            </w:r>
          </w:p>
        </w:tc>
        <w:tc>
          <w:tcPr>
            <w:tcW w:w="540" w:type="dxa"/>
            <w:tcBorders>
              <w:top w:val="nil"/>
              <w:left w:val="nil"/>
              <w:bottom w:val="nil"/>
              <w:right w:val="single" w:sz="4" w:space="0" w:color="auto"/>
            </w:tcBorders>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91</w:t>
            </w:r>
          </w:p>
        </w:tc>
      </w:tr>
      <w:tr w:rsidR="00D65ADB" w:rsidTr="003C4CB4">
        <w:trPr>
          <w:trHeight w:val="170"/>
          <w:jc w:val="center"/>
        </w:trPr>
        <w:tc>
          <w:tcPr>
            <w:tcW w:w="240" w:type="dxa"/>
            <w:tcBorders>
              <w:top w:val="nil"/>
              <w:left w:val="single" w:sz="4" w:space="0" w:color="auto"/>
              <w:bottom w:val="nil"/>
              <w:right w:val="nil"/>
            </w:tcBorders>
            <w:vAlign w:val="center"/>
            <w:hideMark/>
          </w:tcPr>
          <w:p w:rsidR="00D65ADB" w:rsidRPr="005825E4" w:rsidRDefault="00D65ADB" w:rsidP="000E1D0C">
            <w:pPr>
              <w:spacing w:before="20" w:after="20"/>
              <w:jc w:val="center"/>
              <w:rPr>
                <w:rFonts w:ascii="Arial Narrow" w:hAnsi="Arial Narrow"/>
                <w:sz w:val="14"/>
                <w:szCs w:val="14"/>
              </w:rPr>
            </w:pPr>
            <w:r w:rsidRPr="005825E4">
              <w:rPr>
                <w:rFonts w:ascii="Arial Narrow" w:hAnsi="Arial Narrow"/>
                <w:sz w:val="14"/>
                <w:szCs w:val="14"/>
              </w:rPr>
              <w:t>8</w:t>
            </w:r>
          </w:p>
        </w:tc>
        <w:tc>
          <w:tcPr>
            <w:tcW w:w="3160" w:type="dxa"/>
            <w:vAlign w:val="bottom"/>
            <w:hideMark/>
          </w:tcPr>
          <w:p w:rsidR="00D65ADB" w:rsidRPr="005825E4" w:rsidRDefault="00D65ADB" w:rsidP="000E1D0C">
            <w:pPr>
              <w:spacing w:before="20" w:after="20"/>
              <w:rPr>
                <w:rFonts w:ascii="Arial Narrow" w:hAnsi="Arial Narrow"/>
                <w:sz w:val="14"/>
                <w:szCs w:val="14"/>
                <w:vertAlign w:val="superscript"/>
              </w:rPr>
            </w:pPr>
            <w:r w:rsidRPr="005825E4">
              <w:rPr>
                <w:rFonts w:ascii="Arial Narrow" w:hAnsi="Arial Narrow"/>
                <w:sz w:val="14"/>
                <w:szCs w:val="14"/>
              </w:rPr>
              <w:t>Πιστώσεις υπό κατανομή</w:t>
            </w:r>
            <w:r>
              <w:rPr>
                <w:rFonts w:ascii="Arial Narrow" w:hAnsi="Arial Narrow"/>
                <w:sz w:val="14"/>
                <w:szCs w:val="14"/>
                <w:vertAlign w:val="superscript"/>
              </w:rPr>
              <w:t xml:space="preserve">1, 2 </w:t>
            </w:r>
          </w:p>
        </w:tc>
        <w:tc>
          <w:tcPr>
            <w:tcW w:w="52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1.359</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2.953</w:t>
            </w:r>
          </w:p>
        </w:tc>
        <w:tc>
          <w:tcPr>
            <w:tcW w:w="60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4.039</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4.710</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5.588</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6.522</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7.530</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8.514</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9.637</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10.955</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12.309</w:t>
            </w:r>
          </w:p>
        </w:tc>
        <w:tc>
          <w:tcPr>
            <w:tcW w:w="540" w:type="dxa"/>
            <w:tcBorders>
              <w:top w:val="nil"/>
              <w:left w:val="nil"/>
              <w:bottom w:val="nil"/>
              <w:right w:val="single" w:sz="4" w:space="0" w:color="auto"/>
            </w:tcBorders>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14.094</w:t>
            </w:r>
          </w:p>
        </w:tc>
      </w:tr>
      <w:tr w:rsidR="00D65ADB" w:rsidTr="003C4CB4">
        <w:trPr>
          <w:trHeight w:val="170"/>
          <w:jc w:val="center"/>
        </w:trPr>
        <w:tc>
          <w:tcPr>
            <w:tcW w:w="240" w:type="dxa"/>
            <w:tcBorders>
              <w:top w:val="nil"/>
              <w:left w:val="single" w:sz="4" w:space="0" w:color="auto"/>
              <w:bottom w:val="nil"/>
              <w:right w:val="nil"/>
            </w:tcBorders>
            <w:vAlign w:val="center"/>
            <w:hideMark/>
          </w:tcPr>
          <w:p w:rsidR="00D65ADB" w:rsidRPr="005825E4" w:rsidRDefault="00D65ADB" w:rsidP="000E1D0C">
            <w:pPr>
              <w:spacing w:before="20" w:after="20"/>
              <w:jc w:val="center"/>
              <w:rPr>
                <w:rFonts w:ascii="Arial Narrow" w:hAnsi="Arial Narrow"/>
                <w:sz w:val="14"/>
                <w:szCs w:val="14"/>
              </w:rPr>
            </w:pPr>
            <w:r w:rsidRPr="005825E4">
              <w:rPr>
                <w:rFonts w:ascii="Arial Narrow" w:hAnsi="Arial Narrow"/>
                <w:sz w:val="14"/>
                <w:szCs w:val="14"/>
              </w:rPr>
              <w:t>9</w:t>
            </w:r>
          </w:p>
        </w:tc>
        <w:tc>
          <w:tcPr>
            <w:tcW w:w="3160" w:type="dxa"/>
            <w:vAlign w:val="bottom"/>
            <w:hideMark/>
          </w:tcPr>
          <w:p w:rsidR="00D65ADB" w:rsidRPr="005825E4" w:rsidRDefault="00D65ADB" w:rsidP="000E1D0C">
            <w:pPr>
              <w:spacing w:before="20" w:after="20"/>
              <w:rPr>
                <w:rFonts w:ascii="Arial Narrow" w:hAnsi="Arial Narrow"/>
                <w:sz w:val="14"/>
                <w:szCs w:val="14"/>
              </w:rPr>
            </w:pPr>
            <w:r>
              <w:rPr>
                <w:rFonts w:ascii="Arial Narrow" w:hAnsi="Arial Narrow"/>
                <w:sz w:val="14"/>
                <w:szCs w:val="14"/>
              </w:rPr>
              <w:t>Αγορές παγίων</w:t>
            </w:r>
            <w:r w:rsidRPr="005825E4">
              <w:rPr>
                <w:rFonts w:ascii="Arial Narrow" w:hAnsi="Arial Narrow"/>
                <w:sz w:val="14"/>
                <w:szCs w:val="14"/>
              </w:rPr>
              <w:t xml:space="preserve"> περιουσιακ</w:t>
            </w:r>
            <w:r>
              <w:rPr>
                <w:rFonts w:ascii="Arial Narrow" w:hAnsi="Arial Narrow"/>
                <w:sz w:val="14"/>
                <w:szCs w:val="14"/>
              </w:rPr>
              <w:t>ών στοιχείων</w:t>
            </w:r>
          </w:p>
        </w:tc>
        <w:tc>
          <w:tcPr>
            <w:tcW w:w="52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0</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70</w:t>
            </w:r>
          </w:p>
        </w:tc>
        <w:tc>
          <w:tcPr>
            <w:tcW w:w="60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358</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422</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557</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656</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979</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1.146</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1.270</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1.612</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2.073</w:t>
            </w:r>
          </w:p>
        </w:tc>
        <w:tc>
          <w:tcPr>
            <w:tcW w:w="540" w:type="dxa"/>
            <w:tcBorders>
              <w:top w:val="nil"/>
              <w:left w:val="nil"/>
              <w:bottom w:val="nil"/>
              <w:right w:val="single" w:sz="4" w:space="0" w:color="auto"/>
            </w:tcBorders>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2.646</w:t>
            </w:r>
          </w:p>
        </w:tc>
      </w:tr>
      <w:tr w:rsidR="00D65ADB" w:rsidTr="003C4CB4">
        <w:trPr>
          <w:trHeight w:val="170"/>
          <w:jc w:val="center"/>
        </w:trPr>
        <w:tc>
          <w:tcPr>
            <w:tcW w:w="240" w:type="dxa"/>
            <w:tcBorders>
              <w:top w:val="nil"/>
              <w:left w:val="single" w:sz="4" w:space="0" w:color="auto"/>
              <w:bottom w:val="nil"/>
              <w:right w:val="nil"/>
            </w:tcBorders>
            <w:vAlign w:val="center"/>
            <w:hideMark/>
          </w:tcPr>
          <w:p w:rsidR="00D65ADB" w:rsidRPr="005825E4" w:rsidRDefault="00D65ADB" w:rsidP="000E1D0C">
            <w:pPr>
              <w:spacing w:before="20" w:after="20"/>
              <w:jc w:val="center"/>
              <w:rPr>
                <w:rFonts w:ascii="Arial Narrow" w:hAnsi="Arial Narrow"/>
                <w:sz w:val="14"/>
                <w:szCs w:val="14"/>
              </w:rPr>
            </w:pPr>
            <w:r w:rsidRPr="005825E4">
              <w:rPr>
                <w:rFonts w:ascii="Arial Narrow" w:hAnsi="Arial Narrow"/>
                <w:sz w:val="14"/>
                <w:szCs w:val="14"/>
              </w:rPr>
              <w:t>10</w:t>
            </w:r>
          </w:p>
        </w:tc>
        <w:tc>
          <w:tcPr>
            <w:tcW w:w="3160" w:type="dxa"/>
            <w:vAlign w:val="bottom"/>
            <w:hideMark/>
          </w:tcPr>
          <w:p w:rsidR="00D65ADB" w:rsidRPr="005825E4" w:rsidRDefault="00D65ADB" w:rsidP="000E1D0C">
            <w:pPr>
              <w:spacing w:before="20" w:after="20"/>
              <w:rPr>
                <w:rFonts w:ascii="Arial Narrow" w:hAnsi="Arial Narrow"/>
                <w:sz w:val="14"/>
                <w:szCs w:val="14"/>
              </w:rPr>
            </w:pPr>
            <w:r w:rsidRPr="005825E4">
              <w:rPr>
                <w:rFonts w:ascii="Arial Narrow" w:hAnsi="Arial Narrow"/>
                <w:sz w:val="14"/>
                <w:szCs w:val="14"/>
              </w:rPr>
              <w:t>Τιμαλφή</w:t>
            </w:r>
          </w:p>
        </w:tc>
        <w:tc>
          <w:tcPr>
            <w:tcW w:w="52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0</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0</w:t>
            </w:r>
          </w:p>
        </w:tc>
        <w:tc>
          <w:tcPr>
            <w:tcW w:w="60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0</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0</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0</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0</w:t>
            </w:r>
          </w:p>
        </w:tc>
        <w:tc>
          <w:tcPr>
            <w:tcW w:w="58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0</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0</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0</w:t>
            </w:r>
          </w:p>
        </w:tc>
        <w:tc>
          <w:tcPr>
            <w:tcW w:w="54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0</w:t>
            </w:r>
          </w:p>
        </w:tc>
        <w:tc>
          <w:tcPr>
            <w:tcW w:w="560" w:type="dxa"/>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0</w:t>
            </w:r>
          </w:p>
        </w:tc>
        <w:tc>
          <w:tcPr>
            <w:tcW w:w="540" w:type="dxa"/>
            <w:tcBorders>
              <w:top w:val="nil"/>
              <w:left w:val="nil"/>
              <w:bottom w:val="nil"/>
              <w:right w:val="single" w:sz="4" w:space="0" w:color="auto"/>
            </w:tcBorders>
            <w:vAlign w:val="bottom"/>
            <w:hideMark/>
          </w:tcPr>
          <w:p w:rsidR="00D65ADB" w:rsidRDefault="00D65ADB" w:rsidP="000E1D0C">
            <w:pPr>
              <w:spacing w:before="20" w:after="20"/>
              <w:jc w:val="right"/>
              <w:rPr>
                <w:rFonts w:ascii="Arial Narrow" w:hAnsi="Arial Narrow"/>
                <w:sz w:val="14"/>
                <w:szCs w:val="14"/>
              </w:rPr>
            </w:pPr>
            <w:r>
              <w:rPr>
                <w:rFonts w:ascii="Arial Narrow" w:hAnsi="Arial Narrow"/>
                <w:sz w:val="14"/>
                <w:szCs w:val="14"/>
              </w:rPr>
              <w:t>0</w:t>
            </w:r>
          </w:p>
        </w:tc>
      </w:tr>
      <w:tr w:rsidR="00D65ADB" w:rsidTr="003C4CB4">
        <w:trPr>
          <w:trHeight w:val="170"/>
          <w:jc w:val="center"/>
        </w:trPr>
        <w:tc>
          <w:tcPr>
            <w:tcW w:w="240" w:type="dxa"/>
            <w:tcBorders>
              <w:top w:val="nil"/>
              <w:left w:val="single" w:sz="4" w:space="0" w:color="auto"/>
              <w:bottom w:val="nil"/>
              <w:right w:val="nil"/>
            </w:tcBorders>
            <w:shd w:val="clear" w:color="auto" w:fill="BFBFBF" w:themeFill="background1" w:themeFillShade="BF"/>
            <w:vAlign w:val="center"/>
            <w:hideMark/>
          </w:tcPr>
          <w:p w:rsidR="00D65ADB" w:rsidRPr="005825E4" w:rsidRDefault="00D65ADB" w:rsidP="000E1D0C">
            <w:pPr>
              <w:spacing w:before="20" w:after="20"/>
              <w:jc w:val="center"/>
              <w:rPr>
                <w:rFonts w:ascii="Arial Narrow" w:hAnsi="Arial Narrow"/>
                <w:b/>
                <w:bCs/>
                <w:sz w:val="14"/>
                <w:szCs w:val="14"/>
              </w:rPr>
            </w:pPr>
            <w:r w:rsidRPr="005825E4">
              <w:rPr>
                <w:rFonts w:ascii="Arial Narrow" w:hAnsi="Arial Narrow"/>
                <w:b/>
                <w:bCs/>
                <w:sz w:val="14"/>
                <w:szCs w:val="14"/>
              </w:rPr>
              <w:t>III.</w:t>
            </w:r>
          </w:p>
        </w:tc>
        <w:tc>
          <w:tcPr>
            <w:tcW w:w="3160" w:type="dxa"/>
            <w:shd w:val="clear" w:color="auto" w:fill="BFBFBF" w:themeFill="background1" w:themeFillShade="BF"/>
            <w:vAlign w:val="center"/>
            <w:hideMark/>
          </w:tcPr>
          <w:p w:rsidR="00D65ADB" w:rsidRPr="005825E4" w:rsidRDefault="00D65ADB" w:rsidP="000E1D0C">
            <w:pPr>
              <w:spacing w:before="20" w:after="20"/>
              <w:rPr>
                <w:rFonts w:ascii="Arial Narrow" w:hAnsi="Arial Narrow"/>
                <w:b/>
                <w:bCs/>
                <w:sz w:val="14"/>
                <w:szCs w:val="14"/>
              </w:rPr>
            </w:pPr>
            <w:r w:rsidRPr="005825E4">
              <w:rPr>
                <w:rFonts w:ascii="Arial Narrow" w:hAnsi="Arial Narrow"/>
                <w:b/>
                <w:bCs/>
                <w:sz w:val="14"/>
                <w:szCs w:val="14"/>
              </w:rPr>
              <w:t>Ταμειακό Ισοζύγιο Κρατικού Προϋπολογισμού (I-II)</w:t>
            </w:r>
          </w:p>
        </w:tc>
        <w:tc>
          <w:tcPr>
            <w:tcW w:w="520" w:type="dxa"/>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-1.091</w:t>
            </w:r>
          </w:p>
        </w:tc>
        <w:tc>
          <w:tcPr>
            <w:tcW w:w="580" w:type="dxa"/>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-4.507</w:t>
            </w:r>
          </w:p>
        </w:tc>
        <w:tc>
          <w:tcPr>
            <w:tcW w:w="600" w:type="dxa"/>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-6.605</w:t>
            </w:r>
          </w:p>
        </w:tc>
        <w:tc>
          <w:tcPr>
            <w:tcW w:w="580" w:type="dxa"/>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-7.768</w:t>
            </w:r>
          </w:p>
        </w:tc>
        <w:tc>
          <w:tcPr>
            <w:tcW w:w="560" w:type="dxa"/>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-9.769</w:t>
            </w:r>
          </w:p>
        </w:tc>
        <w:tc>
          <w:tcPr>
            <w:tcW w:w="580" w:type="dxa"/>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-11.164</w:t>
            </w:r>
          </w:p>
        </w:tc>
        <w:tc>
          <w:tcPr>
            <w:tcW w:w="580" w:type="dxa"/>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-10.519</w:t>
            </w:r>
          </w:p>
        </w:tc>
        <w:tc>
          <w:tcPr>
            <w:tcW w:w="540" w:type="dxa"/>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-11.428</w:t>
            </w:r>
          </w:p>
        </w:tc>
        <w:tc>
          <w:tcPr>
            <w:tcW w:w="560" w:type="dxa"/>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-11.865</w:t>
            </w:r>
          </w:p>
        </w:tc>
        <w:tc>
          <w:tcPr>
            <w:tcW w:w="540" w:type="dxa"/>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-12.244</w:t>
            </w:r>
          </w:p>
        </w:tc>
        <w:tc>
          <w:tcPr>
            <w:tcW w:w="560" w:type="dxa"/>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-13.685</w:t>
            </w:r>
          </w:p>
        </w:tc>
        <w:tc>
          <w:tcPr>
            <w:tcW w:w="540" w:type="dxa"/>
            <w:tcBorders>
              <w:top w:val="nil"/>
              <w:left w:val="nil"/>
              <w:bottom w:val="nil"/>
              <w:right w:val="single" w:sz="4" w:space="0" w:color="auto"/>
            </w:tcBorders>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-14.841</w:t>
            </w:r>
          </w:p>
        </w:tc>
      </w:tr>
      <w:tr w:rsidR="00D65ADB" w:rsidTr="003C4CB4">
        <w:trPr>
          <w:trHeight w:val="170"/>
          <w:jc w:val="center"/>
        </w:trPr>
        <w:tc>
          <w:tcPr>
            <w:tcW w:w="240" w:type="dxa"/>
            <w:tcBorders>
              <w:top w:val="nil"/>
              <w:left w:val="single" w:sz="4" w:space="0" w:color="auto"/>
              <w:right w:val="nil"/>
            </w:tcBorders>
            <w:vAlign w:val="bottom"/>
            <w:hideMark/>
          </w:tcPr>
          <w:p w:rsidR="00D65ADB" w:rsidRPr="005825E4" w:rsidRDefault="00D65ADB" w:rsidP="000E1D0C">
            <w:pPr>
              <w:spacing w:before="20" w:after="20"/>
              <w:rPr>
                <w:rFonts w:ascii="Arial Narrow" w:hAnsi="Arial Narrow"/>
                <w:sz w:val="14"/>
                <w:szCs w:val="14"/>
              </w:rPr>
            </w:pPr>
          </w:p>
        </w:tc>
        <w:tc>
          <w:tcPr>
            <w:tcW w:w="3160" w:type="dxa"/>
            <w:vAlign w:val="bottom"/>
            <w:hideMark/>
          </w:tcPr>
          <w:p w:rsidR="00D65ADB" w:rsidRPr="005825E4" w:rsidRDefault="00D65ADB" w:rsidP="000E1D0C">
            <w:pPr>
              <w:spacing w:before="20" w:after="20"/>
              <w:rPr>
                <w:rFonts w:ascii="Arial Narrow" w:hAnsi="Arial Narrow"/>
                <w:sz w:val="14"/>
                <w:szCs w:val="14"/>
              </w:rPr>
            </w:pPr>
          </w:p>
        </w:tc>
        <w:tc>
          <w:tcPr>
            <w:tcW w:w="520" w:type="dxa"/>
            <w:vAlign w:val="bottom"/>
            <w:hideMark/>
          </w:tcPr>
          <w:p w:rsidR="00D65ADB" w:rsidRDefault="00D65ADB" w:rsidP="000E1D0C">
            <w:pPr>
              <w:spacing w:before="20" w:after="20"/>
              <w:rPr>
                <w:rFonts w:ascii="Arial Narrow" w:hAnsi="Arial Narrow"/>
                <w:sz w:val="14"/>
                <w:szCs w:val="14"/>
              </w:rPr>
            </w:pPr>
          </w:p>
        </w:tc>
        <w:tc>
          <w:tcPr>
            <w:tcW w:w="580" w:type="dxa"/>
            <w:vAlign w:val="bottom"/>
            <w:hideMark/>
          </w:tcPr>
          <w:p w:rsidR="00D65ADB" w:rsidRDefault="00D65ADB" w:rsidP="000E1D0C">
            <w:pPr>
              <w:spacing w:before="20" w:after="20"/>
              <w:rPr>
                <w:rFonts w:ascii="Arial Narrow" w:hAnsi="Arial Narrow"/>
                <w:sz w:val="14"/>
                <w:szCs w:val="14"/>
              </w:rPr>
            </w:pPr>
          </w:p>
        </w:tc>
        <w:tc>
          <w:tcPr>
            <w:tcW w:w="600" w:type="dxa"/>
            <w:vAlign w:val="bottom"/>
            <w:hideMark/>
          </w:tcPr>
          <w:p w:rsidR="00D65ADB" w:rsidRDefault="00D65ADB" w:rsidP="000E1D0C">
            <w:pPr>
              <w:spacing w:before="20" w:after="20"/>
              <w:rPr>
                <w:rFonts w:ascii="Arial Narrow" w:hAnsi="Arial Narrow"/>
                <w:sz w:val="14"/>
                <w:szCs w:val="14"/>
              </w:rPr>
            </w:pPr>
          </w:p>
        </w:tc>
        <w:tc>
          <w:tcPr>
            <w:tcW w:w="580" w:type="dxa"/>
            <w:vAlign w:val="bottom"/>
            <w:hideMark/>
          </w:tcPr>
          <w:p w:rsidR="00D65ADB" w:rsidRDefault="00D65ADB" w:rsidP="000E1D0C">
            <w:pPr>
              <w:spacing w:before="20" w:after="20"/>
              <w:rPr>
                <w:rFonts w:ascii="Arial Narrow" w:hAnsi="Arial Narrow"/>
                <w:sz w:val="14"/>
                <w:szCs w:val="14"/>
              </w:rPr>
            </w:pPr>
          </w:p>
        </w:tc>
        <w:tc>
          <w:tcPr>
            <w:tcW w:w="560" w:type="dxa"/>
            <w:vAlign w:val="bottom"/>
            <w:hideMark/>
          </w:tcPr>
          <w:p w:rsidR="00D65ADB" w:rsidRDefault="00D65ADB" w:rsidP="000E1D0C">
            <w:pPr>
              <w:spacing w:before="20" w:after="20"/>
              <w:rPr>
                <w:rFonts w:ascii="Arial Narrow" w:hAnsi="Arial Narrow"/>
                <w:sz w:val="14"/>
                <w:szCs w:val="14"/>
              </w:rPr>
            </w:pPr>
          </w:p>
        </w:tc>
        <w:tc>
          <w:tcPr>
            <w:tcW w:w="580" w:type="dxa"/>
            <w:vAlign w:val="bottom"/>
            <w:hideMark/>
          </w:tcPr>
          <w:p w:rsidR="00D65ADB" w:rsidRDefault="00D65ADB" w:rsidP="000E1D0C">
            <w:pPr>
              <w:spacing w:before="20" w:after="20"/>
              <w:rPr>
                <w:rFonts w:ascii="Arial Narrow" w:hAnsi="Arial Narrow"/>
                <w:sz w:val="14"/>
                <w:szCs w:val="14"/>
              </w:rPr>
            </w:pPr>
          </w:p>
        </w:tc>
        <w:tc>
          <w:tcPr>
            <w:tcW w:w="580" w:type="dxa"/>
            <w:vAlign w:val="bottom"/>
            <w:hideMark/>
          </w:tcPr>
          <w:p w:rsidR="00D65ADB" w:rsidRDefault="00D65ADB" w:rsidP="000E1D0C">
            <w:pPr>
              <w:spacing w:before="20" w:after="20"/>
              <w:rPr>
                <w:rFonts w:ascii="Arial Narrow" w:hAnsi="Arial Narrow"/>
                <w:sz w:val="14"/>
                <w:szCs w:val="14"/>
              </w:rPr>
            </w:pPr>
          </w:p>
        </w:tc>
        <w:tc>
          <w:tcPr>
            <w:tcW w:w="540" w:type="dxa"/>
            <w:vAlign w:val="bottom"/>
            <w:hideMark/>
          </w:tcPr>
          <w:p w:rsidR="00D65ADB" w:rsidRDefault="00D65ADB" w:rsidP="000E1D0C">
            <w:pPr>
              <w:spacing w:before="20" w:after="20"/>
              <w:rPr>
                <w:rFonts w:ascii="Arial Narrow" w:hAnsi="Arial Narrow"/>
                <w:sz w:val="14"/>
                <w:szCs w:val="14"/>
              </w:rPr>
            </w:pPr>
          </w:p>
        </w:tc>
        <w:tc>
          <w:tcPr>
            <w:tcW w:w="560" w:type="dxa"/>
            <w:vAlign w:val="bottom"/>
            <w:hideMark/>
          </w:tcPr>
          <w:p w:rsidR="00D65ADB" w:rsidRDefault="00D65ADB" w:rsidP="000E1D0C">
            <w:pPr>
              <w:spacing w:before="20" w:after="20"/>
              <w:rPr>
                <w:rFonts w:ascii="Arial Narrow" w:hAnsi="Arial Narrow"/>
                <w:sz w:val="14"/>
                <w:szCs w:val="14"/>
              </w:rPr>
            </w:pPr>
          </w:p>
        </w:tc>
        <w:tc>
          <w:tcPr>
            <w:tcW w:w="540" w:type="dxa"/>
            <w:vAlign w:val="bottom"/>
            <w:hideMark/>
          </w:tcPr>
          <w:p w:rsidR="00D65ADB" w:rsidRDefault="00D65ADB" w:rsidP="000E1D0C">
            <w:pPr>
              <w:spacing w:before="20" w:after="20"/>
              <w:rPr>
                <w:rFonts w:ascii="Arial Narrow" w:hAnsi="Arial Narrow"/>
                <w:sz w:val="14"/>
                <w:szCs w:val="14"/>
              </w:rPr>
            </w:pPr>
          </w:p>
        </w:tc>
        <w:tc>
          <w:tcPr>
            <w:tcW w:w="560" w:type="dxa"/>
            <w:vAlign w:val="bottom"/>
            <w:hideMark/>
          </w:tcPr>
          <w:p w:rsidR="00D65ADB" w:rsidRDefault="00D65ADB" w:rsidP="000E1D0C">
            <w:pPr>
              <w:spacing w:before="20" w:after="20"/>
              <w:rPr>
                <w:rFonts w:ascii="Arial Narrow" w:hAnsi="Arial Narrow"/>
                <w:sz w:val="14"/>
                <w:szCs w:val="14"/>
              </w:rPr>
            </w:pPr>
          </w:p>
        </w:tc>
        <w:tc>
          <w:tcPr>
            <w:tcW w:w="540" w:type="dxa"/>
            <w:tcBorders>
              <w:top w:val="nil"/>
              <w:left w:val="nil"/>
              <w:right w:val="single" w:sz="4" w:space="0" w:color="auto"/>
            </w:tcBorders>
            <w:vAlign w:val="bottom"/>
            <w:hideMark/>
          </w:tcPr>
          <w:p w:rsidR="00D65ADB" w:rsidRDefault="00D65ADB" w:rsidP="000E1D0C">
            <w:pPr>
              <w:spacing w:before="20" w:after="20"/>
              <w:rPr>
                <w:rFonts w:ascii="Arial Narrow" w:hAnsi="Arial Narrow"/>
                <w:sz w:val="14"/>
                <w:szCs w:val="14"/>
              </w:rPr>
            </w:pPr>
          </w:p>
        </w:tc>
      </w:tr>
      <w:tr w:rsidR="00D65ADB" w:rsidTr="003C4CB4">
        <w:trPr>
          <w:trHeight w:val="170"/>
          <w:jc w:val="center"/>
        </w:trPr>
        <w:tc>
          <w:tcPr>
            <w:tcW w:w="240" w:type="dxa"/>
            <w:tcBorders>
              <w:top w:val="nil"/>
              <w:left w:val="single" w:sz="4" w:space="0" w:color="auto"/>
              <w:bottom w:val="single" w:sz="4" w:space="0" w:color="auto"/>
              <w:right w:val="nil"/>
            </w:tcBorders>
            <w:shd w:val="clear" w:color="auto" w:fill="BFBFBF" w:themeFill="background1" w:themeFillShade="BF"/>
            <w:hideMark/>
          </w:tcPr>
          <w:p w:rsidR="00D65ADB" w:rsidRPr="005825E4" w:rsidRDefault="00D65ADB" w:rsidP="000E1D0C">
            <w:pPr>
              <w:spacing w:before="20" w:after="20"/>
              <w:jc w:val="center"/>
              <w:rPr>
                <w:rFonts w:ascii="Arial Narrow" w:hAnsi="Arial Narrow"/>
                <w:b/>
                <w:bCs/>
                <w:sz w:val="14"/>
                <w:szCs w:val="14"/>
              </w:rPr>
            </w:pPr>
            <w:r w:rsidRPr="005825E4">
              <w:rPr>
                <w:rFonts w:ascii="Arial Narrow" w:hAnsi="Arial Narrow"/>
                <w:b/>
                <w:bCs/>
                <w:sz w:val="14"/>
                <w:szCs w:val="14"/>
              </w:rPr>
              <w:t>IV.</w:t>
            </w:r>
          </w:p>
        </w:tc>
        <w:tc>
          <w:tcPr>
            <w:tcW w:w="3160" w:type="dxa"/>
            <w:tcBorders>
              <w:bottom w:val="single" w:sz="4" w:space="0" w:color="auto"/>
            </w:tcBorders>
            <w:shd w:val="clear" w:color="auto" w:fill="BFBFBF" w:themeFill="background1" w:themeFillShade="BF"/>
            <w:hideMark/>
          </w:tcPr>
          <w:p w:rsidR="00D65ADB" w:rsidRDefault="00D65ADB" w:rsidP="000E1D0C">
            <w:pPr>
              <w:spacing w:before="20" w:after="20"/>
              <w:rPr>
                <w:rFonts w:ascii="Arial Narrow" w:hAnsi="Arial Narrow"/>
                <w:b/>
                <w:bCs/>
                <w:sz w:val="14"/>
                <w:szCs w:val="14"/>
              </w:rPr>
            </w:pPr>
            <w:r w:rsidRPr="005825E4">
              <w:rPr>
                <w:rFonts w:ascii="Arial Narrow" w:hAnsi="Arial Narrow"/>
                <w:b/>
                <w:bCs/>
                <w:sz w:val="14"/>
                <w:szCs w:val="14"/>
              </w:rPr>
              <w:t>Ταμειακό Πρωτογενές αποτέλεσμα Κρατικού</w:t>
            </w:r>
          </w:p>
          <w:p w:rsidR="00D65ADB" w:rsidRPr="005825E4" w:rsidRDefault="00D65ADB" w:rsidP="000E1D0C">
            <w:pPr>
              <w:spacing w:before="20" w:after="20"/>
              <w:rPr>
                <w:rFonts w:ascii="Arial Narrow" w:hAnsi="Arial Narrow"/>
                <w:b/>
                <w:bCs/>
                <w:sz w:val="14"/>
                <w:szCs w:val="14"/>
              </w:rPr>
            </w:pPr>
            <w:r w:rsidRPr="005825E4">
              <w:rPr>
                <w:rFonts w:ascii="Arial Narrow" w:hAnsi="Arial Narrow"/>
                <w:b/>
                <w:bCs/>
                <w:sz w:val="14"/>
                <w:szCs w:val="14"/>
              </w:rPr>
              <w:t>Προϋπολογισμού (IIΙ + II.6 - I.5α)</w:t>
            </w:r>
          </w:p>
        </w:tc>
        <w:tc>
          <w:tcPr>
            <w:tcW w:w="520" w:type="dxa"/>
            <w:tcBorders>
              <w:bottom w:val="single" w:sz="4" w:space="0" w:color="auto"/>
            </w:tcBorders>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-1.031</w:t>
            </w:r>
          </w:p>
        </w:tc>
        <w:tc>
          <w:tcPr>
            <w:tcW w:w="580" w:type="dxa"/>
            <w:tcBorders>
              <w:bottom w:val="single" w:sz="4" w:space="0" w:color="auto"/>
            </w:tcBorders>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-2.737</w:t>
            </w:r>
          </w:p>
        </w:tc>
        <w:tc>
          <w:tcPr>
            <w:tcW w:w="600" w:type="dxa"/>
            <w:tcBorders>
              <w:bottom w:val="single" w:sz="4" w:space="0" w:color="auto"/>
            </w:tcBorders>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-4.365</w:t>
            </w:r>
          </w:p>
        </w:tc>
        <w:tc>
          <w:tcPr>
            <w:tcW w:w="580" w:type="dxa"/>
            <w:tcBorders>
              <w:bottom w:val="single" w:sz="4" w:space="0" w:color="auto"/>
            </w:tcBorders>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-5.248</w:t>
            </w:r>
          </w:p>
        </w:tc>
        <w:tc>
          <w:tcPr>
            <w:tcW w:w="560" w:type="dxa"/>
            <w:tcBorders>
              <w:bottom w:val="single" w:sz="4" w:space="0" w:color="auto"/>
            </w:tcBorders>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-7.169</w:t>
            </w:r>
          </w:p>
        </w:tc>
        <w:tc>
          <w:tcPr>
            <w:tcW w:w="580" w:type="dxa"/>
            <w:tcBorders>
              <w:bottom w:val="single" w:sz="4" w:space="0" w:color="auto"/>
            </w:tcBorders>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-8.184</w:t>
            </w:r>
          </w:p>
        </w:tc>
        <w:tc>
          <w:tcPr>
            <w:tcW w:w="580" w:type="dxa"/>
            <w:tcBorders>
              <w:bottom w:val="single" w:sz="4" w:space="0" w:color="auto"/>
            </w:tcBorders>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-7.224</w:t>
            </w:r>
          </w:p>
        </w:tc>
        <w:tc>
          <w:tcPr>
            <w:tcW w:w="540" w:type="dxa"/>
            <w:tcBorders>
              <w:bottom w:val="single" w:sz="4" w:space="0" w:color="auto"/>
            </w:tcBorders>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-7.393</w:t>
            </w:r>
          </w:p>
        </w:tc>
        <w:tc>
          <w:tcPr>
            <w:tcW w:w="560" w:type="dxa"/>
            <w:tcBorders>
              <w:bottom w:val="single" w:sz="4" w:space="0" w:color="auto"/>
            </w:tcBorders>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-7.755</w:t>
            </w:r>
          </w:p>
        </w:tc>
        <w:tc>
          <w:tcPr>
            <w:tcW w:w="540" w:type="dxa"/>
            <w:tcBorders>
              <w:bottom w:val="single" w:sz="4" w:space="0" w:color="auto"/>
            </w:tcBorders>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-7.984</w:t>
            </w:r>
          </w:p>
        </w:tc>
        <w:tc>
          <w:tcPr>
            <w:tcW w:w="560" w:type="dxa"/>
            <w:tcBorders>
              <w:bottom w:val="single" w:sz="4" w:space="0" w:color="auto"/>
            </w:tcBorders>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-9.305</w:t>
            </w:r>
          </w:p>
        </w:tc>
        <w:tc>
          <w:tcPr>
            <w:tcW w:w="540" w:type="dxa"/>
            <w:tcBorders>
              <w:top w:val="nil"/>
              <w:left w:val="nil"/>
              <w:bottom w:val="single" w:sz="4" w:space="0" w:color="auto"/>
              <w:right w:val="single" w:sz="4" w:space="0" w:color="auto"/>
            </w:tcBorders>
            <w:shd w:val="clear" w:color="auto" w:fill="BFBFBF" w:themeFill="background1" w:themeFillShade="BF"/>
            <w:vAlign w:val="center"/>
            <w:hideMark/>
          </w:tcPr>
          <w:p w:rsidR="00D65ADB" w:rsidRDefault="00D65ADB" w:rsidP="000E1D0C">
            <w:pPr>
              <w:spacing w:before="20" w:after="20"/>
              <w:jc w:val="right"/>
              <w:rPr>
                <w:rFonts w:ascii="Arial Narrow" w:hAnsi="Arial Narrow"/>
                <w:b/>
                <w:bCs/>
                <w:sz w:val="14"/>
                <w:szCs w:val="14"/>
              </w:rPr>
            </w:pPr>
            <w:r>
              <w:rPr>
                <w:rFonts w:ascii="Arial Narrow" w:hAnsi="Arial Narrow"/>
                <w:b/>
                <w:bCs/>
                <w:sz w:val="14"/>
                <w:szCs w:val="14"/>
              </w:rPr>
              <w:t>-10.331</w:t>
            </w:r>
          </w:p>
        </w:tc>
      </w:tr>
    </w:tbl>
    <w:p w:rsidR="0081244A" w:rsidRPr="005825E4" w:rsidRDefault="0081244A" w:rsidP="0081244A">
      <w:pPr>
        <w:ind w:left="-426"/>
        <w:rPr>
          <w:rFonts w:ascii="Arial Narrow" w:hAnsi="Arial Narrow"/>
          <w:sz w:val="16"/>
          <w:szCs w:val="16"/>
        </w:rPr>
      </w:pPr>
      <w:r>
        <w:rPr>
          <w:rFonts w:ascii="Arial Narrow" w:hAnsi="Arial Narrow"/>
          <w:sz w:val="16"/>
          <w:szCs w:val="16"/>
        </w:rPr>
        <w:t>Πληροφοριακά στοιχεία:</w:t>
      </w:r>
    </w:p>
    <w:tbl>
      <w:tblPr>
        <w:tblW w:w="10140" w:type="dxa"/>
        <w:jc w:val="center"/>
        <w:tblBorders>
          <w:top w:val="single" w:sz="4" w:space="0" w:color="auto"/>
          <w:left w:val="single" w:sz="4" w:space="0" w:color="auto"/>
          <w:bottom w:val="single" w:sz="4" w:space="0" w:color="auto"/>
          <w:right w:val="single" w:sz="4" w:space="0" w:color="auto"/>
        </w:tblBorders>
        <w:shd w:val="clear" w:color="auto" w:fill="BFBFBF" w:themeFill="background1" w:themeFillShade="BF"/>
        <w:tblLayout w:type="fixed"/>
        <w:tblCellMar>
          <w:left w:w="28" w:type="dxa"/>
          <w:right w:w="28" w:type="dxa"/>
        </w:tblCellMar>
        <w:tblLook w:val="04A0"/>
      </w:tblPr>
      <w:tblGrid>
        <w:gridCol w:w="3400"/>
        <w:gridCol w:w="520"/>
        <w:gridCol w:w="580"/>
        <w:gridCol w:w="600"/>
        <w:gridCol w:w="580"/>
        <w:gridCol w:w="560"/>
        <w:gridCol w:w="580"/>
        <w:gridCol w:w="580"/>
        <w:gridCol w:w="540"/>
        <w:gridCol w:w="560"/>
        <w:gridCol w:w="540"/>
        <w:gridCol w:w="560"/>
        <w:gridCol w:w="540"/>
      </w:tblGrid>
      <w:tr w:rsidR="00D65ADB" w:rsidTr="003C4CB4">
        <w:trPr>
          <w:trHeight w:val="170"/>
          <w:jc w:val="center"/>
        </w:trPr>
        <w:tc>
          <w:tcPr>
            <w:tcW w:w="3400" w:type="dxa"/>
            <w:shd w:val="clear" w:color="auto" w:fill="BFBFBF" w:themeFill="background1" w:themeFillShade="BF"/>
            <w:vAlign w:val="center"/>
            <w:hideMark/>
          </w:tcPr>
          <w:p w:rsidR="00D65ADB" w:rsidRPr="005825E4" w:rsidRDefault="00D65ADB" w:rsidP="000E1D0C">
            <w:pPr>
              <w:spacing w:before="20" w:after="20"/>
              <w:rPr>
                <w:rFonts w:ascii="Arial Narrow" w:hAnsi="Arial Narrow"/>
                <w:b/>
                <w:bCs/>
                <w:sz w:val="14"/>
                <w:szCs w:val="14"/>
              </w:rPr>
            </w:pPr>
            <w:r>
              <w:rPr>
                <w:rFonts w:ascii="Arial Narrow" w:hAnsi="Arial Narrow"/>
                <w:b/>
                <w:bCs/>
                <w:sz w:val="14"/>
                <w:szCs w:val="14"/>
              </w:rPr>
              <w:t>Έσοδα από το Πρόγραμμα Δημοσίων Επενδύσεων (ΠΔΕ)</w:t>
            </w:r>
          </w:p>
        </w:tc>
        <w:tc>
          <w:tcPr>
            <w:tcW w:w="52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760</w:t>
            </w:r>
          </w:p>
        </w:tc>
        <w:tc>
          <w:tcPr>
            <w:tcW w:w="58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1.060</w:t>
            </w:r>
          </w:p>
        </w:tc>
        <w:tc>
          <w:tcPr>
            <w:tcW w:w="60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1.415</w:t>
            </w:r>
          </w:p>
        </w:tc>
        <w:tc>
          <w:tcPr>
            <w:tcW w:w="58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1.687</w:t>
            </w:r>
          </w:p>
        </w:tc>
        <w:tc>
          <w:tcPr>
            <w:tcW w:w="56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1.937</w:t>
            </w:r>
          </w:p>
        </w:tc>
        <w:tc>
          <w:tcPr>
            <w:tcW w:w="58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2.497</w:t>
            </w:r>
          </w:p>
        </w:tc>
        <w:tc>
          <w:tcPr>
            <w:tcW w:w="58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2.597</w:t>
            </w:r>
          </w:p>
        </w:tc>
        <w:tc>
          <w:tcPr>
            <w:tcW w:w="54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3.197</w:t>
            </w:r>
          </w:p>
        </w:tc>
        <w:tc>
          <w:tcPr>
            <w:tcW w:w="56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3.287</w:t>
            </w:r>
          </w:p>
        </w:tc>
        <w:tc>
          <w:tcPr>
            <w:tcW w:w="54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3.542</w:t>
            </w:r>
          </w:p>
        </w:tc>
        <w:tc>
          <w:tcPr>
            <w:tcW w:w="56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3.767</w:t>
            </w:r>
          </w:p>
        </w:tc>
        <w:tc>
          <w:tcPr>
            <w:tcW w:w="54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4.192</w:t>
            </w:r>
          </w:p>
        </w:tc>
      </w:tr>
      <w:tr w:rsidR="00D65ADB" w:rsidTr="003C4CB4">
        <w:trPr>
          <w:trHeight w:val="170"/>
          <w:jc w:val="center"/>
        </w:trPr>
        <w:tc>
          <w:tcPr>
            <w:tcW w:w="3400" w:type="dxa"/>
            <w:shd w:val="clear" w:color="auto" w:fill="BFBFBF" w:themeFill="background1" w:themeFillShade="BF"/>
            <w:vAlign w:val="center"/>
            <w:hideMark/>
          </w:tcPr>
          <w:p w:rsidR="00D65ADB" w:rsidRDefault="00D65ADB" w:rsidP="000E1D0C">
            <w:pPr>
              <w:spacing w:before="20" w:after="20"/>
              <w:rPr>
                <w:rFonts w:ascii="Arial Narrow" w:hAnsi="Arial Narrow"/>
                <w:b/>
                <w:bCs/>
                <w:sz w:val="14"/>
                <w:szCs w:val="14"/>
              </w:rPr>
            </w:pPr>
            <w:r>
              <w:rPr>
                <w:rFonts w:ascii="Arial Narrow" w:hAnsi="Arial Narrow"/>
                <w:b/>
                <w:bCs/>
                <w:sz w:val="14"/>
                <w:szCs w:val="14"/>
              </w:rPr>
              <w:t>Έσοδα από το Ταμείο Ανάκαμψης και Σταθερότητας</w:t>
            </w:r>
          </w:p>
        </w:tc>
        <w:tc>
          <w:tcPr>
            <w:tcW w:w="52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0</w:t>
            </w:r>
          </w:p>
        </w:tc>
        <w:tc>
          <w:tcPr>
            <w:tcW w:w="58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0</w:t>
            </w:r>
          </w:p>
        </w:tc>
        <w:tc>
          <w:tcPr>
            <w:tcW w:w="60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0</w:t>
            </w:r>
          </w:p>
        </w:tc>
        <w:tc>
          <w:tcPr>
            <w:tcW w:w="58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0</w:t>
            </w:r>
          </w:p>
        </w:tc>
        <w:tc>
          <w:tcPr>
            <w:tcW w:w="56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0</w:t>
            </w:r>
          </w:p>
        </w:tc>
        <w:tc>
          <w:tcPr>
            <w:tcW w:w="58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0</w:t>
            </w:r>
          </w:p>
        </w:tc>
        <w:tc>
          <w:tcPr>
            <w:tcW w:w="58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1.621</w:t>
            </w:r>
          </w:p>
        </w:tc>
        <w:tc>
          <w:tcPr>
            <w:tcW w:w="54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1.621</w:t>
            </w:r>
          </w:p>
        </w:tc>
        <w:tc>
          <w:tcPr>
            <w:tcW w:w="56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1.621</w:t>
            </w:r>
          </w:p>
        </w:tc>
        <w:tc>
          <w:tcPr>
            <w:tcW w:w="54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1.621</w:t>
            </w:r>
          </w:p>
        </w:tc>
        <w:tc>
          <w:tcPr>
            <w:tcW w:w="56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1.621</w:t>
            </w:r>
          </w:p>
        </w:tc>
        <w:tc>
          <w:tcPr>
            <w:tcW w:w="54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2.635</w:t>
            </w:r>
          </w:p>
        </w:tc>
      </w:tr>
      <w:tr w:rsidR="00D65ADB" w:rsidRPr="005825E4" w:rsidTr="003C4CB4">
        <w:trPr>
          <w:trHeight w:val="170"/>
          <w:jc w:val="center"/>
        </w:trPr>
        <w:tc>
          <w:tcPr>
            <w:tcW w:w="3400" w:type="dxa"/>
            <w:shd w:val="clear" w:color="auto" w:fill="BFBFBF" w:themeFill="background1" w:themeFillShade="BF"/>
            <w:vAlign w:val="center"/>
            <w:hideMark/>
          </w:tcPr>
          <w:p w:rsidR="00D65ADB" w:rsidRPr="005825E4" w:rsidRDefault="00D65ADB" w:rsidP="000E1D0C">
            <w:pPr>
              <w:spacing w:before="20" w:after="20"/>
              <w:rPr>
                <w:rFonts w:ascii="Arial Narrow" w:hAnsi="Arial Narrow"/>
                <w:b/>
                <w:sz w:val="14"/>
                <w:szCs w:val="14"/>
              </w:rPr>
            </w:pPr>
            <w:r>
              <w:rPr>
                <w:rFonts w:ascii="Arial Narrow" w:hAnsi="Arial Narrow"/>
                <w:b/>
                <w:sz w:val="14"/>
                <w:szCs w:val="14"/>
              </w:rPr>
              <w:t>Δαπάνες από το Πρόγραμμα Δημοσίων Επενδύσεων (ΠΔΕ)</w:t>
            </w:r>
          </w:p>
        </w:tc>
        <w:tc>
          <w:tcPr>
            <w:tcW w:w="52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330</w:t>
            </w:r>
          </w:p>
        </w:tc>
        <w:tc>
          <w:tcPr>
            <w:tcW w:w="58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590</w:t>
            </w:r>
          </w:p>
        </w:tc>
        <w:tc>
          <w:tcPr>
            <w:tcW w:w="60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895</w:t>
            </w:r>
          </w:p>
        </w:tc>
        <w:tc>
          <w:tcPr>
            <w:tcW w:w="58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1.295</w:t>
            </w:r>
          </w:p>
        </w:tc>
        <w:tc>
          <w:tcPr>
            <w:tcW w:w="56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1.740</w:t>
            </w:r>
          </w:p>
        </w:tc>
        <w:tc>
          <w:tcPr>
            <w:tcW w:w="58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2.200</w:t>
            </w:r>
          </w:p>
        </w:tc>
        <w:tc>
          <w:tcPr>
            <w:tcW w:w="58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2.795</w:t>
            </w:r>
          </w:p>
        </w:tc>
        <w:tc>
          <w:tcPr>
            <w:tcW w:w="54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3.345</w:t>
            </w:r>
          </w:p>
        </w:tc>
        <w:tc>
          <w:tcPr>
            <w:tcW w:w="56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4.035</w:t>
            </w:r>
          </w:p>
        </w:tc>
        <w:tc>
          <w:tcPr>
            <w:tcW w:w="54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4.830</w:t>
            </w:r>
          </w:p>
        </w:tc>
        <w:tc>
          <w:tcPr>
            <w:tcW w:w="56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5.710</w:t>
            </w:r>
          </w:p>
        </w:tc>
        <w:tc>
          <w:tcPr>
            <w:tcW w:w="54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6.750</w:t>
            </w:r>
          </w:p>
        </w:tc>
      </w:tr>
      <w:tr w:rsidR="00D65ADB" w:rsidRPr="005825E4" w:rsidTr="003C4CB4">
        <w:trPr>
          <w:trHeight w:val="170"/>
          <w:jc w:val="center"/>
        </w:trPr>
        <w:tc>
          <w:tcPr>
            <w:tcW w:w="3400" w:type="dxa"/>
            <w:shd w:val="clear" w:color="auto" w:fill="BFBFBF" w:themeFill="background1" w:themeFillShade="BF"/>
            <w:vAlign w:val="center"/>
            <w:hideMark/>
          </w:tcPr>
          <w:p w:rsidR="00D65ADB" w:rsidRDefault="00D65ADB" w:rsidP="000E1D0C">
            <w:pPr>
              <w:spacing w:before="20" w:after="20"/>
              <w:rPr>
                <w:rFonts w:ascii="Arial Narrow" w:hAnsi="Arial Narrow"/>
                <w:b/>
                <w:sz w:val="14"/>
                <w:szCs w:val="14"/>
              </w:rPr>
            </w:pPr>
            <w:r>
              <w:rPr>
                <w:rFonts w:ascii="Arial Narrow" w:hAnsi="Arial Narrow"/>
                <w:b/>
                <w:bCs/>
                <w:sz w:val="14"/>
                <w:szCs w:val="14"/>
              </w:rPr>
              <w:t>Δαπάνες από το Ταμείο Ανάκαμψης και Σταθερότητας</w:t>
            </w:r>
          </w:p>
        </w:tc>
        <w:tc>
          <w:tcPr>
            <w:tcW w:w="52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0</w:t>
            </w:r>
          </w:p>
        </w:tc>
        <w:tc>
          <w:tcPr>
            <w:tcW w:w="58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0</w:t>
            </w:r>
          </w:p>
        </w:tc>
        <w:tc>
          <w:tcPr>
            <w:tcW w:w="60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0</w:t>
            </w:r>
          </w:p>
        </w:tc>
        <w:tc>
          <w:tcPr>
            <w:tcW w:w="58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0</w:t>
            </w:r>
          </w:p>
        </w:tc>
        <w:tc>
          <w:tcPr>
            <w:tcW w:w="56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329</w:t>
            </w:r>
          </w:p>
        </w:tc>
        <w:tc>
          <w:tcPr>
            <w:tcW w:w="58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659</w:t>
            </w:r>
          </w:p>
        </w:tc>
        <w:tc>
          <w:tcPr>
            <w:tcW w:w="58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988</w:t>
            </w:r>
          </w:p>
        </w:tc>
        <w:tc>
          <w:tcPr>
            <w:tcW w:w="54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1.318</w:t>
            </w:r>
          </w:p>
        </w:tc>
        <w:tc>
          <w:tcPr>
            <w:tcW w:w="56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1.647</w:t>
            </w:r>
          </w:p>
        </w:tc>
        <w:tc>
          <w:tcPr>
            <w:tcW w:w="54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1.976</w:t>
            </w:r>
          </w:p>
        </w:tc>
        <w:tc>
          <w:tcPr>
            <w:tcW w:w="56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2.306</w:t>
            </w:r>
          </w:p>
        </w:tc>
        <w:tc>
          <w:tcPr>
            <w:tcW w:w="540" w:type="dxa"/>
            <w:shd w:val="clear" w:color="auto" w:fill="BFBFBF" w:themeFill="background1" w:themeFillShade="BF"/>
            <w:vAlign w:val="center"/>
            <w:hideMark/>
          </w:tcPr>
          <w:p w:rsidR="00D65ADB" w:rsidRPr="00D65ADB" w:rsidRDefault="00D65ADB" w:rsidP="000E1D0C">
            <w:pPr>
              <w:spacing w:before="20" w:after="20"/>
              <w:jc w:val="right"/>
              <w:rPr>
                <w:rFonts w:ascii="Arial Narrow" w:hAnsi="Arial Narrow"/>
                <w:b/>
                <w:bCs/>
                <w:sz w:val="14"/>
                <w:szCs w:val="14"/>
              </w:rPr>
            </w:pPr>
            <w:r w:rsidRPr="00D65ADB">
              <w:rPr>
                <w:rFonts w:ascii="Arial Narrow" w:hAnsi="Arial Narrow"/>
                <w:b/>
                <w:bCs/>
                <w:sz w:val="14"/>
                <w:szCs w:val="14"/>
              </w:rPr>
              <w:t>2.635</w:t>
            </w:r>
          </w:p>
        </w:tc>
      </w:tr>
    </w:tbl>
    <w:p w:rsidR="0081244A" w:rsidRPr="0081244A" w:rsidRDefault="0081244A" w:rsidP="0081244A">
      <w:pPr>
        <w:pStyle w:val="af2"/>
        <w:numPr>
          <w:ilvl w:val="0"/>
          <w:numId w:val="44"/>
        </w:numPr>
        <w:jc w:val="both"/>
        <w:rPr>
          <w:rFonts w:ascii="Arial Narrow" w:hAnsi="Arial Narrow"/>
          <w:sz w:val="16"/>
          <w:szCs w:val="16"/>
        </w:rPr>
      </w:pPr>
      <w:r w:rsidRPr="0081244A">
        <w:rPr>
          <w:rFonts w:ascii="Arial Narrow" w:hAnsi="Arial Narrow"/>
          <w:sz w:val="16"/>
          <w:szCs w:val="16"/>
        </w:rPr>
        <w:t>Τα έσοδα του ΠΔΕ περιέχονται στις μεταβιβάσεις και στα λοιπά τρέχοντα έσοδα, ενώ οι δαπάνες του ΠΔΕ περιέχονται στις πιστώσεις υπό κατανομή.</w:t>
      </w:r>
    </w:p>
    <w:p w:rsidR="0081244A" w:rsidRPr="0081244A" w:rsidRDefault="0081244A" w:rsidP="0081244A">
      <w:pPr>
        <w:pStyle w:val="af2"/>
        <w:numPr>
          <w:ilvl w:val="0"/>
          <w:numId w:val="44"/>
        </w:numPr>
        <w:jc w:val="both"/>
        <w:rPr>
          <w:rFonts w:ascii="Arial Narrow" w:hAnsi="Arial Narrow"/>
          <w:sz w:val="16"/>
          <w:szCs w:val="16"/>
        </w:rPr>
      </w:pPr>
      <w:r>
        <w:rPr>
          <w:rFonts w:ascii="Arial Narrow" w:hAnsi="Arial Narrow"/>
          <w:sz w:val="16"/>
          <w:szCs w:val="16"/>
        </w:rPr>
        <w:t>Τα έσοδα του Ταμείου Ανάκαμψης και Σταθερότητας περιέχονται στις μεταβιβάσεις, ενώ οι αντίστοιχες δαπάνες περιέχονται στις πιστώσεις υπό κατανομή.</w:t>
      </w:r>
    </w:p>
    <w:p w:rsidR="0081244A" w:rsidRDefault="0081244A">
      <w:pPr>
        <w:rPr>
          <w:sz w:val="22"/>
          <w:szCs w:val="22"/>
          <w:highlight w:val="lightGray"/>
        </w:rPr>
      </w:pPr>
    </w:p>
    <w:p w:rsidR="0081244A" w:rsidRDefault="0081244A">
      <w:pPr>
        <w:rPr>
          <w:sz w:val="22"/>
          <w:szCs w:val="22"/>
          <w:highlight w:val="lightGray"/>
        </w:rPr>
      </w:pPr>
    </w:p>
    <w:p w:rsidR="0081244A" w:rsidRDefault="0081244A">
      <w:pPr>
        <w:rPr>
          <w:sz w:val="22"/>
          <w:szCs w:val="22"/>
          <w:highlight w:val="lightGray"/>
        </w:rPr>
      </w:pPr>
    </w:p>
    <w:p w:rsidR="0028015E" w:rsidRDefault="0028015E">
      <w:pPr>
        <w:rPr>
          <w:sz w:val="22"/>
          <w:szCs w:val="22"/>
          <w:highlight w:val="lightGray"/>
        </w:rPr>
      </w:pPr>
      <w:r>
        <w:rPr>
          <w:sz w:val="22"/>
          <w:szCs w:val="22"/>
          <w:highlight w:val="lightGray"/>
        </w:rPr>
        <w:br w:type="page"/>
      </w:r>
    </w:p>
    <w:p w:rsidR="00EA07E3" w:rsidRDefault="00EA07E3" w:rsidP="00EA07E3">
      <w:pPr>
        <w:ind w:left="-426"/>
        <w:jc w:val="both"/>
        <w:rPr>
          <w:bCs/>
          <w:sz w:val="20"/>
          <w:szCs w:val="22"/>
        </w:rPr>
      </w:pPr>
    </w:p>
    <w:p w:rsidR="00EA07E3" w:rsidRPr="00B65DF8" w:rsidRDefault="00EA07E3" w:rsidP="00EA07E3">
      <w:pPr>
        <w:shd w:val="clear" w:color="auto" w:fill="BFBFBF" w:themeFill="background1" w:themeFillShade="BF"/>
        <w:spacing w:line="235" w:lineRule="auto"/>
        <w:rPr>
          <w:rFonts w:ascii="Arial Narrow" w:hAnsi="Arial Narrow"/>
          <w:b/>
          <w:szCs w:val="26"/>
        </w:rPr>
      </w:pPr>
      <w:r>
        <w:rPr>
          <w:rFonts w:ascii="Arial Narrow" w:hAnsi="Arial Narrow"/>
          <w:b/>
          <w:szCs w:val="26"/>
        </w:rPr>
        <w:t>4.5</w:t>
      </w:r>
      <w:r w:rsidRPr="00221A99">
        <w:rPr>
          <w:rFonts w:ascii="Arial Narrow" w:hAnsi="Arial Narrow"/>
          <w:b/>
          <w:szCs w:val="26"/>
        </w:rPr>
        <w:tab/>
      </w:r>
      <w:r>
        <w:rPr>
          <w:rFonts w:ascii="Arial Narrow" w:hAnsi="Arial Narrow"/>
          <w:b/>
          <w:szCs w:val="26"/>
        </w:rPr>
        <w:t>Χρηματοροές μεταξύ Ελλάδας και Ευρωπαϊκής Ένωσης 201</w:t>
      </w:r>
      <w:r w:rsidR="00CC24DD">
        <w:rPr>
          <w:rFonts w:ascii="Arial Narrow" w:hAnsi="Arial Narrow"/>
          <w:b/>
          <w:szCs w:val="26"/>
        </w:rPr>
        <w:t>9</w:t>
      </w:r>
      <w:r>
        <w:rPr>
          <w:rFonts w:ascii="Arial Narrow" w:hAnsi="Arial Narrow"/>
          <w:b/>
          <w:szCs w:val="26"/>
        </w:rPr>
        <w:t>-20</w:t>
      </w:r>
      <w:r w:rsidR="00CC24DD">
        <w:rPr>
          <w:rFonts w:ascii="Arial Narrow" w:hAnsi="Arial Narrow"/>
          <w:b/>
          <w:szCs w:val="26"/>
        </w:rPr>
        <w:t>21</w:t>
      </w:r>
    </w:p>
    <w:p w:rsidR="00EA07E3" w:rsidRPr="00C12FE7" w:rsidRDefault="00EA07E3" w:rsidP="00EA07E3">
      <w:pPr>
        <w:jc w:val="both"/>
        <w:rPr>
          <w:bCs/>
          <w:sz w:val="22"/>
          <w:szCs w:val="22"/>
        </w:rPr>
      </w:pPr>
    </w:p>
    <w:p w:rsidR="00CC24DD" w:rsidRPr="00F112F2" w:rsidRDefault="00CC24DD" w:rsidP="00CC24DD">
      <w:pPr>
        <w:jc w:val="both"/>
        <w:rPr>
          <w:sz w:val="22"/>
          <w:szCs w:val="22"/>
        </w:rPr>
      </w:pPr>
      <w:r w:rsidRPr="00F112F2">
        <w:rPr>
          <w:sz w:val="22"/>
          <w:szCs w:val="22"/>
        </w:rPr>
        <w:t xml:space="preserve">Οι χρηματοροές μεταξύ Ελλάδας και Ευρωπαϊκής Ένωσης κατά τα έτη 2019-2021 αποτυπώνονται στον πίνακα </w:t>
      </w:r>
      <w:r w:rsidR="00D127FE">
        <w:rPr>
          <w:sz w:val="22"/>
          <w:szCs w:val="22"/>
        </w:rPr>
        <w:t>3.13.</w:t>
      </w:r>
      <w:r w:rsidRPr="00F112F2">
        <w:rPr>
          <w:sz w:val="22"/>
          <w:szCs w:val="22"/>
        </w:rPr>
        <w:t xml:space="preserve"> Από τη σύγκριση απολήψεων και αποδόσεων προκύπτει ότι το ταμειακό όφελος της Ελλάδας από τον προϋπολογισμό της ΕΕ για το έτος 2019 </w:t>
      </w:r>
      <w:r>
        <w:rPr>
          <w:sz w:val="22"/>
          <w:szCs w:val="22"/>
        </w:rPr>
        <w:t xml:space="preserve">διαμορφώθηκε στα </w:t>
      </w:r>
      <w:r w:rsidRPr="00CE6AA9">
        <w:rPr>
          <w:sz w:val="22"/>
          <w:szCs w:val="22"/>
        </w:rPr>
        <w:t xml:space="preserve">2.484 </w:t>
      </w:r>
      <w:r w:rsidRPr="00F112F2">
        <w:rPr>
          <w:sz w:val="22"/>
          <w:szCs w:val="22"/>
        </w:rPr>
        <w:t xml:space="preserve">εκατ. ευρώ, ενώ για το </w:t>
      </w:r>
      <w:r>
        <w:rPr>
          <w:sz w:val="22"/>
          <w:szCs w:val="22"/>
        </w:rPr>
        <w:t>20</w:t>
      </w:r>
      <w:r w:rsidRPr="00F112F2">
        <w:rPr>
          <w:sz w:val="22"/>
          <w:szCs w:val="22"/>
        </w:rPr>
        <w:t xml:space="preserve">20 εκτιμάται σε </w:t>
      </w:r>
      <w:r w:rsidRPr="00CE6AA9">
        <w:rPr>
          <w:sz w:val="22"/>
          <w:szCs w:val="22"/>
        </w:rPr>
        <w:t>4.648</w:t>
      </w:r>
      <w:r w:rsidRPr="00F112F2">
        <w:rPr>
          <w:sz w:val="22"/>
          <w:szCs w:val="22"/>
        </w:rPr>
        <w:t xml:space="preserve"> εκατ. ευρώ, αντιπροσωπεύοντας το </w:t>
      </w:r>
      <w:r w:rsidRPr="00CE6AA9">
        <w:rPr>
          <w:sz w:val="22"/>
          <w:szCs w:val="22"/>
        </w:rPr>
        <w:t>1,4%</w:t>
      </w:r>
      <w:r w:rsidRPr="00F112F2">
        <w:rPr>
          <w:sz w:val="22"/>
          <w:szCs w:val="22"/>
        </w:rPr>
        <w:t xml:space="preserve"> και το </w:t>
      </w:r>
      <w:r w:rsidRPr="00CE6AA9">
        <w:rPr>
          <w:sz w:val="22"/>
          <w:szCs w:val="22"/>
        </w:rPr>
        <w:t>2,9%</w:t>
      </w:r>
      <w:r w:rsidRPr="00F112F2">
        <w:rPr>
          <w:sz w:val="22"/>
          <w:szCs w:val="22"/>
        </w:rPr>
        <w:t xml:space="preserve"> του ΑΕΠ αντίστοιχα. Για το έτος 20</w:t>
      </w:r>
      <w:r>
        <w:rPr>
          <w:sz w:val="22"/>
          <w:szCs w:val="22"/>
        </w:rPr>
        <w:t>2</w:t>
      </w:r>
      <w:r w:rsidRPr="00F112F2">
        <w:rPr>
          <w:sz w:val="22"/>
          <w:szCs w:val="22"/>
        </w:rPr>
        <w:t xml:space="preserve">1 το ταμειακό όφελος προβλέπεται σε </w:t>
      </w:r>
      <w:r w:rsidRPr="00CE6AA9">
        <w:rPr>
          <w:sz w:val="22"/>
          <w:szCs w:val="22"/>
        </w:rPr>
        <w:t>3.908</w:t>
      </w:r>
      <w:r w:rsidRPr="00F112F2">
        <w:rPr>
          <w:sz w:val="22"/>
          <w:szCs w:val="22"/>
        </w:rPr>
        <w:t xml:space="preserve"> εκατ. ευρώ ή ποσοστό </w:t>
      </w:r>
      <w:r w:rsidRPr="00CE6AA9">
        <w:rPr>
          <w:sz w:val="22"/>
          <w:szCs w:val="22"/>
        </w:rPr>
        <w:t>2,3%</w:t>
      </w:r>
      <w:r w:rsidRPr="00F112F2">
        <w:rPr>
          <w:sz w:val="22"/>
          <w:szCs w:val="22"/>
        </w:rPr>
        <w:t xml:space="preserve"> του ΑΕΠ. Η σχέση απολήψεων - αποδόσεων αναμένεται να διαμορφωθεί σε </w:t>
      </w:r>
      <w:r w:rsidRPr="00CE6AA9">
        <w:rPr>
          <w:sz w:val="22"/>
          <w:szCs w:val="22"/>
        </w:rPr>
        <w:t>3,3/1</w:t>
      </w:r>
      <w:r w:rsidRPr="00F112F2">
        <w:rPr>
          <w:sz w:val="22"/>
          <w:szCs w:val="22"/>
        </w:rPr>
        <w:t xml:space="preserve"> και </w:t>
      </w:r>
      <w:r w:rsidRPr="00CE6AA9">
        <w:rPr>
          <w:sz w:val="22"/>
          <w:szCs w:val="22"/>
        </w:rPr>
        <w:t>2,7/1</w:t>
      </w:r>
      <w:r w:rsidRPr="00F112F2">
        <w:rPr>
          <w:sz w:val="22"/>
          <w:szCs w:val="22"/>
        </w:rPr>
        <w:t xml:space="preserve"> αντίστο</w:t>
      </w:r>
      <w:r w:rsidRPr="00F112F2">
        <w:rPr>
          <w:sz w:val="22"/>
          <w:szCs w:val="22"/>
        </w:rPr>
        <w:t>ι</w:t>
      </w:r>
      <w:r w:rsidRPr="00F112F2">
        <w:rPr>
          <w:sz w:val="22"/>
          <w:szCs w:val="22"/>
        </w:rPr>
        <w:t>χα</w:t>
      </w:r>
      <w:r>
        <w:rPr>
          <w:sz w:val="22"/>
          <w:szCs w:val="22"/>
        </w:rPr>
        <w:t xml:space="preserve"> για τα έτη 20</w:t>
      </w:r>
      <w:r w:rsidRPr="00F112F2">
        <w:rPr>
          <w:sz w:val="22"/>
          <w:szCs w:val="22"/>
        </w:rPr>
        <w:t>20 και 20</w:t>
      </w:r>
      <w:r>
        <w:rPr>
          <w:sz w:val="22"/>
          <w:szCs w:val="22"/>
        </w:rPr>
        <w:t>2</w:t>
      </w:r>
      <w:r w:rsidRPr="00F112F2">
        <w:rPr>
          <w:sz w:val="22"/>
          <w:szCs w:val="22"/>
        </w:rPr>
        <w:t>1.</w:t>
      </w:r>
      <w:r w:rsidR="00FB7808">
        <w:rPr>
          <w:sz w:val="22"/>
          <w:szCs w:val="22"/>
        </w:rPr>
        <w:t xml:space="preserve"> Στο όφελος αυτό δεν υπολογίζονται οι πόροι του Ταμείου Ανάκαμψης και Ανθεκτικότητας.</w:t>
      </w:r>
    </w:p>
    <w:p w:rsidR="00CC24DD" w:rsidRPr="00F112F2" w:rsidRDefault="00CC24DD" w:rsidP="00CC24DD">
      <w:pPr>
        <w:jc w:val="both"/>
        <w:rPr>
          <w:sz w:val="22"/>
          <w:szCs w:val="22"/>
        </w:rPr>
      </w:pPr>
    </w:p>
    <w:p w:rsidR="00CC24DD" w:rsidRPr="00F112F2" w:rsidRDefault="00CC24DD" w:rsidP="00CC24DD">
      <w:pPr>
        <w:jc w:val="both"/>
        <w:rPr>
          <w:bCs/>
          <w:sz w:val="22"/>
          <w:szCs w:val="22"/>
        </w:rPr>
      </w:pPr>
      <w:r w:rsidRPr="00F112F2">
        <w:rPr>
          <w:bCs/>
          <w:sz w:val="22"/>
          <w:szCs w:val="22"/>
        </w:rPr>
        <w:t>Οι πόροι των διαρθρωτικών ταμείων (ΕΤΠΑ, ΕΚΤ) και του Ταμείου Συνοχής συνιστούν το μεγαλύτ</w:t>
      </w:r>
      <w:r w:rsidRPr="00F112F2">
        <w:rPr>
          <w:bCs/>
          <w:sz w:val="22"/>
          <w:szCs w:val="22"/>
        </w:rPr>
        <w:t>ε</w:t>
      </w:r>
      <w:r w:rsidRPr="00F112F2">
        <w:rPr>
          <w:bCs/>
          <w:sz w:val="22"/>
          <w:szCs w:val="22"/>
        </w:rPr>
        <w:t>ρο τμήμα της ευρωπαϊκής χρηματοδότησης, το οποίο κατευθύνεται σε τομείς αναπτυξιακής πολιτικής, προκειμένου να διασφαλιστεί κυρίως η στήριξη του στόχου της οικονομικής, κοινωνικής και εδαφικής συνοχής, η ενίσχυση της απασχόλησης και η βελτίωση των υποδομών και της ανταγωνιστικότητας της ελληνικής οικονομίας.</w:t>
      </w:r>
    </w:p>
    <w:p w:rsidR="00CC24DD" w:rsidRPr="00F112F2" w:rsidRDefault="00CC24DD" w:rsidP="00CC24DD">
      <w:pPr>
        <w:jc w:val="both"/>
        <w:rPr>
          <w:bCs/>
          <w:sz w:val="22"/>
          <w:szCs w:val="22"/>
        </w:rPr>
      </w:pPr>
    </w:p>
    <w:p w:rsidR="00CC24DD" w:rsidRPr="00F112F2" w:rsidRDefault="00CC24DD" w:rsidP="00CC24DD">
      <w:pPr>
        <w:jc w:val="both"/>
        <w:rPr>
          <w:bCs/>
          <w:sz w:val="22"/>
          <w:szCs w:val="22"/>
        </w:rPr>
      </w:pPr>
      <w:r w:rsidRPr="00F112F2">
        <w:rPr>
          <w:bCs/>
          <w:sz w:val="22"/>
          <w:szCs w:val="22"/>
        </w:rPr>
        <w:t>Ειδικότερα, η μεταφορά πόρων από την ΕΕ στην ελληνική οικονομία συμβάλλει στην χρηματοδότηση των μεγάλων έργων υποδομών κυρίως στους τομείς μεταφορών, περιβάλλοντος και ενέργειας, στην ενίσχυση της κοινωνικής πολιτικής, της περιφερειακής ανάπτυξης, της επαγγελματικής εκπαίδευσης και κατάρτισης, της έρευνας, της καινοτομίας και της επιχειρηματικότητας. Επίσης, ένα σημαντικό τμήμα ευρωπαϊκών πόρων προορίζεται για το γεωργικό τομέα, αφενός μέσω των εισοδηματικών εν</w:t>
      </w:r>
      <w:r w:rsidRPr="00F112F2">
        <w:rPr>
          <w:bCs/>
          <w:sz w:val="22"/>
          <w:szCs w:val="22"/>
        </w:rPr>
        <w:t>ι</w:t>
      </w:r>
      <w:r w:rsidRPr="00F112F2">
        <w:rPr>
          <w:bCs/>
          <w:sz w:val="22"/>
          <w:szCs w:val="22"/>
        </w:rPr>
        <w:t>σχύσεων από το Ευρωπαϊκό Γεωργικό Ταμε</w:t>
      </w:r>
      <w:r w:rsidR="009B5232">
        <w:rPr>
          <w:bCs/>
          <w:sz w:val="22"/>
          <w:szCs w:val="22"/>
        </w:rPr>
        <w:t>ίο Εγγυήσεων (ΕΓΤΕ)</w:t>
      </w:r>
      <w:r w:rsidR="009B5232" w:rsidRPr="009B5232">
        <w:rPr>
          <w:bCs/>
          <w:sz w:val="22"/>
          <w:szCs w:val="22"/>
        </w:rPr>
        <w:t xml:space="preserve"> </w:t>
      </w:r>
      <w:r w:rsidR="009B5232">
        <w:rPr>
          <w:bCs/>
          <w:sz w:val="22"/>
          <w:szCs w:val="22"/>
        </w:rPr>
        <w:t xml:space="preserve">και </w:t>
      </w:r>
      <w:r w:rsidRPr="00F112F2">
        <w:rPr>
          <w:bCs/>
          <w:sz w:val="22"/>
          <w:szCs w:val="22"/>
        </w:rPr>
        <w:t>αφετέρου μέσω των προγρα</w:t>
      </w:r>
      <w:r w:rsidRPr="00F112F2">
        <w:rPr>
          <w:bCs/>
          <w:sz w:val="22"/>
          <w:szCs w:val="22"/>
        </w:rPr>
        <w:t>μ</w:t>
      </w:r>
      <w:r w:rsidRPr="00F112F2">
        <w:rPr>
          <w:bCs/>
          <w:sz w:val="22"/>
          <w:szCs w:val="22"/>
        </w:rPr>
        <w:t>μάτων για την αγροτική ανάπτυξη από το Ευρωπαϊκό Γεωργικό Ταμε</w:t>
      </w:r>
      <w:r w:rsidR="001C21F5">
        <w:rPr>
          <w:bCs/>
          <w:sz w:val="22"/>
          <w:szCs w:val="22"/>
        </w:rPr>
        <w:t>ίο Αγροτικής Ανάπτυξης (ΕΓΤΑΑ), καθώς και από τα Ταμεία για τη Μετανάστευση (</w:t>
      </w:r>
      <w:r w:rsidR="009A2AB9">
        <w:rPr>
          <w:sz w:val="22"/>
          <w:szCs w:val="22"/>
        </w:rPr>
        <w:t xml:space="preserve">Ταμείο Ασύλου, Μετανάστευσης και </w:t>
      </w:r>
      <w:r w:rsidR="009A2AB9">
        <w:rPr>
          <w:sz w:val="22"/>
          <w:szCs w:val="22"/>
        </w:rPr>
        <w:t>Έ</w:t>
      </w:r>
      <w:r w:rsidR="009A2AB9">
        <w:rPr>
          <w:sz w:val="22"/>
          <w:szCs w:val="22"/>
        </w:rPr>
        <w:t>νταξης και Ταμείο Εσωτερικής Ασφάλειας</w:t>
      </w:r>
      <w:r w:rsidR="001C21F5">
        <w:rPr>
          <w:bCs/>
          <w:sz w:val="22"/>
          <w:szCs w:val="22"/>
        </w:rPr>
        <w:t>).</w:t>
      </w:r>
    </w:p>
    <w:p w:rsidR="00EA07E3" w:rsidRDefault="00EA07E3" w:rsidP="00EA07E3">
      <w:pPr>
        <w:jc w:val="both"/>
        <w:rPr>
          <w:bCs/>
          <w:sz w:val="20"/>
          <w:szCs w:val="22"/>
        </w:rPr>
      </w:pPr>
    </w:p>
    <w:p w:rsidR="00EA07E3" w:rsidRPr="008036E2" w:rsidRDefault="00EA07E3" w:rsidP="00EA07E3">
      <w:pPr>
        <w:jc w:val="both"/>
        <w:rPr>
          <w:rFonts w:ascii="Arial Narrow" w:hAnsi="Arial Narrow"/>
          <w:b/>
          <w:color w:val="000080"/>
          <w:szCs w:val="22"/>
        </w:rPr>
      </w:pPr>
      <w:r w:rsidRPr="00F26421">
        <w:rPr>
          <w:rFonts w:ascii="Arial Narrow" w:hAnsi="Arial Narrow"/>
          <w:b/>
          <w:color w:val="000080"/>
          <w:szCs w:val="22"/>
        </w:rPr>
        <w:t>Χρηματοροές μεταξύ Ελλάδ</w:t>
      </w:r>
      <w:r>
        <w:rPr>
          <w:rFonts w:ascii="Arial Narrow" w:hAnsi="Arial Narrow"/>
          <w:b/>
          <w:color w:val="000080"/>
          <w:szCs w:val="22"/>
        </w:rPr>
        <w:t xml:space="preserve">ας και Ευρωπαϊκής Ένωσης το </w:t>
      </w:r>
      <w:r w:rsidR="00CC24DD">
        <w:rPr>
          <w:rFonts w:ascii="Arial Narrow" w:hAnsi="Arial Narrow"/>
          <w:b/>
          <w:color w:val="000080"/>
          <w:szCs w:val="22"/>
        </w:rPr>
        <w:t>2020</w:t>
      </w:r>
    </w:p>
    <w:p w:rsidR="00EA07E3" w:rsidRPr="00847079" w:rsidRDefault="00EA07E3" w:rsidP="00EA07E3">
      <w:pPr>
        <w:keepNext/>
        <w:jc w:val="both"/>
        <w:outlineLvl w:val="4"/>
        <w:rPr>
          <w:b/>
          <w:sz w:val="22"/>
          <w:szCs w:val="22"/>
        </w:rPr>
      </w:pPr>
    </w:p>
    <w:p w:rsidR="00EA07E3" w:rsidRPr="00F26421" w:rsidRDefault="00EA07E3" w:rsidP="00EA07E3">
      <w:pPr>
        <w:keepNext/>
        <w:jc w:val="both"/>
        <w:outlineLvl w:val="4"/>
        <w:rPr>
          <w:rFonts w:ascii="Arial Narrow" w:hAnsi="Arial Narrow"/>
          <w:b/>
          <w:sz w:val="22"/>
          <w:szCs w:val="22"/>
        </w:rPr>
      </w:pPr>
      <w:r w:rsidRPr="00F26421">
        <w:rPr>
          <w:rFonts w:ascii="Arial Narrow" w:hAnsi="Arial Narrow"/>
          <w:b/>
          <w:sz w:val="22"/>
          <w:szCs w:val="22"/>
        </w:rPr>
        <w:t>Απολήψεις</w:t>
      </w:r>
    </w:p>
    <w:p w:rsidR="00EA07E3" w:rsidRPr="00847079" w:rsidRDefault="00EA07E3" w:rsidP="00EA07E3">
      <w:pPr>
        <w:jc w:val="both"/>
        <w:rPr>
          <w:sz w:val="22"/>
          <w:szCs w:val="22"/>
        </w:rPr>
      </w:pPr>
    </w:p>
    <w:p w:rsidR="00EA07E3" w:rsidRPr="00847079" w:rsidRDefault="00EA07E3" w:rsidP="00EA07E3">
      <w:pPr>
        <w:jc w:val="both"/>
        <w:rPr>
          <w:sz w:val="22"/>
          <w:szCs w:val="22"/>
        </w:rPr>
      </w:pPr>
      <w:r w:rsidRPr="00847079">
        <w:rPr>
          <w:sz w:val="22"/>
          <w:szCs w:val="22"/>
        </w:rPr>
        <w:t>Οι συνολικές εισρ</w:t>
      </w:r>
      <w:r w:rsidR="00CC24DD">
        <w:rPr>
          <w:sz w:val="22"/>
          <w:szCs w:val="22"/>
        </w:rPr>
        <w:t>οές από την ΕΕ κατά το έτος 2020</w:t>
      </w:r>
      <w:r w:rsidRPr="00847079">
        <w:rPr>
          <w:sz w:val="22"/>
          <w:szCs w:val="22"/>
        </w:rPr>
        <w:t xml:space="preserve"> εκτιμάται ότι θα ανέλθουν σε </w:t>
      </w:r>
      <w:r w:rsidR="00CC24DD">
        <w:rPr>
          <w:sz w:val="22"/>
          <w:szCs w:val="22"/>
        </w:rPr>
        <w:t>6.696</w:t>
      </w:r>
      <w:r w:rsidRPr="00847079">
        <w:rPr>
          <w:sz w:val="22"/>
          <w:szCs w:val="22"/>
        </w:rPr>
        <w:t xml:space="preserve"> εκατ. ευρώ, παρου</w:t>
      </w:r>
      <w:r>
        <w:rPr>
          <w:sz w:val="22"/>
          <w:szCs w:val="22"/>
        </w:rPr>
        <w:t>σιάζοντας αύξηση έναντι του 201</w:t>
      </w:r>
      <w:r w:rsidR="00CC24DD">
        <w:rPr>
          <w:sz w:val="22"/>
          <w:szCs w:val="22"/>
        </w:rPr>
        <w:t>9</w:t>
      </w:r>
      <w:r w:rsidRPr="00847079">
        <w:rPr>
          <w:sz w:val="22"/>
          <w:szCs w:val="22"/>
        </w:rPr>
        <w:t>, κυρίως λόγω αυξημένων απολήψεων από το Πρόγραμμα Δημοσίων Επενδύσεων (ΠΔΕ)</w:t>
      </w:r>
      <w:r w:rsidR="00CC24DD">
        <w:rPr>
          <w:sz w:val="22"/>
          <w:szCs w:val="22"/>
        </w:rPr>
        <w:t>, ως αποτέλεσμα της επιτάχυνσης του ρυθμού απορρόφησης των πόρων του ΕΣΠΑ</w:t>
      </w:r>
      <w:r w:rsidRPr="00847079">
        <w:rPr>
          <w:sz w:val="22"/>
          <w:szCs w:val="22"/>
        </w:rPr>
        <w:t>.</w:t>
      </w:r>
    </w:p>
    <w:p w:rsidR="00EA07E3" w:rsidRPr="00847079" w:rsidRDefault="00EA07E3" w:rsidP="00EA07E3">
      <w:pPr>
        <w:jc w:val="both"/>
        <w:rPr>
          <w:sz w:val="22"/>
          <w:szCs w:val="22"/>
          <w:highlight w:val="yellow"/>
        </w:rPr>
      </w:pPr>
    </w:p>
    <w:p w:rsidR="00EA07E3" w:rsidRPr="00847079" w:rsidRDefault="00CC24DD" w:rsidP="00EA07E3">
      <w:pPr>
        <w:jc w:val="both"/>
        <w:rPr>
          <w:sz w:val="22"/>
          <w:szCs w:val="22"/>
        </w:rPr>
      </w:pPr>
      <w:r>
        <w:rPr>
          <w:sz w:val="22"/>
          <w:szCs w:val="22"/>
        </w:rPr>
        <w:t>Ειδικότερα, το έτος 2020</w:t>
      </w:r>
      <w:r w:rsidR="00EA07E3">
        <w:rPr>
          <w:sz w:val="22"/>
          <w:szCs w:val="22"/>
        </w:rPr>
        <w:t xml:space="preserve"> αναμένονται τα ακόλουθα</w:t>
      </w:r>
      <w:r w:rsidR="00EA07E3" w:rsidRPr="00847079">
        <w:rPr>
          <w:sz w:val="22"/>
          <w:szCs w:val="22"/>
        </w:rPr>
        <w:t>:</w:t>
      </w:r>
    </w:p>
    <w:p w:rsidR="00EA07E3" w:rsidRPr="00847079" w:rsidRDefault="00EA07E3" w:rsidP="00EA07E3">
      <w:pPr>
        <w:keepNext/>
        <w:jc w:val="both"/>
        <w:outlineLvl w:val="4"/>
        <w:rPr>
          <w:bCs/>
          <w:sz w:val="22"/>
          <w:szCs w:val="22"/>
        </w:rPr>
      </w:pPr>
    </w:p>
    <w:p w:rsidR="00EA07E3" w:rsidRPr="00847079" w:rsidRDefault="00EA07E3" w:rsidP="00EA07E3">
      <w:pPr>
        <w:jc w:val="both"/>
        <w:rPr>
          <w:b/>
          <w:i/>
          <w:sz w:val="22"/>
          <w:szCs w:val="22"/>
        </w:rPr>
      </w:pPr>
      <w:r w:rsidRPr="00847079">
        <w:rPr>
          <w:b/>
          <w:i/>
          <w:sz w:val="22"/>
          <w:szCs w:val="22"/>
        </w:rPr>
        <w:t>Τακτικός προϋπολογισμός</w:t>
      </w:r>
    </w:p>
    <w:p w:rsidR="00EA07E3" w:rsidRPr="007C7E4E" w:rsidRDefault="00EA07E3" w:rsidP="00EA07E3">
      <w:pPr>
        <w:jc w:val="both"/>
        <w:rPr>
          <w:bCs/>
          <w:sz w:val="22"/>
          <w:szCs w:val="22"/>
        </w:rPr>
      </w:pPr>
    </w:p>
    <w:p w:rsidR="00CC24DD" w:rsidRPr="00F112F2" w:rsidRDefault="00CC24DD" w:rsidP="00CC24DD">
      <w:pPr>
        <w:jc w:val="both"/>
        <w:rPr>
          <w:sz w:val="22"/>
          <w:szCs w:val="22"/>
        </w:rPr>
      </w:pPr>
      <w:r w:rsidRPr="00F112F2">
        <w:rPr>
          <w:sz w:val="22"/>
          <w:szCs w:val="22"/>
        </w:rPr>
        <w:t xml:space="preserve">Μέσω του τακτικού προϋπολογισμού  αναμένεται να εισρεύσουν συνολικά </w:t>
      </w:r>
      <w:r w:rsidRPr="009237EF">
        <w:rPr>
          <w:sz w:val="22"/>
          <w:szCs w:val="22"/>
        </w:rPr>
        <w:t>153</w:t>
      </w:r>
      <w:r w:rsidRPr="00F112F2">
        <w:rPr>
          <w:sz w:val="22"/>
          <w:szCs w:val="22"/>
        </w:rPr>
        <w:t xml:space="preserve"> εκατ. ευρώ, εκ των οποίων </w:t>
      </w:r>
      <w:r>
        <w:rPr>
          <w:sz w:val="22"/>
          <w:szCs w:val="22"/>
        </w:rPr>
        <w:t>41</w:t>
      </w:r>
      <w:r w:rsidRPr="00F112F2">
        <w:rPr>
          <w:sz w:val="22"/>
          <w:szCs w:val="22"/>
        </w:rPr>
        <w:t xml:space="preserve"> εκατ. ευρώ αφορούν επιστροφές ιδίων πόρων από την ΕΕ, </w:t>
      </w:r>
      <w:r>
        <w:rPr>
          <w:sz w:val="22"/>
          <w:szCs w:val="22"/>
        </w:rPr>
        <w:t>51</w:t>
      </w:r>
      <w:r w:rsidRPr="00F112F2">
        <w:rPr>
          <w:sz w:val="22"/>
          <w:szCs w:val="22"/>
        </w:rPr>
        <w:t xml:space="preserve"> εκατ. ευρώ προμήθειες ε</w:t>
      </w:r>
      <w:r w:rsidRPr="00F112F2">
        <w:rPr>
          <w:sz w:val="22"/>
          <w:szCs w:val="22"/>
        </w:rPr>
        <w:t>ί</w:t>
      </w:r>
      <w:r w:rsidRPr="00F112F2">
        <w:rPr>
          <w:sz w:val="22"/>
          <w:szCs w:val="22"/>
        </w:rPr>
        <w:t xml:space="preserve">σπραξης ιδίων πόρων για λογαριασμό της ΕΕ, </w:t>
      </w:r>
      <w:r>
        <w:rPr>
          <w:sz w:val="22"/>
          <w:szCs w:val="22"/>
        </w:rPr>
        <w:t>45 εκατ. ευρώ απολήψεις από λοιπές τρέχουσες μετ</w:t>
      </w:r>
      <w:r>
        <w:rPr>
          <w:sz w:val="22"/>
          <w:szCs w:val="22"/>
        </w:rPr>
        <w:t>α</w:t>
      </w:r>
      <w:r>
        <w:rPr>
          <w:sz w:val="22"/>
          <w:szCs w:val="22"/>
        </w:rPr>
        <w:t>βιβάσεις από τα Κοινοτικά Ταμεία</w:t>
      </w:r>
      <w:r w:rsidRPr="00F112F2">
        <w:rPr>
          <w:sz w:val="22"/>
          <w:szCs w:val="22"/>
        </w:rPr>
        <w:t xml:space="preserve">, ενώ </w:t>
      </w:r>
      <w:r w:rsidRPr="009237EF">
        <w:rPr>
          <w:sz w:val="22"/>
          <w:szCs w:val="22"/>
        </w:rPr>
        <w:t>16</w:t>
      </w:r>
      <w:r w:rsidRPr="00F112F2">
        <w:rPr>
          <w:sz w:val="22"/>
          <w:szCs w:val="22"/>
        </w:rPr>
        <w:t xml:space="preserve"> εκατ. ευρώ αναλογούν σε δράσεις μεταναστευτικών ροών.</w:t>
      </w:r>
    </w:p>
    <w:p w:rsidR="00EA07E3" w:rsidRPr="00B65DF8" w:rsidRDefault="00EA07E3" w:rsidP="00EA07E3">
      <w:pPr>
        <w:jc w:val="both"/>
        <w:rPr>
          <w:bCs/>
          <w:sz w:val="22"/>
          <w:szCs w:val="22"/>
        </w:rPr>
      </w:pPr>
    </w:p>
    <w:p w:rsidR="00EA07E3" w:rsidRPr="00B65DF8" w:rsidRDefault="00EA07E3" w:rsidP="00EA07E3">
      <w:pPr>
        <w:jc w:val="both"/>
        <w:rPr>
          <w:b/>
          <w:bCs/>
          <w:i/>
          <w:sz w:val="22"/>
          <w:szCs w:val="22"/>
        </w:rPr>
      </w:pPr>
      <w:r w:rsidRPr="00B65DF8">
        <w:rPr>
          <w:b/>
          <w:bCs/>
          <w:i/>
          <w:sz w:val="22"/>
          <w:szCs w:val="22"/>
        </w:rPr>
        <w:t>Προϋπολογισμός Δημοσίων Επενδύσεων</w:t>
      </w:r>
    </w:p>
    <w:p w:rsidR="00EA07E3" w:rsidRPr="00B65DF8" w:rsidRDefault="00EA07E3" w:rsidP="00EA07E3">
      <w:pPr>
        <w:jc w:val="both"/>
        <w:rPr>
          <w:b/>
          <w:bCs/>
          <w:i/>
          <w:sz w:val="22"/>
          <w:szCs w:val="22"/>
        </w:rPr>
      </w:pPr>
    </w:p>
    <w:p w:rsidR="00CC24DD" w:rsidRPr="00F112F2" w:rsidRDefault="00CC24DD" w:rsidP="00CC24DD">
      <w:pPr>
        <w:jc w:val="both"/>
        <w:rPr>
          <w:sz w:val="22"/>
          <w:szCs w:val="22"/>
        </w:rPr>
      </w:pPr>
      <w:r w:rsidRPr="00F112F2">
        <w:rPr>
          <w:sz w:val="22"/>
          <w:szCs w:val="22"/>
        </w:rPr>
        <w:t xml:space="preserve">Το </w:t>
      </w:r>
      <w:r>
        <w:rPr>
          <w:sz w:val="22"/>
          <w:szCs w:val="22"/>
        </w:rPr>
        <w:t>67</w:t>
      </w:r>
      <w:r w:rsidRPr="00F112F2">
        <w:rPr>
          <w:sz w:val="22"/>
          <w:szCs w:val="22"/>
        </w:rPr>
        <w:t xml:space="preserve">% των συνολικών απολήψεων από την ΕΕ, ήτοι ποσό ύψους </w:t>
      </w:r>
      <w:r>
        <w:rPr>
          <w:sz w:val="22"/>
          <w:szCs w:val="22"/>
        </w:rPr>
        <w:t>4.486</w:t>
      </w:r>
      <w:r w:rsidRPr="00F112F2">
        <w:rPr>
          <w:sz w:val="22"/>
          <w:szCs w:val="22"/>
        </w:rPr>
        <w:t xml:space="preserve"> εκατ. ευρώ, εκτιμάται ότι θα εισρεύσει το 20</w:t>
      </w:r>
      <w:r>
        <w:rPr>
          <w:sz w:val="22"/>
          <w:szCs w:val="22"/>
        </w:rPr>
        <w:t>20</w:t>
      </w:r>
      <w:r w:rsidRPr="00F112F2">
        <w:rPr>
          <w:sz w:val="22"/>
          <w:szCs w:val="22"/>
        </w:rPr>
        <w:t xml:space="preserve"> μέσω του ΠΔΕ. Οι εισροές του ΠΔΕ αφορούν τα κοινοτικά ταμεία και ειδικότερα, το Ευρωπαϊκό Ταμείο Περιφερειακής Ανάπτυξης (ΕΤΠΑ), το Ευρωπαϊκό Κοινωνικό Ταμείο (ΕΚΤ), το Ταμείο Συνοχής, το Ευρωπαϊκό Γεωργικό Ταμείο Αγροτικής Ανάπτυξης (ΕΓΤΑΑ) και το Ευρωπ</w:t>
      </w:r>
      <w:r w:rsidRPr="00F112F2">
        <w:rPr>
          <w:sz w:val="22"/>
          <w:szCs w:val="22"/>
        </w:rPr>
        <w:t>α</w:t>
      </w:r>
      <w:r w:rsidRPr="00F112F2">
        <w:rPr>
          <w:sz w:val="22"/>
          <w:szCs w:val="22"/>
        </w:rPr>
        <w:t xml:space="preserve">ϊκό Ταμείο Θάλασσας και Αλιείας (ΕΤΘΑ). </w:t>
      </w:r>
    </w:p>
    <w:p w:rsidR="00CC24DD" w:rsidRDefault="00CC24DD" w:rsidP="00CC24DD">
      <w:pPr>
        <w:jc w:val="both"/>
        <w:rPr>
          <w:sz w:val="22"/>
          <w:szCs w:val="22"/>
        </w:rPr>
      </w:pPr>
    </w:p>
    <w:p w:rsidR="00CC24DD" w:rsidRPr="00F112F2" w:rsidRDefault="00CC24DD" w:rsidP="00CC24DD">
      <w:pPr>
        <w:jc w:val="both"/>
        <w:rPr>
          <w:sz w:val="22"/>
          <w:szCs w:val="22"/>
        </w:rPr>
      </w:pPr>
      <w:r w:rsidRPr="00F112F2">
        <w:rPr>
          <w:sz w:val="22"/>
          <w:szCs w:val="22"/>
        </w:rPr>
        <w:lastRenderedPageBreak/>
        <w:t xml:space="preserve">Στις εκτιμώμενες εισροές του ΠΔΕ συμπεριλαμβάνονται επίσης και οι απολήψεις </w:t>
      </w:r>
      <w:r w:rsidR="009A2AB9">
        <w:rPr>
          <w:sz w:val="22"/>
          <w:szCs w:val="22"/>
        </w:rPr>
        <w:t xml:space="preserve">των Ταμείων </w:t>
      </w:r>
      <w:r w:rsidR="009A2AB9">
        <w:rPr>
          <w:bCs/>
          <w:sz w:val="22"/>
          <w:szCs w:val="22"/>
        </w:rPr>
        <w:t>για τη Μετανάστευση (</w:t>
      </w:r>
      <w:r w:rsidR="009A2AB9">
        <w:rPr>
          <w:sz w:val="22"/>
          <w:szCs w:val="22"/>
        </w:rPr>
        <w:t>Ταμείο Ασύλου, Μετανάστευσης και Ένταξης και Ταμείο Εσωτερικής Ασφάλειας</w:t>
      </w:r>
      <w:r w:rsidR="009A2AB9">
        <w:rPr>
          <w:bCs/>
          <w:sz w:val="22"/>
          <w:szCs w:val="22"/>
        </w:rPr>
        <w:t>).</w:t>
      </w:r>
    </w:p>
    <w:p w:rsidR="00EA07E3" w:rsidRPr="00B65DF8" w:rsidRDefault="00EA07E3" w:rsidP="00EA07E3">
      <w:pPr>
        <w:jc w:val="both"/>
        <w:rPr>
          <w:bCs/>
          <w:sz w:val="22"/>
          <w:szCs w:val="22"/>
        </w:rPr>
      </w:pPr>
    </w:p>
    <w:p w:rsidR="00EA07E3" w:rsidRPr="00B65DF8" w:rsidRDefault="00EA07E3" w:rsidP="00EA07E3">
      <w:pPr>
        <w:jc w:val="both"/>
        <w:rPr>
          <w:b/>
          <w:bCs/>
          <w:i/>
          <w:sz w:val="22"/>
          <w:szCs w:val="22"/>
        </w:rPr>
      </w:pPr>
      <w:r w:rsidRPr="00B65DF8">
        <w:rPr>
          <w:b/>
          <w:bCs/>
          <w:i/>
          <w:sz w:val="22"/>
          <w:szCs w:val="22"/>
        </w:rPr>
        <w:t>Προϋπολογισμός Ειδικού Λογαριασμού Εγγυήσεων Γεωργικών Προϊόντων (ΕΛΕΓΕΠ)</w:t>
      </w:r>
    </w:p>
    <w:p w:rsidR="00EA07E3" w:rsidRPr="00B65DF8" w:rsidRDefault="00EA07E3" w:rsidP="00EA07E3">
      <w:pPr>
        <w:jc w:val="both"/>
        <w:rPr>
          <w:b/>
          <w:bCs/>
          <w:i/>
          <w:sz w:val="22"/>
          <w:szCs w:val="22"/>
        </w:rPr>
      </w:pPr>
    </w:p>
    <w:p w:rsidR="00CC24DD" w:rsidRPr="00F112F2" w:rsidRDefault="00CC24DD" w:rsidP="00CC24DD">
      <w:pPr>
        <w:jc w:val="both"/>
        <w:rPr>
          <w:bCs/>
          <w:sz w:val="22"/>
          <w:szCs w:val="22"/>
        </w:rPr>
      </w:pPr>
      <w:r w:rsidRPr="00F112F2">
        <w:rPr>
          <w:bCs/>
          <w:sz w:val="22"/>
          <w:szCs w:val="22"/>
        </w:rPr>
        <w:t>Οι απολήψεις του τομέα εγγυήσεων γεωργικών προϊόντων που περιλαμβάνονται στον προϋπολογισμό ΕΛΕΓΕΠ (ΕΓΤΕ</w:t>
      </w:r>
      <w:r>
        <w:rPr>
          <w:bCs/>
          <w:sz w:val="22"/>
          <w:szCs w:val="22"/>
        </w:rPr>
        <w:t xml:space="preserve"> </w:t>
      </w:r>
      <w:r w:rsidRPr="00F112F2">
        <w:rPr>
          <w:bCs/>
          <w:sz w:val="22"/>
          <w:szCs w:val="22"/>
        </w:rPr>
        <w:t>/</w:t>
      </w:r>
      <w:r>
        <w:rPr>
          <w:bCs/>
          <w:sz w:val="22"/>
          <w:szCs w:val="22"/>
        </w:rPr>
        <w:t xml:space="preserve"> </w:t>
      </w:r>
      <w:r w:rsidRPr="00F112F2">
        <w:rPr>
          <w:bCs/>
          <w:sz w:val="22"/>
          <w:szCs w:val="22"/>
        </w:rPr>
        <w:t>Εγγυήσεις), χρηματοδοτούν τη στήριξη του εισοδήματος του αγροτικού πληθ</w:t>
      </w:r>
      <w:r w:rsidRPr="00F112F2">
        <w:rPr>
          <w:bCs/>
          <w:sz w:val="22"/>
          <w:szCs w:val="22"/>
        </w:rPr>
        <w:t>υ</w:t>
      </w:r>
      <w:r w:rsidRPr="00F112F2">
        <w:rPr>
          <w:bCs/>
          <w:sz w:val="22"/>
          <w:szCs w:val="22"/>
        </w:rPr>
        <w:t xml:space="preserve">σμού και την ανάπτυξη της υπαίθρου. Οι εισροές από το Ευρωπαϊκό Γεωργικό Ταμείο Εγγυήσεων (ΕΓΤΕ) αναμένεται να ανέλθουν σε </w:t>
      </w:r>
      <w:r>
        <w:rPr>
          <w:bCs/>
          <w:sz w:val="22"/>
          <w:szCs w:val="22"/>
        </w:rPr>
        <w:t>2.057</w:t>
      </w:r>
      <w:r w:rsidRPr="00F112F2">
        <w:rPr>
          <w:bCs/>
          <w:sz w:val="22"/>
          <w:szCs w:val="22"/>
        </w:rPr>
        <w:t xml:space="preserve"> εκατ. ευρώ για το έτος 20</w:t>
      </w:r>
      <w:r>
        <w:rPr>
          <w:bCs/>
          <w:sz w:val="22"/>
          <w:szCs w:val="22"/>
        </w:rPr>
        <w:t>20</w:t>
      </w:r>
      <w:r w:rsidRPr="00F112F2">
        <w:rPr>
          <w:bCs/>
          <w:sz w:val="22"/>
          <w:szCs w:val="22"/>
        </w:rPr>
        <w:t xml:space="preserve">, αντιπροσωπεύοντας το </w:t>
      </w:r>
      <w:r>
        <w:rPr>
          <w:bCs/>
          <w:sz w:val="22"/>
          <w:szCs w:val="22"/>
        </w:rPr>
        <w:t>30,7%</w:t>
      </w:r>
      <w:r w:rsidRPr="00F112F2">
        <w:rPr>
          <w:bCs/>
          <w:sz w:val="22"/>
          <w:szCs w:val="22"/>
        </w:rPr>
        <w:t xml:space="preserve"> των συνολικών απολήψεων από την ΕΕ.</w:t>
      </w:r>
    </w:p>
    <w:p w:rsidR="00EA07E3" w:rsidRPr="00B65DF8" w:rsidRDefault="00EA07E3" w:rsidP="00EA07E3">
      <w:pPr>
        <w:jc w:val="both"/>
        <w:rPr>
          <w:b/>
          <w:bCs/>
          <w:sz w:val="22"/>
          <w:szCs w:val="22"/>
        </w:rPr>
      </w:pPr>
    </w:p>
    <w:p w:rsidR="00EA07E3" w:rsidRPr="00B65DF8" w:rsidRDefault="00EA07E3" w:rsidP="00EA07E3">
      <w:pPr>
        <w:keepNext/>
        <w:jc w:val="both"/>
        <w:outlineLvl w:val="4"/>
        <w:rPr>
          <w:rFonts w:ascii="Arial Narrow" w:hAnsi="Arial Narrow"/>
          <w:b/>
          <w:sz w:val="22"/>
          <w:szCs w:val="22"/>
        </w:rPr>
      </w:pPr>
      <w:r w:rsidRPr="00B65DF8">
        <w:rPr>
          <w:rFonts w:ascii="Arial Narrow" w:hAnsi="Arial Narrow"/>
          <w:b/>
          <w:sz w:val="22"/>
          <w:szCs w:val="22"/>
        </w:rPr>
        <w:t>Αποδόσεις</w:t>
      </w:r>
    </w:p>
    <w:p w:rsidR="00EA07E3" w:rsidRPr="00B65DF8" w:rsidRDefault="00EA07E3" w:rsidP="00EA07E3">
      <w:pPr>
        <w:jc w:val="both"/>
        <w:rPr>
          <w:bCs/>
          <w:sz w:val="22"/>
          <w:szCs w:val="22"/>
        </w:rPr>
      </w:pPr>
    </w:p>
    <w:p w:rsidR="00CC24DD" w:rsidRPr="00F112F2" w:rsidRDefault="00CC24DD" w:rsidP="00CC24DD">
      <w:pPr>
        <w:jc w:val="both"/>
        <w:rPr>
          <w:sz w:val="22"/>
          <w:szCs w:val="22"/>
        </w:rPr>
      </w:pPr>
      <w:r w:rsidRPr="00F112F2">
        <w:rPr>
          <w:sz w:val="22"/>
          <w:szCs w:val="22"/>
        </w:rPr>
        <w:t>Οι συνολικές συνεισφορές της Ελλάδας στον κοινοτικό προϋπολογισμό κατά το έτος 20</w:t>
      </w:r>
      <w:r>
        <w:rPr>
          <w:sz w:val="22"/>
          <w:szCs w:val="22"/>
        </w:rPr>
        <w:t>20</w:t>
      </w:r>
      <w:r w:rsidRPr="00F112F2">
        <w:rPr>
          <w:sz w:val="22"/>
          <w:szCs w:val="22"/>
        </w:rPr>
        <w:t xml:space="preserve">, εκτιμάται ότι θα ανέλθουν σε </w:t>
      </w:r>
      <w:r>
        <w:rPr>
          <w:sz w:val="22"/>
          <w:szCs w:val="22"/>
        </w:rPr>
        <w:t>2.048</w:t>
      </w:r>
      <w:r w:rsidRPr="00F112F2">
        <w:rPr>
          <w:sz w:val="22"/>
          <w:szCs w:val="22"/>
        </w:rPr>
        <w:t xml:space="preserve"> εκατ. ευρώ, εκ των οποίων ποσό </w:t>
      </w:r>
      <w:r>
        <w:rPr>
          <w:sz w:val="22"/>
          <w:szCs w:val="22"/>
        </w:rPr>
        <w:t>1.308</w:t>
      </w:r>
      <w:r w:rsidRPr="00F112F2">
        <w:rPr>
          <w:sz w:val="22"/>
          <w:szCs w:val="22"/>
        </w:rPr>
        <w:t xml:space="preserve"> εκατ. ευρώ προέρχεται από τις σ</w:t>
      </w:r>
      <w:r w:rsidRPr="00F112F2">
        <w:rPr>
          <w:sz w:val="22"/>
          <w:szCs w:val="22"/>
        </w:rPr>
        <w:t>υ</w:t>
      </w:r>
      <w:r w:rsidRPr="00F112F2">
        <w:rPr>
          <w:sz w:val="22"/>
          <w:szCs w:val="22"/>
        </w:rPr>
        <w:t xml:space="preserve">νεισφορές βάσει Ακαθάριστου Εθνικού Εισοδήματος (ΑΕΕ). </w:t>
      </w:r>
    </w:p>
    <w:p w:rsidR="00EA07E3" w:rsidRPr="007C7E4E" w:rsidRDefault="00EA07E3" w:rsidP="00EA07E3">
      <w:pPr>
        <w:jc w:val="both"/>
        <w:rPr>
          <w:rFonts w:ascii="Arial Narrow" w:hAnsi="Arial Narrow"/>
          <w:b/>
          <w:color w:val="000080"/>
          <w:szCs w:val="22"/>
        </w:rPr>
      </w:pPr>
      <w:r w:rsidRPr="00B65DF8">
        <w:rPr>
          <w:bCs/>
          <w:sz w:val="22"/>
          <w:szCs w:val="22"/>
        </w:rPr>
        <w:t xml:space="preserve"> </w:t>
      </w:r>
    </w:p>
    <w:p w:rsidR="00EA07E3" w:rsidRPr="00B65DF8" w:rsidRDefault="00EA07E3" w:rsidP="00EA07E3">
      <w:pPr>
        <w:jc w:val="both"/>
        <w:rPr>
          <w:rFonts w:ascii="Arial Narrow" w:hAnsi="Arial Narrow"/>
          <w:b/>
          <w:color w:val="000080"/>
          <w:szCs w:val="22"/>
        </w:rPr>
      </w:pPr>
      <w:r w:rsidRPr="00B65DF8">
        <w:rPr>
          <w:rFonts w:ascii="Arial Narrow" w:hAnsi="Arial Narrow"/>
          <w:b/>
          <w:color w:val="000080"/>
          <w:szCs w:val="22"/>
        </w:rPr>
        <w:t>Χρηματοροές μεταξύ Ελλάδ</w:t>
      </w:r>
      <w:r w:rsidR="00CC24DD">
        <w:rPr>
          <w:rFonts w:ascii="Arial Narrow" w:hAnsi="Arial Narrow"/>
          <w:b/>
          <w:color w:val="000080"/>
          <w:szCs w:val="22"/>
        </w:rPr>
        <w:t>ας και Ευρωπαϊκής Ένωσης το 2021</w:t>
      </w:r>
    </w:p>
    <w:p w:rsidR="00EA07E3" w:rsidRPr="00B65DF8" w:rsidRDefault="00EA07E3" w:rsidP="00EA07E3">
      <w:pPr>
        <w:jc w:val="both"/>
        <w:rPr>
          <w:b/>
          <w:bCs/>
          <w:sz w:val="22"/>
          <w:szCs w:val="22"/>
        </w:rPr>
      </w:pPr>
    </w:p>
    <w:p w:rsidR="00EA07E3" w:rsidRPr="00B65DF8" w:rsidRDefault="00EA07E3" w:rsidP="00EA07E3">
      <w:pPr>
        <w:jc w:val="both"/>
        <w:rPr>
          <w:bCs/>
          <w:sz w:val="22"/>
          <w:szCs w:val="22"/>
        </w:rPr>
      </w:pPr>
      <w:r>
        <w:rPr>
          <w:bCs/>
          <w:sz w:val="22"/>
          <w:szCs w:val="22"/>
        </w:rPr>
        <w:t>Βάση</w:t>
      </w:r>
      <w:r w:rsidRPr="00B65DF8">
        <w:rPr>
          <w:bCs/>
          <w:sz w:val="22"/>
          <w:szCs w:val="22"/>
        </w:rPr>
        <w:t xml:space="preserve"> των προβλέψεων των χρηματοροών με την </w:t>
      </w:r>
      <w:r w:rsidR="00CC24DD">
        <w:rPr>
          <w:bCs/>
          <w:sz w:val="22"/>
          <w:szCs w:val="22"/>
        </w:rPr>
        <w:t>Ευρωπαϊκή Ένωση για το έτος 2021</w:t>
      </w:r>
      <w:r w:rsidRPr="00B65DF8">
        <w:rPr>
          <w:bCs/>
          <w:sz w:val="22"/>
          <w:szCs w:val="22"/>
        </w:rPr>
        <w:t xml:space="preserve"> αποτελεί κυρ</w:t>
      </w:r>
      <w:r w:rsidRPr="00B65DF8">
        <w:rPr>
          <w:bCs/>
          <w:sz w:val="22"/>
          <w:szCs w:val="22"/>
        </w:rPr>
        <w:t>ί</w:t>
      </w:r>
      <w:r w:rsidRPr="00B65DF8">
        <w:rPr>
          <w:bCs/>
          <w:sz w:val="22"/>
          <w:szCs w:val="22"/>
        </w:rPr>
        <w:t>ως το σχέδιο προϋπολογισμού της ΕΕ του έτους αυτού, η πρόοδος υλοποίησης των συγχρηματοδ</w:t>
      </w:r>
      <w:r w:rsidRPr="00B65DF8">
        <w:rPr>
          <w:bCs/>
          <w:sz w:val="22"/>
          <w:szCs w:val="22"/>
        </w:rPr>
        <w:t>ο</w:t>
      </w:r>
      <w:r w:rsidRPr="00B65DF8">
        <w:rPr>
          <w:bCs/>
          <w:sz w:val="22"/>
          <w:szCs w:val="22"/>
        </w:rPr>
        <w:t>τούμενων προγραμμάτων και οι εισροές που αναμένονται στον προϋπολογισμό ΕΛΕΓΕΠ.</w:t>
      </w:r>
    </w:p>
    <w:p w:rsidR="00EA07E3" w:rsidRPr="00B65DF8" w:rsidRDefault="00EA07E3" w:rsidP="00EA07E3">
      <w:pPr>
        <w:jc w:val="both"/>
        <w:rPr>
          <w:b/>
          <w:bCs/>
          <w:sz w:val="22"/>
          <w:szCs w:val="22"/>
        </w:rPr>
      </w:pPr>
    </w:p>
    <w:p w:rsidR="00EA07E3" w:rsidRPr="00B65DF8" w:rsidRDefault="00EA07E3" w:rsidP="00EA07E3">
      <w:pPr>
        <w:keepNext/>
        <w:jc w:val="both"/>
        <w:outlineLvl w:val="4"/>
        <w:rPr>
          <w:rFonts w:ascii="Arial Narrow" w:hAnsi="Arial Narrow"/>
          <w:b/>
          <w:sz w:val="22"/>
          <w:szCs w:val="22"/>
        </w:rPr>
      </w:pPr>
      <w:r w:rsidRPr="00B65DF8">
        <w:rPr>
          <w:rFonts w:ascii="Arial Narrow" w:hAnsi="Arial Narrow"/>
          <w:b/>
          <w:sz w:val="22"/>
          <w:szCs w:val="22"/>
        </w:rPr>
        <w:t>Απολήψεις</w:t>
      </w:r>
    </w:p>
    <w:p w:rsidR="00EA07E3" w:rsidRPr="00B65DF8" w:rsidRDefault="00EA07E3" w:rsidP="00EA07E3">
      <w:pPr>
        <w:jc w:val="both"/>
        <w:rPr>
          <w:bCs/>
          <w:sz w:val="22"/>
          <w:szCs w:val="22"/>
        </w:rPr>
      </w:pPr>
    </w:p>
    <w:p w:rsidR="00CC24DD" w:rsidRPr="00F112F2" w:rsidRDefault="00CC24DD" w:rsidP="00CC24DD">
      <w:pPr>
        <w:jc w:val="both"/>
        <w:rPr>
          <w:sz w:val="22"/>
          <w:szCs w:val="22"/>
        </w:rPr>
      </w:pPr>
      <w:r w:rsidRPr="00F112F2">
        <w:rPr>
          <w:sz w:val="22"/>
          <w:szCs w:val="22"/>
        </w:rPr>
        <w:t>Το σύνολο των εισροών της Ελλάδας από την ΕΕ κατά το έτος 20</w:t>
      </w:r>
      <w:r>
        <w:rPr>
          <w:sz w:val="22"/>
          <w:szCs w:val="22"/>
        </w:rPr>
        <w:t>21</w:t>
      </w:r>
      <w:r w:rsidRPr="00F112F2">
        <w:rPr>
          <w:sz w:val="22"/>
          <w:szCs w:val="22"/>
        </w:rPr>
        <w:t xml:space="preserve"> προβλέπεται να ανέλθει στο π</w:t>
      </w:r>
      <w:r w:rsidRPr="00F112F2">
        <w:rPr>
          <w:sz w:val="22"/>
          <w:szCs w:val="22"/>
        </w:rPr>
        <w:t>ο</w:t>
      </w:r>
      <w:r w:rsidRPr="00F112F2">
        <w:rPr>
          <w:sz w:val="22"/>
          <w:szCs w:val="22"/>
        </w:rPr>
        <w:t xml:space="preserve">σό των </w:t>
      </w:r>
      <w:r>
        <w:rPr>
          <w:sz w:val="22"/>
          <w:szCs w:val="22"/>
        </w:rPr>
        <w:t>6.211</w:t>
      </w:r>
      <w:r w:rsidRPr="00F112F2">
        <w:rPr>
          <w:sz w:val="22"/>
          <w:szCs w:val="22"/>
        </w:rPr>
        <w:t xml:space="preserve"> εκατ. ευρώ, παρουσιάζοντας </w:t>
      </w:r>
      <w:r>
        <w:rPr>
          <w:sz w:val="22"/>
          <w:szCs w:val="22"/>
        </w:rPr>
        <w:t>μείωση κατά</w:t>
      </w:r>
      <w:r w:rsidRPr="00F112F2">
        <w:rPr>
          <w:sz w:val="22"/>
          <w:szCs w:val="22"/>
        </w:rPr>
        <w:t xml:space="preserve"> </w:t>
      </w:r>
      <w:r>
        <w:rPr>
          <w:sz w:val="22"/>
          <w:szCs w:val="22"/>
        </w:rPr>
        <w:t>7,2% σε σχέση με το 2020</w:t>
      </w:r>
      <w:r w:rsidRPr="00F112F2">
        <w:rPr>
          <w:sz w:val="22"/>
          <w:szCs w:val="22"/>
        </w:rPr>
        <w:t xml:space="preserve">, </w:t>
      </w:r>
      <w:r>
        <w:rPr>
          <w:sz w:val="22"/>
          <w:szCs w:val="22"/>
        </w:rPr>
        <w:t xml:space="preserve">κυρίως </w:t>
      </w:r>
      <w:r w:rsidRPr="00F112F2">
        <w:rPr>
          <w:sz w:val="22"/>
          <w:szCs w:val="22"/>
        </w:rPr>
        <w:t xml:space="preserve">λόγω </w:t>
      </w:r>
      <w:r>
        <w:rPr>
          <w:sz w:val="22"/>
          <w:szCs w:val="22"/>
        </w:rPr>
        <w:t>με</w:t>
      </w:r>
      <w:r>
        <w:rPr>
          <w:sz w:val="22"/>
          <w:szCs w:val="22"/>
        </w:rPr>
        <w:t>ι</w:t>
      </w:r>
      <w:r>
        <w:rPr>
          <w:sz w:val="22"/>
          <w:szCs w:val="22"/>
        </w:rPr>
        <w:t>ω</w:t>
      </w:r>
      <w:r w:rsidRPr="00F112F2">
        <w:rPr>
          <w:sz w:val="22"/>
          <w:szCs w:val="22"/>
        </w:rPr>
        <w:t xml:space="preserve">μένων απολήψεων από το ΠΔΕ. </w:t>
      </w:r>
    </w:p>
    <w:p w:rsidR="00CC24DD" w:rsidRPr="00F112F2" w:rsidRDefault="00CC24DD" w:rsidP="00CC24DD">
      <w:pPr>
        <w:jc w:val="both"/>
        <w:rPr>
          <w:sz w:val="22"/>
          <w:szCs w:val="22"/>
          <w:highlight w:val="yellow"/>
        </w:rPr>
      </w:pPr>
    </w:p>
    <w:p w:rsidR="00CC24DD" w:rsidRPr="00F112F2" w:rsidRDefault="00CC24DD" w:rsidP="00CC24DD">
      <w:pPr>
        <w:jc w:val="both"/>
        <w:rPr>
          <w:sz w:val="22"/>
          <w:szCs w:val="22"/>
        </w:rPr>
      </w:pPr>
      <w:r w:rsidRPr="00F112F2">
        <w:rPr>
          <w:sz w:val="22"/>
          <w:szCs w:val="22"/>
        </w:rPr>
        <w:t>Ειδικότερα, προβλέπονται τα εξής:</w:t>
      </w:r>
    </w:p>
    <w:p w:rsidR="00CC24DD" w:rsidRPr="00F112F2" w:rsidRDefault="00CC24DD" w:rsidP="00CC24DD">
      <w:pPr>
        <w:jc w:val="both"/>
        <w:rPr>
          <w:b/>
          <w:i/>
          <w:sz w:val="22"/>
          <w:szCs w:val="22"/>
        </w:rPr>
      </w:pPr>
    </w:p>
    <w:p w:rsidR="00CC24DD" w:rsidRPr="00CC24DD" w:rsidRDefault="00CC24DD" w:rsidP="00CC24DD">
      <w:pPr>
        <w:jc w:val="both"/>
        <w:rPr>
          <w:b/>
          <w:i/>
          <w:color w:val="000000" w:themeColor="text1"/>
          <w:sz w:val="22"/>
          <w:szCs w:val="22"/>
        </w:rPr>
      </w:pPr>
      <w:r w:rsidRPr="00CC24DD">
        <w:rPr>
          <w:b/>
          <w:i/>
          <w:color w:val="000000" w:themeColor="text1"/>
          <w:sz w:val="22"/>
          <w:szCs w:val="22"/>
        </w:rPr>
        <w:t>Τακτικός προϋπολογισμός</w:t>
      </w:r>
    </w:p>
    <w:p w:rsidR="00CC24DD" w:rsidRPr="00F112F2" w:rsidRDefault="00CC24DD" w:rsidP="00CC24DD">
      <w:pPr>
        <w:jc w:val="both"/>
        <w:rPr>
          <w:sz w:val="22"/>
          <w:szCs w:val="22"/>
          <w:highlight w:val="yellow"/>
        </w:rPr>
      </w:pPr>
    </w:p>
    <w:p w:rsidR="00CC24DD" w:rsidRPr="00DE0314" w:rsidRDefault="00CC24DD" w:rsidP="00CC24DD">
      <w:pPr>
        <w:jc w:val="both"/>
        <w:rPr>
          <w:sz w:val="22"/>
          <w:szCs w:val="22"/>
        </w:rPr>
      </w:pPr>
      <w:r w:rsidRPr="00F112F2">
        <w:rPr>
          <w:sz w:val="22"/>
          <w:szCs w:val="22"/>
        </w:rPr>
        <w:t xml:space="preserve">Οι προβλεπόμενες εισροές για τον τακτικό προϋπολογισμό ανέρχονται συνολικά σε </w:t>
      </w:r>
      <w:r>
        <w:rPr>
          <w:sz w:val="22"/>
          <w:szCs w:val="22"/>
        </w:rPr>
        <w:t>86</w:t>
      </w:r>
      <w:r w:rsidRPr="00F112F2">
        <w:rPr>
          <w:sz w:val="22"/>
          <w:szCs w:val="22"/>
        </w:rPr>
        <w:t xml:space="preserve"> εκατ. ευρώ, το μεγαλύτερο μέρος των οποίων αφορά απολήψεις για προμήθειες είσπραξης ιδίων πόρων για λογαρι</w:t>
      </w:r>
      <w:r w:rsidRPr="00F112F2">
        <w:rPr>
          <w:sz w:val="22"/>
          <w:szCs w:val="22"/>
        </w:rPr>
        <w:t>α</w:t>
      </w:r>
      <w:r>
        <w:rPr>
          <w:sz w:val="22"/>
          <w:szCs w:val="22"/>
        </w:rPr>
        <w:t>σμό της Ε</w:t>
      </w:r>
      <w:r w:rsidRPr="00F112F2">
        <w:rPr>
          <w:sz w:val="22"/>
          <w:szCs w:val="22"/>
        </w:rPr>
        <w:t xml:space="preserve">Ε. </w:t>
      </w:r>
      <w:r>
        <w:rPr>
          <w:sz w:val="22"/>
          <w:szCs w:val="22"/>
        </w:rPr>
        <w:t>Για το 2021 το ποσοστό είσπραξης ιδίων πόρων έχει υπολογιστεί σε 25%</w:t>
      </w:r>
      <w:r w:rsidRPr="00DE0314">
        <w:rPr>
          <w:sz w:val="22"/>
          <w:szCs w:val="22"/>
        </w:rPr>
        <w:t xml:space="preserve"> επ</w:t>
      </w:r>
      <w:r>
        <w:rPr>
          <w:sz w:val="22"/>
          <w:szCs w:val="22"/>
        </w:rPr>
        <w:t>ί των αποδ</w:t>
      </w:r>
      <w:r>
        <w:rPr>
          <w:sz w:val="22"/>
          <w:szCs w:val="22"/>
        </w:rPr>
        <w:t>ι</w:t>
      </w:r>
      <w:r>
        <w:rPr>
          <w:sz w:val="22"/>
          <w:szCs w:val="22"/>
        </w:rPr>
        <w:t>δόμενων δασμών με βάση το κοινό εξωτερικό δασμολόγιο, αντί για 20% που εφαρμοζόταν μέχρι και το έτος 2020, σύμφωνα με τη νέα Απόφαση Ιδίων Πόρων που αναμένεται να εγκριθεί.</w:t>
      </w:r>
    </w:p>
    <w:p w:rsidR="00CC24DD" w:rsidRPr="00F112F2" w:rsidRDefault="00CC24DD" w:rsidP="00CC24DD">
      <w:pPr>
        <w:jc w:val="both"/>
        <w:rPr>
          <w:sz w:val="22"/>
          <w:szCs w:val="22"/>
          <w:highlight w:val="yellow"/>
        </w:rPr>
      </w:pPr>
    </w:p>
    <w:p w:rsidR="00CC24DD" w:rsidRPr="00CC24DD" w:rsidRDefault="00CC24DD" w:rsidP="00CC24DD">
      <w:pPr>
        <w:jc w:val="both"/>
        <w:rPr>
          <w:b/>
          <w:i/>
          <w:color w:val="000000" w:themeColor="text1"/>
          <w:sz w:val="22"/>
          <w:szCs w:val="22"/>
        </w:rPr>
      </w:pPr>
      <w:r w:rsidRPr="00CC24DD">
        <w:rPr>
          <w:b/>
          <w:i/>
          <w:color w:val="000000" w:themeColor="text1"/>
          <w:sz w:val="22"/>
          <w:szCs w:val="22"/>
        </w:rPr>
        <w:t>Προϋπολογισμός Δημοσίων Επενδύσεων</w:t>
      </w:r>
    </w:p>
    <w:p w:rsidR="00CC24DD" w:rsidRPr="00F112F2" w:rsidRDefault="00CC24DD" w:rsidP="00CC24DD">
      <w:pPr>
        <w:jc w:val="both"/>
        <w:rPr>
          <w:sz w:val="22"/>
          <w:szCs w:val="22"/>
        </w:rPr>
      </w:pPr>
    </w:p>
    <w:p w:rsidR="00CC24DD" w:rsidRPr="00F112F2" w:rsidRDefault="00CC24DD" w:rsidP="00CC24DD">
      <w:pPr>
        <w:jc w:val="both"/>
        <w:rPr>
          <w:sz w:val="22"/>
          <w:szCs w:val="22"/>
        </w:rPr>
      </w:pPr>
      <w:r w:rsidRPr="00F112F2">
        <w:rPr>
          <w:sz w:val="22"/>
          <w:szCs w:val="22"/>
        </w:rPr>
        <w:t xml:space="preserve">Οι εισροές του ΠΔΕ, σύμφωνα με τον τρέχοντα σχεδιασμό, προβλέπεται να διαμορφωθούν στο ύψος των </w:t>
      </w:r>
      <w:r w:rsidRPr="00ED5323">
        <w:rPr>
          <w:sz w:val="22"/>
          <w:szCs w:val="22"/>
        </w:rPr>
        <w:t>3.</w:t>
      </w:r>
      <w:r>
        <w:rPr>
          <w:sz w:val="22"/>
          <w:szCs w:val="22"/>
        </w:rPr>
        <w:t>992</w:t>
      </w:r>
      <w:r w:rsidRPr="00F112F2">
        <w:rPr>
          <w:sz w:val="22"/>
          <w:szCs w:val="22"/>
        </w:rPr>
        <w:t xml:space="preserve"> εκατ. ευρώ σημειώνοντας </w:t>
      </w:r>
      <w:r>
        <w:rPr>
          <w:sz w:val="22"/>
          <w:szCs w:val="22"/>
        </w:rPr>
        <w:t>μείωση</w:t>
      </w:r>
      <w:r w:rsidRPr="00F112F2">
        <w:rPr>
          <w:sz w:val="22"/>
          <w:szCs w:val="22"/>
        </w:rPr>
        <w:t xml:space="preserve"> </w:t>
      </w:r>
      <w:r>
        <w:rPr>
          <w:sz w:val="22"/>
          <w:szCs w:val="22"/>
        </w:rPr>
        <w:t>11%</w:t>
      </w:r>
      <w:r w:rsidRPr="00F112F2">
        <w:rPr>
          <w:sz w:val="22"/>
          <w:szCs w:val="22"/>
        </w:rPr>
        <w:t xml:space="preserve"> </w:t>
      </w:r>
      <w:r>
        <w:rPr>
          <w:sz w:val="22"/>
          <w:szCs w:val="22"/>
        </w:rPr>
        <w:t>σε σχέση με το 2020</w:t>
      </w:r>
      <w:r w:rsidRPr="00F112F2">
        <w:rPr>
          <w:sz w:val="22"/>
          <w:szCs w:val="22"/>
        </w:rPr>
        <w:t>.</w:t>
      </w:r>
    </w:p>
    <w:p w:rsidR="00CC24DD" w:rsidRPr="00F112F2" w:rsidRDefault="00CC24DD" w:rsidP="00CC24DD">
      <w:pPr>
        <w:jc w:val="both"/>
        <w:rPr>
          <w:sz w:val="22"/>
          <w:szCs w:val="22"/>
        </w:rPr>
      </w:pPr>
    </w:p>
    <w:p w:rsidR="00CC24DD" w:rsidRPr="00F112F2" w:rsidRDefault="00CC24DD" w:rsidP="00CC24DD">
      <w:pPr>
        <w:jc w:val="both"/>
        <w:rPr>
          <w:b/>
          <w:i/>
          <w:sz w:val="22"/>
          <w:szCs w:val="22"/>
        </w:rPr>
      </w:pPr>
      <w:r w:rsidRPr="00F112F2">
        <w:rPr>
          <w:b/>
          <w:i/>
          <w:sz w:val="22"/>
          <w:szCs w:val="22"/>
        </w:rPr>
        <w:t>Προϋπολογισμός ΕΛΕΓΕΠ</w:t>
      </w:r>
    </w:p>
    <w:p w:rsidR="00CC24DD" w:rsidRPr="00F112F2" w:rsidRDefault="00CC24DD" w:rsidP="00CC24DD">
      <w:pPr>
        <w:jc w:val="both"/>
        <w:rPr>
          <w:sz w:val="22"/>
          <w:szCs w:val="22"/>
        </w:rPr>
      </w:pPr>
    </w:p>
    <w:p w:rsidR="00CC24DD" w:rsidRPr="00F112F2" w:rsidRDefault="00CC24DD" w:rsidP="00CC24DD">
      <w:pPr>
        <w:jc w:val="both"/>
        <w:rPr>
          <w:sz w:val="22"/>
          <w:szCs w:val="22"/>
        </w:rPr>
      </w:pPr>
      <w:r w:rsidRPr="00F112F2">
        <w:rPr>
          <w:sz w:val="22"/>
          <w:szCs w:val="22"/>
        </w:rPr>
        <w:t>Η πρόβλεψη για τις απολήψεις του προϋπολογισμού ΕΛΕΓΕΠ μέσω του ΕΓΤΕ για το 20</w:t>
      </w:r>
      <w:r>
        <w:rPr>
          <w:sz w:val="22"/>
          <w:szCs w:val="22"/>
        </w:rPr>
        <w:t>21</w:t>
      </w:r>
      <w:r w:rsidRPr="00F112F2">
        <w:rPr>
          <w:sz w:val="22"/>
          <w:szCs w:val="22"/>
        </w:rPr>
        <w:t xml:space="preserve"> είναι ποσό ύψους </w:t>
      </w:r>
      <w:r>
        <w:rPr>
          <w:sz w:val="22"/>
          <w:szCs w:val="22"/>
        </w:rPr>
        <w:t>2.133</w:t>
      </w:r>
      <w:r w:rsidRPr="00F112F2">
        <w:rPr>
          <w:sz w:val="22"/>
          <w:szCs w:val="22"/>
        </w:rPr>
        <w:t xml:space="preserve"> εκατ. ευρώ, που αντιστοιχεί σε αύξηση της τάξεως του </w:t>
      </w:r>
      <w:r>
        <w:rPr>
          <w:sz w:val="22"/>
          <w:szCs w:val="22"/>
        </w:rPr>
        <w:t>3,7%</w:t>
      </w:r>
      <w:r w:rsidRPr="00F112F2">
        <w:rPr>
          <w:sz w:val="22"/>
          <w:szCs w:val="22"/>
        </w:rPr>
        <w:t xml:space="preserve"> σε σχέση με το προηγούμ</w:t>
      </w:r>
      <w:r w:rsidRPr="00F112F2">
        <w:rPr>
          <w:sz w:val="22"/>
          <w:szCs w:val="22"/>
        </w:rPr>
        <w:t>ε</w:t>
      </w:r>
      <w:r w:rsidRPr="00F112F2">
        <w:rPr>
          <w:sz w:val="22"/>
          <w:szCs w:val="22"/>
        </w:rPr>
        <w:t>νο έτος.</w:t>
      </w:r>
    </w:p>
    <w:p w:rsidR="00EA07E3" w:rsidRPr="007C7E4E" w:rsidRDefault="00EA07E3" w:rsidP="00EA07E3">
      <w:pPr>
        <w:jc w:val="both"/>
        <w:rPr>
          <w:bCs/>
          <w:sz w:val="22"/>
          <w:szCs w:val="22"/>
        </w:rPr>
      </w:pPr>
    </w:p>
    <w:p w:rsidR="00EA07E3" w:rsidRPr="00B65DF8" w:rsidRDefault="00EA07E3" w:rsidP="00EA07E3">
      <w:pPr>
        <w:keepNext/>
        <w:jc w:val="both"/>
        <w:outlineLvl w:val="4"/>
        <w:rPr>
          <w:rFonts w:ascii="Arial Narrow" w:hAnsi="Arial Narrow"/>
          <w:b/>
          <w:sz w:val="22"/>
          <w:szCs w:val="22"/>
        </w:rPr>
      </w:pPr>
      <w:r w:rsidRPr="00B65DF8">
        <w:rPr>
          <w:rFonts w:ascii="Arial Narrow" w:hAnsi="Arial Narrow"/>
          <w:b/>
          <w:sz w:val="22"/>
          <w:szCs w:val="22"/>
        </w:rPr>
        <w:t>Αποδόσεις</w:t>
      </w:r>
    </w:p>
    <w:p w:rsidR="00EA07E3" w:rsidRPr="00B65DF8" w:rsidRDefault="00EA07E3" w:rsidP="00EA07E3">
      <w:pPr>
        <w:jc w:val="both"/>
        <w:rPr>
          <w:b/>
          <w:bCs/>
          <w:sz w:val="22"/>
          <w:szCs w:val="22"/>
        </w:rPr>
      </w:pPr>
    </w:p>
    <w:p w:rsidR="00EA07E3" w:rsidRPr="00B65DF8" w:rsidRDefault="00EA07E3" w:rsidP="00EA07E3">
      <w:pPr>
        <w:jc w:val="both"/>
        <w:rPr>
          <w:bCs/>
          <w:sz w:val="22"/>
          <w:szCs w:val="22"/>
        </w:rPr>
      </w:pPr>
      <w:r w:rsidRPr="00B65DF8">
        <w:rPr>
          <w:bCs/>
          <w:sz w:val="22"/>
          <w:szCs w:val="22"/>
        </w:rPr>
        <w:t>Οι συνεισφορές της χώρας μας στον κοινοτικό προϋπολογ</w:t>
      </w:r>
      <w:r w:rsidR="00CC24DD">
        <w:rPr>
          <w:bCs/>
          <w:sz w:val="22"/>
          <w:szCs w:val="22"/>
        </w:rPr>
        <w:t>ισμό για το οικονομικό έτος 2021</w:t>
      </w:r>
      <w:r w:rsidRPr="00B65DF8">
        <w:rPr>
          <w:bCs/>
          <w:sz w:val="22"/>
          <w:szCs w:val="22"/>
        </w:rPr>
        <w:t xml:space="preserve"> προβλ</w:t>
      </w:r>
      <w:r w:rsidRPr="00B65DF8">
        <w:rPr>
          <w:bCs/>
          <w:sz w:val="22"/>
          <w:szCs w:val="22"/>
        </w:rPr>
        <w:t>έ</w:t>
      </w:r>
      <w:r w:rsidRPr="00B65DF8">
        <w:rPr>
          <w:bCs/>
          <w:sz w:val="22"/>
          <w:szCs w:val="22"/>
        </w:rPr>
        <w:t>πεται ότι θα ανέλθουν στο ποσό των 2.</w:t>
      </w:r>
      <w:r w:rsidR="00CC24DD">
        <w:rPr>
          <w:bCs/>
          <w:sz w:val="22"/>
          <w:szCs w:val="22"/>
        </w:rPr>
        <w:t>303</w:t>
      </w:r>
      <w:r w:rsidRPr="00B65DF8">
        <w:rPr>
          <w:bCs/>
          <w:sz w:val="22"/>
          <w:szCs w:val="22"/>
        </w:rPr>
        <w:t xml:space="preserve"> εκατ. ευρώ, καταγράφοντας θετική ποσοστιαία μεταβολή </w:t>
      </w:r>
      <w:r w:rsidR="00CC24DD">
        <w:rPr>
          <w:bCs/>
          <w:sz w:val="22"/>
          <w:szCs w:val="22"/>
        </w:rPr>
        <w:t>12,5</w:t>
      </w:r>
      <w:r w:rsidRPr="00B65DF8">
        <w:rPr>
          <w:bCs/>
          <w:sz w:val="22"/>
          <w:szCs w:val="22"/>
        </w:rPr>
        <w:t>% συγκριτικά με το 20</w:t>
      </w:r>
      <w:r w:rsidR="00CC24DD">
        <w:rPr>
          <w:bCs/>
          <w:sz w:val="22"/>
          <w:szCs w:val="22"/>
        </w:rPr>
        <w:t>20</w:t>
      </w:r>
      <w:r w:rsidRPr="00B65DF8">
        <w:rPr>
          <w:bCs/>
          <w:sz w:val="22"/>
          <w:szCs w:val="22"/>
        </w:rPr>
        <w:t>.</w:t>
      </w:r>
    </w:p>
    <w:p w:rsidR="00EA07E3" w:rsidRPr="00B65DF8" w:rsidRDefault="00EA07E3" w:rsidP="00EA07E3">
      <w:pPr>
        <w:jc w:val="both"/>
        <w:rPr>
          <w:bCs/>
          <w:sz w:val="22"/>
          <w:szCs w:val="22"/>
        </w:rPr>
      </w:pPr>
    </w:p>
    <w:p w:rsidR="00EA07E3" w:rsidRPr="00847079" w:rsidRDefault="00EA07E3" w:rsidP="00EA07E3">
      <w:pPr>
        <w:jc w:val="both"/>
        <w:rPr>
          <w:sz w:val="22"/>
          <w:szCs w:val="22"/>
        </w:rPr>
      </w:pPr>
    </w:p>
    <w:p w:rsidR="00EA07E3" w:rsidRDefault="00EA07E3" w:rsidP="00EA07E3">
      <w:pPr>
        <w:jc w:val="both"/>
        <w:rPr>
          <w:rFonts w:ascii="Arial Narrow" w:hAnsi="Arial Narrow" w:cs="Arial"/>
          <w:b/>
          <w:sz w:val="16"/>
          <w:szCs w:val="16"/>
        </w:rPr>
      </w:pPr>
    </w:p>
    <w:tbl>
      <w:tblPr>
        <w:tblW w:w="8999" w:type="dxa"/>
        <w:tblInd w:w="101" w:type="dxa"/>
        <w:tblLayout w:type="fixed"/>
        <w:tblLook w:val="04A0"/>
      </w:tblPr>
      <w:tblGrid>
        <w:gridCol w:w="239"/>
        <w:gridCol w:w="4919"/>
        <w:gridCol w:w="865"/>
        <w:gridCol w:w="708"/>
        <w:gridCol w:w="851"/>
        <w:gridCol w:w="709"/>
        <w:gridCol w:w="708"/>
      </w:tblGrid>
      <w:tr w:rsidR="00EA07E3" w:rsidRPr="00FE7748" w:rsidTr="002D25C6">
        <w:trPr>
          <w:trHeight w:val="675"/>
        </w:trPr>
        <w:tc>
          <w:tcPr>
            <w:tcW w:w="8999" w:type="dxa"/>
            <w:gridSpan w:val="7"/>
            <w:tcBorders>
              <w:top w:val="single" w:sz="4" w:space="0" w:color="auto"/>
              <w:left w:val="single" w:sz="4" w:space="0" w:color="auto"/>
              <w:bottom w:val="single" w:sz="4" w:space="0" w:color="auto"/>
              <w:right w:val="single" w:sz="4" w:space="0" w:color="000000"/>
            </w:tcBorders>
            <w:shd w:val="clear" w:color="auto" w:fill="404040" w:themeFill="text1" w:themeFillTint="BF"/>
            <w:tcMar>
              <w:left w:w="28" w:type="dxa"/>
              <w:right w:w="28" w:type="dxa"/>
            </w:tcMar>
            <w:vAlign w:val="center"/>
            <w:hideMark/>
          </w:tcPr>
          <w:p w:rsidR="00EA07E3" w:rsidRPr="00FE7748" w:rsidRDefault="00EA07E3" w:rsidP="002D25C6">
            <w:pPr>
              <w:spacing w:before="60"/>
              <w:jc w:val="center"/>
              <w:rPr>
                <w:rFonts w:ascii="Arial Narrow" w:hAnsi="Arial Narrow"/>
                <w:b/>
                <w:bCs/>
                <w:color w:val="FFFFFF"/>
                <w:szCs w:val="22"/>
              </w:rPr>
            </w:pPr>
            <w:bookmarkStart w:id="4" w:name="RANGE!A1:G28"/>
            <w:r w:rsidRPr="00FE7748">
              <w:rPr>
                <w:rFonts w:ascii="Arial Narrow" w:hAnsi="Arial Narrow"/>
                <w:b/>
                <w:bCs/>
                <w:color w:val="FFFFFF"/>
                <w:szCs w:val="22"/>
              </w:rPr>
              <w:t xml:space="preserve">Πίνακας </w:t>
            </w:r>
            <w:r w:rsidR="006676A8">
              <w:rPr>
                <w:rFonts w:ascii="Arial Narrow" w:hAnsi="Arial Narrow"/>
                <w:b/>
                <w:bCs/>
                <w:color w:val="FFFFFF"/>
                <w:szCs w:val="22"/>
              </w:rPr>
              <w:t xml:space="preserve">3.13 </w:t>
            </w:r>
            <w:r w:rsidRPr="00FE7748">
              <w:rPr>
                <w:rFonts w:ascii="Arial Narrow" w:hAnsi="Arial Narrow"/>
                <w:b/>
                <w:bCs/>
                <w:color w:val="FFFFFF"/>
                <w:szCs w:val="22"/>
              </w:rPr>
              <w:t xml:space="preserve"> Χρηματοροές</w:t>
            </w:r>
            <w:r w:rsidR="00C44DB7">
              <w:rPr>
                <w:rFonts w:ascii="Arial Narrow" w:hAnsi="Arial Narrow"/>
                <w:b/>
                <w:bCs/>
                <w:color w:val="FFFFFF"/>
                <w:szCs w:val="22"/>
              </w:rPr>
              <w:t xml:space="preserve"> Ελλάδας και ΕΕ 2019 - 2021</w:t>
            </w:r>
            <w:r w:rsidRPr="00FE7748">
              <w:rPr>
                <w:rFonts w:ascii="Arial Narrow" w:hAnsi="Arial Narrow"/>
                <w:b/>
                <w:bCs/>
                <w:color w:val="FFFFFF"/>
                <w:szCs w:val="22"/>
              </w:rPr>
              <w:t xml:space="preserve"> </w:t>
            </w:r>
            <w:r w:rsidRPr="00FE7748">
              <w:rPr>
                <w:rFonts w:ascii="Arial Narrow" w:hAnsi="Arial Narrow"/>
                <w:b/>
                <w:bCs/>
                <w:color w:val="FFFFFF"/>
                <w:szCs w:val="22"/>
              </w:rPr>
              <w:br/>
              <w:t>(σε εκατ.</w:t>
            </w:r>
            <w:r w:rsidR="009D5569" w:rsidRPr="009D5569">
              <w:rPr>
                <w:rFonts w:ascii="Arial Narrow" w:hAnsi="Arial Narrow"/>
                <w:b/>
                <w:bCs/>
                <w:color w:val="FFFFFF"/>
                <w:szCs w:val="22"/>
              </w:rPr>
              <w:t xml:space="preserve"> </w:t>
            </w:r>
            <w:r w:rsidRPr="00FE7748">
              <w:rPr>
                <w:rFonts w:ascii="Arial Narrow" w:hAnsi="Arial Narrow"/>
                <w:b/>
                <w:bCs/>
                <w:color w:val="FFFFFF"/>
                <w:szCs w:val="22"/>
              </w:rPr>
              <w:t xml:space="preserve">ευρώ) </w:t>
            </w:r>
            <w:bookmarkEnd w:id="4"/>
          </w:p>
        </w:tc>
      </w:tr>
      <w:tr w:rsidR="00EA07E3" w:rsidRPr="00FE7748" w:rsidTr="002D25C6">
        <w:trPr>
          <w:trHeight w:val="375"/>
        </w:trPr>
        <w:tc>
          <w:tcPr>
            <w:tcW w:w="5158" w:type="dxa"/>
            <w:gridSpan w:val="2"/>
            <w:vMerge w:val="restart"/>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EA07E3" w:rsidRPr="00FE7748" w:rsidRDefault="00EA07E3" w:rsidP="002D25C6">
            <w:pPr>
              <w:jc w:val="center"/>
              <w:rPr>
                <w:rFonts w:ascii="Arial Narrow" w:hAnsi="Arial Narrow" w:cs="Arial"/>
                <w:sz w:val="16"/>
                <w:szCs w:val="16"/>
              </w:rPr>
            </w:pPr>
          </w:p>
        </w:tc>
        <w:tc>
          <w:tcPr>
            <w:tcW w:w="865" w:type="dxa"/>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EA07E3" w:rsidRPr="00FE7748" w:rsidRDefault="00C44DB7" w:rsidP="002D25C6">
            <w:pPr>
              <w:jc w:val="center"/>
              <w:rPr>
                <w:rFonts w:ascii="Arial Narrow" w:hAnsi="Arial Narrow" w:cs="Arial"/>
                <w:b/>
                <w:bCs/>
                <w:sz w:val="16"/>
                <w:szCs w:val="16"/>
              </w:rPr>
            </w:pPr>
            <w:r>
              <w:rPr>
                <w:rFonts w:ascii="Arial Narrow" w:hAnsi="Arial Narrow" w:cs="Arial"/>
                <w:b/>
                <w:bCs/>
                <w:sz w:val="16"/>
                <w:szCs w:val="16"/>
              </w:rPr>
              <w:t>2019</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EA07E3" w:rsidRPr="00FE7748" w:rsidRDefault="00EA07E3" w:rsidP="002D25C6">
            <w:pPr>
              <w:jc w:val="center"/>
              <w:rPr>
                <w:rFonts w:ascii="Arial Narrow" w:hAnsi="Arial Narrow" w:cs="Arial"/>
                <w:b/>
                <w:bCs/>
                <w:sz w:val="16"/>
                <w:szCs w:val="16"/>
              </w:rPr>
            </w:pPr>
            <w:r w:rsidRPr="00FE7748">
              <w:rPr>
                <w:rFonts w:ascii="Arial Narrow" w:hAnsi="Arial Narrow" w:cs="Arial"/>
                <w:b/>
                <w:bCs/>
                <w:sz w:val="16"/>
                <w:szCs w:val="16"/>
              </w:rPr>
              <w:t>20</w:t>
            </w:r>
            <w:r w:rsidR="00C44DB7">
              <w:rPr>
                <w:rFonts w:ascii="Arial Narrow" w:hAnsi="Arial Narrow" w:cs="Arial"/>
                <w:b/>
                <w:bCs/>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EA07E3" w:rsidRPr="00FE7748" w:rsidRDefault="00C44DB7" w:rsidP="002D25C6">
            <w:pPr>
              <w:jc w:val="center"/>
              <w:rPr>
                <w:rFonts w:ascii="Arial Narrow" w:hAnsi="Arial Narrow" w:cs="Arial"/>
                <w:b/>
                <w:bCs/>
                <w:sz w:val="16"/>
                <w:szCs w:val="16"/>
              </w:rPr>
            </w:pPr>
            <w:r>
              <w:rPr>
                <w:rFonts w:ascii="Arial Narrow" w:hAnsi="Arial Narrow" w:cs="Arial"/>
                <w:b/>
                <w:bCs/>
                <w:sz w:val="16"/>
                <w:szCs w:val="16"/>
              </w:rPr>
              <w:t>2021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EA07E3" w:rsidRPr="00FE7748" w:rsidRDefault="00EA07E3" w:rsidP="002D25C6">
            <w:pPr>
              <w:jc w:val="center"/>
              <w:rPr>
                <w:rFonts w:ascii="Arial Narrow" w:hAnsi="Arial Narrow" w:cs="Arial"/>
                <w:b/>
                <w:bCs/>
                <w:sz w:val="16"/>
                <w:szCs w:val="16"/>
              </w:rPr>
            </w:pPr>
            <w:r w:rsidRPr="00FE7748">
              <w:rPr>
                <w:rFonts w:ascii="Arial Narrow" w:hAnsi="Arial Narrow" w:cs="Arial"/>
                <w:b/>
                <w:bCs/>
                <w:sz w:val="16"/>
                <w:szCs w:val="16"/>
              </w:rPr>
              <w:t>Μεταβολή %</w:t>
            </w:r>
          </w:p>
        </w:tc>
      </w:tr>
      <w:tr w:rsidR="00EA07E3" w:rsidRPr="00FE7748" w:rsidTr="002D25C6">
        <w:trPr>
          <w:trHeight w:val="408"/>
        </w:trPr>
        <w:tc>
          <w:tcPr>
            <w:tcW w:w="5158" w:type="dxa"/>
            <w:gridSpan w:val="2"/>
            <w:vMerge/>
            <w:tcBorders>
              <w:left w:val="single" w:sz="4" w:space="0" w:color="auto"/>
              <w:bottom w:val="single" w:sz="4" w:space="0" w:color="auto"/>
              <w:right w:val="single" w:sz="4" w:space="0" w:color="auto"/>
            </w:tcBorders>
            <w:tcMar>
              <w:left w:w="28" w:type="dxa"/>
              <w:right w:w="28" w:type="dxa"/>
            </w:tcMar>
            <w:vAlign w:val="center"/>
            <w:hideMark/>
          </w:tcPr>
          <w:p w:rsidR="00EA07E3" w:rsidRPr="00FE7748" w:rsidRDefault="00EA07E3" w:rsidP="002D25C6">
            <w:pPr>
              <w:rPr>
                <w:rFonts w:ascii="Arial Narrow" w:hAnsi="Arial Narrow" w:cs="Arial"/>
                <w:sz w:val="16"/>
                <w:szCs w:val="16"/>
              </w:rPr>
            </w:pPr>
          </w:p>
        </w:tc>
        <w:tc>
          <w:tcPr>
            <w:tcW w:w="8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EA07E3" w:rsidRPr="00FE7748" w:rsidRDefault="00EA07E3" w:rsidP="002D25C6">
            <w:pPr>
              <w:jc w:val="center"/>
              <w:rPr>
                <w:rFonts w:ascii="Arial Narrow" w:hAnsi="Arial Narrow" w:cs="Arial"/>
                <w:b/>
                <w:sz w:val="16"/>
                <w:szCs w:val="16"/>
              </w:rPr>
            </w:pPr>
            <w:r w:rsidRPr="00FE7748">
              <w:rPr>
                <w:rFonts w:ascii="Arial Narrow" w:hAnsi="Arial Narrow" w:cs="Arial"/>
                <w:b/>
                <w:sz w:val="16"/>
                <w:szCs w:val="16"/>
              </w:rPr>
              <w:t>Πραγματο-</w:t>
            </w:r>
            <w:r w:rsidRPr="00FE7748">
              <w:rPr>
                <w:rFonts w:ascii="Arial Narrow" w:hAnsi="Arial Narrow" w:cs="Arial"/>
                <w:b/>
                <w:sz w:val="16"/>
                <w:szCs w:val="16"/>
              </w:rPr>
              <w:br/>
              <w:t>ποιήσεις</w:t>
            </w:r>
          </w:p>
        </w:tc>
        <w:tc>
          <w:tcPr>
            <w:tcW w:w="708"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EA07E3" w:rsidRPr="00FE7748" w:rsidRDefault="00EA07E3" w:rsidP="002D25C6">
            <w:pPr>
              <w:jc w:val="center"/>
              <w:rPr>
                <w:rFonts w:ascii="Arial Narrow" w:hAnsi="Arial Narrow" w:cs="Arial"/>
                <w:b/>
                <w:sz w:val="16"/>
                <w:szCs w:val="16"/>
              </w:rPr>
            </w:pPr>
            <w:r w:rsidRPr="00FE7748">
              <w:rPr>
                <w:rFonts w:ascii="Arial Narrow" w:hAnsi="Arial Narrow" w:cs="Arial"/>
                <w:b/>
                <w:sz w:val="16"/>
                <w:szCs w:val="16"/>
              </w:rPr>
              <w:t xml:space="preserve">Εκτίμηση </w:t>
            </w:r>
          </w:p>
        </w:tc>
        <w:tc>
          <w:tcPr>
            <w:tcW w:w="851"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EA07E3" w:rsidRPr="00FE7748" w:rsidRDefault="00EA07E3" w:rsidP="002D25C6">
            <w:pPr>
              <w:jc w:val="center"/>
              <w:rPr>
                <w:rFonts w:ascii="Arial Narrow" w:hAnsi="Arial Narrow" w:cs="Arial"/>
                <w:b/>
                <w:sz w:val="16"/>
                <w:szCs w:val="16"/>
              </w:rPr>
            </w:pPr>
            <w:r w:rsidRPr="00FE7748">
              <w:rPr>
                <w:rFonts w:ascii="Arial Narrow" w:hAnsi="Arial Narrow" w:cs="Arial"/>
                <w:b/>
                <w:sz w:val="16"/>
                <w:szCs w:val="16"/>
              </w:rPr>
              <w:t>Πρόβλεψη</w:t>
            </w:r>
          </w:p>
        </w:tc>
        <w:tc>
          <w:tcPr>
            <w:tcW w:w="709"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EA07E3" w:rsidRPr="00FE7748" w:rsidRDefault="00C44DB7" w:rsidP="002D25C6">
            <w:pPr>
              <w:jc w:val="center"/>
              <w:rPr>
                <w:rFonts w:ascii="Arial Narrow" w:hAnsi="Arial Narrow" w:cs="Arial"/>
                <w:b/>
                <w:sz w:val="16"/>
                <w:szCs w:val="16"/>
              </w:rPr>
            </w:pPr>
            <w:r>
              <w:rPr>
                <w:rFonts w:ascii="Arial Narrow" w:hAnsi="Arial Narrow" w:cs="Arial"/>
                <w:b/>
                <w:sz w:val="16"/>
                <w:szCs w:val="16"/>
              </w:rPr>
              <w:t>2020</w:t>
            </w:r>
            <w:r w:rsidR="00EA07E3" w:rsidRPr="00FE7748">
              <w:rPr>
                <w:rFonts w:ascii="Arial Narrow" w:hAnsi="Arial Narrow" w:cs="Arial"/>
                <w:b/>
                <w:sz w:val="16"/>
                <w:szCs w:val="16"/>
              </w:rPr>
              <w:t>/1</w:t>
            </w:r>
            <w:r>
              <w:rPr>
                <w:rFonts w:ascii="Arial Narrow" w:hAnsi="Arial Narrow" w:cs="Arial"/>
                <w:b/>
                <w:sz w:val="16"/>
                <w:szCs w:val="16"/>
              </w:rPr>
              <w:t>9</w:t>
            </w:r>
          </w:p>
        </w:tc>
        <w:tc>
          <w:tcPr>
            <w:tcW w:w="708"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EA07E3" w:rsidRPr="00FE7748" w:rsidRDefault="00C44DB7" w:rsidP="002D25C6">
            <w:pPr>
              <w:jc w:val="center"/>
              <w:rPr>
                <w:rFonts w:ascii="Arial Narrow" w:hAnsi="Arial Narrow" w:cs="Arial"/>
                <w:b/>
                <w:sz w:val="16"/>
                <w:szCs w:val="16"/>
              </w:rPr>
            </w:pPr>
            <w:r>
              <w:rPr>
                <w:rFonts w:ascii="Arial Narrow" w:hAnsi="Arial Narrow" w:cs="Arial"/>
                <w:b/>
                <w:sz w:val="16"/>
                <w:szCs w:val="16"/>
              </w:rPr>
              <w:t>2021</w:t>
            </w:r>
            <w:r w:rsidR="00EA07E3" w:rsidRPr="00FE7748">
              <w:rPr>
                <w:rFonts w:ascii="Arial Narrow" w:hAnsi="Arial Narrow" w:cs="Arial"/>
                <w:b/>
                <w:sz w:val="16"/>
                <w:szCs w:val="16"/>
              </w:rPr>
              <w:t>/</w:t>
            </w:r>
            <w:r>
              <w:rPr>
                <w:rFonts w:ascii="Arial Narrow" w:hAnsi="Arial Narrow" w:cs="Arial"/>
                <w:b/>
                <w:sz w:val="16"/>
                <w:szCs w:val="16"/>
              </w:rPr>
              <w:t>20</w:t>
            </w:r>
          </w:p>
        </w:tc>
      </w:tr>
      <w:tr w:rsidR="00C764BC" w:rsidRPr="00FE7748" w:rsidTr="002D25C6">
        <w:trPr>
          <w:trHeight w:val="227"/>
        </w:trPr>
        <w:tc>
          <w:tcPr>
            <w:tcW w:w="239" w:type="dxa"/>
            <w:tcBorders>
              <w:top w:val="single" w:sz="4" w:space="0" w:color="auto"/>
              <w:left w:val="single" w:sz="4" w:space="0" w:color="auto"/>
              <w:bottom w:val="nil"/>
            </w:tcBorders>
            <w:shd w:val="clear" w:color="auto" w:fill="BFBFBF" w:themeFill="background1" w:themeFillShade="BF"/>
            <w:noWrap/>
            <w:tcMar>
              <w:left w:w="28" w:type="dxa"/>
              <w:right w:w="28" w:type="dxa"/>
            </w:tcMar>
            <w:vAlign w:val="center"/>
            <w:hideMark/>
          </w:tcPr>
          <w:p w:rsidR="00C764BC" w:rsidRPr="00FE7748" w:rsidRDefault="00C764BC" w:rsidP="002D25C6">
            <w:pPr>
              <w:jc w:val="center"/>
              <w:rPr>
                <w:rFonts w:ascii="Arial Narrow" w:hAnsi="Arial Narrow" w:cs="Arial"/>
                <w:b/>
                <w:bCs/>
                <w:sz w:val="16"/>
                <w:szCs w:val="16"/>
              </w:rPr>
            </w:pPr>
            <w:r w:rsidRPr="00FE7748">
              <w:rPr>
                <w:rFonts w:ascii="Arial Narrow" w:hAnsi="Arial Narrow" w:cs="Arial"/>
                <w:b/>
                <w:bCs/>
                <w:sz w:val="16"/>
                <w:szCs w:val="16"/>
              </w:rPr>
              <w:t>I</w:t>
            </w:r>
          </w:p>
        </w:tc>
        <w:tc>
          <w:tcPr>
            <w:tcW w:w="4919" w:type="dxa"/>
            <w:tcBorders>
              <w:top w:val="single" w:sz="4" w:space="0" w:color="auto"/>
              <w:bottom w:val="nil"/>
            </w:tcBorders>
            <w:shd w:val="clear" w:color="auto" w:fill="BFBFBF" w:themeFill="background1" w:themeFillShade="BF"/>
            <w:tcMar>
              <w:left w:w="28" w:type="dxa"/>
              <w:right w:w="28" w:type="dxa"/>
            </w:tcMar>
            <w:vAlign w:val="center"/>
            <w:hideMark/>
          </w:tcPr>
          <w:p w:rsidR="00C764BC" w:rsidRPr="00FE7748" w:rsidRDefault="00C764BC" w:rsidP="002D25C6">
            <w:pPr>
              <w:rPr>
                <w:rFonts w:ascii="Arial Narrow" w:hAnsi="Arial Narrow" w:cs="Arial"/>
                <w:b/>
                <w:bCs/>
                <w:sz w:val="16"/>
                <w:szCs w:val="16"/>
              </w:rPr>
            </w:pPr>
            <w:r w:rsidRPr="00FE7748">
              <w:rPr>
                <w:rFonts w:ascii="Arial Narrow" w:hAnsi="Arial Narrow" w:cs="Arial"/>
                <w:b/>
                <w:bCs/>
                <w:sz w:val="16"/>
                <w:szCs w:val="16"/>
              </w:rPr>
              <w:t>Απολήψεις από την Ευρωπαϊκή Ένωση (I.1 + I.2 + I.3)</w:t>
            </w:r>
          </w:p>
        </w:tc>
        <w:tc>
          <w:tcPr>
            <w:tcW w:w="865" w:type="dxa"/>
            <w:tcBorders>
              <w:top w:val="single" w:sz="4" w:space="0" w:color="auto"/>
              <w:bottom w:val="nil"/>
              <w:right w:val="nil"/>
            </w:tcBorders>
            <w:shd w:val="clear" w:color="auto" w:fill="BFBFBF" w:themeFill="background1" w:themeFillShade="BF"/>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4.468</w:t>
            </w:r>
          </w:p>
        </w:tc>
        <w:tc>
          <w:tcPr>
            <w:tcW w:w="708" w:type="dxa"/>
            <w:tcBorders>
              <w:top w:val="single" w:sz="4" w:space="0" w:color="auto"/>
              <w:left w:val="nil"/>
              <w:bottom w:val="nil"/>
              <w:right w:val="nil"/>
            </w:tcBorders>
            <w:shd w:val="clear" w:color="auto" w:fill="BFBFBF" w:themeFill="background1" w:themeFillShade="BF"/>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6.696</w:t>
            </w:r>
          </w:p>
        </w:tc>
        <w:tc>
          <w:tcPr>
            <w:tcW w:w="851" w:type="dxa"/>
            <w:tcBorders>
              <w:top w:val="single" w:sz="4" w:space="0" w:color="auto"/>
              <w:left w:val="nil"/>
              <w:bottom w:val="nil"/>
              <w:right w:val="nil"/>
            </w:tcBorders>
            <w:shd w:val="clear" w:color="auto" w:fill="BFBFBF" w:themeFill="background1" w:themeFillShade="BF"/>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6.211</w:t>
            </w:r>
          </w:p>
        </w:tc>
        <w:tc>
          <w:tcPr>
            <w:tcW w:w="709" w:type="dxa"/>
            <w:tcBorders>
              <w:top w:val="single" w:sz="4" w:space="0" w:color="auto"/>
              <w:left w:val="nil"/>
              <w:bottom w:val="nil"/>
              <w:right w:val="nil"/>
            </w:tcBorders>
            <w:shd w:val="clear" w:color="auto" w:fill="BFBFBF" w:themeFill="background1" w:themeFillShade="BF"/>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50</w:t>
            </w:r>
          </w:p>
        </w:tc>
        <w:tc>
          <w:tcPr>
            <w:tcW w:w="708" w:type="dxa"/>
            <w:tcBorders>
              <w:top w:val="single" w:sz="4" w:space="0" w:color="auto"/>
              <w:left w:val="nil"/>
              <w:bottom w:val="nil"/>
              <w:right w:val="single" w:sz="4" w:space="0" w:color="auto"/>
            </w:tcBorders>
            <w:shd w:val="clear" w:color="auto" w:fill="BFBFBF" w:themeFill="background1" w:themeFillShade="BF"/>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-7</w:t>
            </w:r>
          </w:p>
        </w:tc>
      </w:tr>
      <w:tr w:rsidR="00C764BC" w:rsidRPr="00FE7748" w:rsidTr="002D25C6">
        <w:trPr>
          <w:trHeight w:val="227"/>
        </w:trPr>
        <w:tc>
          <w:tcPr>
            <w:tcW w:w="239" w:type="dxa"/>
            <w:tcBorders>
              <w:top w:val="nil"/>
              <w:left w:val="single" w:sz="4" w:space="0" w:color="auto"/>
              <w:bottom w:val="nil"/>
            </w:tcBorders>
            <w:shd w:val="clear" w:color="auto" w:fill="D9D9D9" w:themeFill="background1" w:themeFillShade="D9"/>
            <w:noWrap/>
            <w:tcMar>
              <w:left w:w="28" w:type="dxa"/>
              <w:right w:w="28" w:type="dxa"/>
            </w:tcMar>
            <w:vAlign w:val="center"/>
            <w:hideMark/>
          </w:tcPr>
          <w:p w:rsidR="00C764BC" w:rsidRPr="00FE7748" w:rsidRDefault="00C764BC" w:rsidP="002D25C6">
            <w:pPr>
              <w:jc w:val="center"/>
              <w:rPr>
                <w:rFonts w:ascii="Arial Narrow" w:hAnsi="Arial Narrow" w:cs="Arial"/>
                <w:b/>
                <w:bCs/>
                <w:sz w:val="16"/>
                <w:szCs w:val="16"/>
              </w:rPr>
            </w:pPr>
            <w:r w:rsidRPr="00FE7748">
              <w:rPr>
                <w:rFonts w:ascii="Arial Narrow" w:hAnsi="Arial Narrow" w:cs="Arial"/>
                <w:b/>
                <w:bCs/>
                <w:sz w:val="16"/>
                <w:szCs w:val="16"/>
              </w:rPr>
              <w:t>I.1</w:t>
            </w:r>
          </w:p>
        </w:tc>
        <w:tc>
          <w:tcPr>
            <w:tcW w:w="4919" w:type="dxa"/>
            <w:tcBorders>
              <w:top w:val="nil"/>
              <w:bottom w:val="nil"/>
            </w:tcBorders>
            <w:shd w:val="clear" w:color="auto" w:fill="D9D9D9" w:themeFill="background1" w:themeFillShade="D9"/>
            <w:tcMar>
              <w:left w:w="28" w:type="dxa"/>
              <w:right w:w="28" w:type="dxa"/>
            </w:tcMar>
            <w:vAlign w:val="center"/>
            <w:hideMark/>
          </w:tcPr>
          <w:p w:rsidR="00C764BC" w:rsidRPr="00FE7748" w:rsidRDefault="00C764BC" w:rsidP="002D25C6">
            <w:pPr>
              <w:rPr>
                <w:rFonts w:ascii="Arial Narrow" w:hAnsi="Arial Narrow" w:cs="Arial"/>
                <w:b/>
                <w:bCs/>
                <w:sz w:val="16"/>
                <w:szCs w:val="16"/>
              </w:rPr>
            </w:pPr>
            <w:r w:rsidRPr="00FE7748">
              <w:rPr>
                <w:rFonts w:ascii="Arial Narrow" w:hAnsi="Arial Narrow" w:cs="Arial"/>
                <w:b/>
                <w:bCs/>
                <w:sz w:val="16"/>
                <w:szCs w:val="16"/>
              </w:rPr>
              <w:t>Τακτικός Προϋπολογισμός (i + ii + iii + iv + v + vi + vii</w:t>
            </w:r>
            <w:r>
              <w:rPr>
                <w:rFonts w:ascii="Arial Narrow" w:hAnsi="Arial Narrow" w:cs="Arial"/>
                <w:b/>
                <w:bCs/>
                <w:sz w:val="16"/>
                <w:szCs w:val="16"/>
              </w:rPr>
              <w:t xml:space="preserve"> + </w:t>
            </w:r>
            <w:r>
              <w:rPr>
                <w:rFonts w:ascii="Arial Narrow" w:hAnsi="Arial Narrow" w:cs="Arial"/>
                <w:b/>
                <w:bCs/>
                <w:sz w:val="16"/>
                <w:szCs w:val="16"/>
                <w:lang w:val="en-US"/>
              </w:rPr>
              <w:t>viii</w:t>
            </w:r>
            <w:r w:rsidRPr="00FE7748">
              <w:rPr>
                <w:rFonts w:ascii="Arial Narrow" w:hAnsi="Arial Narrow" w:cs="Arial"/>
                <w:b/>
                <w:bCs/>
                <w:sz w:val="16"/>
                <w:szCs w:val="16"/>
              </w:rPr>
              <w:t>)</w:t>
            </w:r>
          </w:p>
        </w:tc>
        <w:tc>
          <w:tcPr>
            <w:tcW w:w="865" w:type="dxa"/>
            <w:tcBorders>
              <w:top w:val="nil"/>
              <w:bottom w:val="nil"/>
              <w:right w:val="nil"/>
            </w:tcBorders>
            <w:shd w:val="clear" w:color="auto" w:fill="D9D9D9" w:themeFill="background1" w:themeFillShade="D9"/>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155</w:t>
            </w:r>
          </w:p>
        </w:tc>
        <w:tc>
          <w:tcPr>
            <w:tcW w:w="708" w:type="dxa"/>
            <w:tcBorders>
              <w:top w:val="nil"/>
              <w:left w:val="nil"/>
              <w:bottom w:val="nil"/>
              <w:right w:val="nil"/>
            </w:tcBorders>
            <w:shd w:val="clear" w:color="auto" w:fill="D9D9D9" w:themeFill="background1" w:themeFillShade="D9"/>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153</w:t>
            </w:r>
          </w:p>
        </w:tc>
        <w:tc>
          <w:tcPr>
            <w:tcW w:w="851" w:type="dxa"/>
            <w:tcBorders>
              <w:top w:val="nil"/>
              <w:left w:val="nil"/>
              <w:bottom w:val="nil"/>
              <w:right w:val="nil"/>
            </w:tcBorders>
            <w:shd w:val="clear" w:color="auto" w:fill="D9D9D9" w:themeFill="background1" w:themeFillShade="D9"/>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86</w:t>
            </w:r>
          </w:p>
        </w:tc>
        <w:tc>
          <w:tcPr>
            <w:tcW w:w="709" w:type="dxa"/>
            <w:tcBorders>
              <w:top w:val="nil"/>
              <w:left w:val="nil"/>
              <w:bottom w:val="nil"/>
              <w:right w:val="nil"/>
            </w:tcBorders>
            <w:shd w:val="clear" w:color="auto" w:fill="D9D9D9" w:themeFill="background1" w:themeFillShade="D9"/>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-1</w:t>
            </w:r>
          </w:p>
        </w:tc>
        <w:tc>
          <w:tcPr>
            <w:tcW w:w="708" w:type="dxa"/>
            <w:tcBorders>
              <w:top w:val="nil"/>
              <w:left w:val="nil"/>
              <w:bottom w:val="nil"/>
              <w:right w:val="single" w:sz="4" w:space="0" w:color="auto"/>
            </w:tcBorders>
            <w:shd w:val="clear" w:color="auto" w:fill="D9D9D9" w:themeFill="background1" w:themeFillShade="D9"/>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-44</w:t>
            </w:r>
          </w:p>
        </w:tc>
      </w:tr>
      <w:tr w:rsidR="00C764BC" w:rsidRPr="00FE7748" w:rsidTr="002D25C6">
        <w:trPr>
          <w:trHeight w:val="227"/>
        </w:trPr>
        <w:tc>
          <w:tcPr>
            <w:tcW w:w="239" w:type="dxa"/>
            <w:tcBorders>
              <w:top w:val="nil"/>
              <w:left w:val="single" w:sz="4" w:space="0" w:color="auto"/>
              <w:bottom w:val="nil"/>
            </w:tcBorders>
            <w:shd w:val="clear" w:color="000000" w:fill="FFFFFF"/>
            <w:noWrap/>
            <w:tcMar>
              <w:left w:w="28" w:type="dxa"/>
              <w:right w:w="28" w:type="dxa"/>
            </w:tcMar>
            <w:vAlign w:val="center"/>
            <w:hideMark/>
          </w:tcPr>
          <w:p w:rsidR="00C764BC" w:rsidRPr="00FE7748" w:rsidRDefault="00C764BC" w:rsidP="002D25C6">
            <w:pPr>
              <w:jc w:val="center"/>
              <w:rPr>
                <w:rFonts w:ascii="Arial Narrow" w:hAnsi="Arial Narrow" w:cs="Arial"/>
                <w:sz w:val="16"/>
                <w:szCs w:val="16"/>
              </w:rPr>
            </w:pPr>
            <w:r w:rsidRPr="00FE7748">
              <w:rPr>
                <w:rFonts w:ascii="Arial Narrow" w:hAnsi="Arial Narrow" w:cs="Arial"/>
                <w:sz w:val="16"/>
                <w:szCs w:val="16"/>
              </w:rPr>
              <w:t>i</w:t>
            </w:r>
          </w:p>
        </w:tc>
        <w:tc>
          <w:tcPr>
            <w:tcW w:w="4919" w:type="dxa"/>
            <w:tcBorders>
              <w:top w:val="nil"/>
              <w:bottom w:val="nil"/>
            </w:tcBorders>
            <w:shd w:val="clear" w:color="000000" w:fill="FFFFFF"/>
            <w:tcMar>
              <w:left w:w="28" w:type="dxa"/>
              <w:right w:w="28" w:type="dxa"/>
            </w:tcMar>
            <w:vAlign w:val="center"/>
            <w:hideMark/>
          </w:tcPr>
          <w:p w:rsidR="00C764BC" w:rsidRPr="00FE7748" w:rsidRDefault="00C764BC" w:rsidP="002D25C6">
            <w:pPr>
              <w:rPr>
                <w:rFonts w:ascii="Arial Narrow" w:hAnsi="Arial Narrow" w:cs="Arial"/>
                <w:sz w:val="16"/>
                <w:szCs w:val="16"/>
              </w:rPr>
            </w:pPr>
            <w:r w:rsidRPr="00FE7748">
              <w:rPr>
                <w:rFonts w:ascii="Arial Narrow" w:hAnsi="Arial Narrow" w:cs="Arial"/>
                <w:sz w:val="16"/>
                <w:szCs w:val="16"/>
              </w:rPr>
              <w:t>Προμήθειες είσπραξης ιδίων πόρων για λογαριασμό της ΕΕ</w:t>
            </w:r>
          </w:p>
        </w:tc>
        <w:tc>
          <w:tcPr>
            <w:tcW w:w="865" w:type="dxa"/>
            <w:tcBorders>
              <w:top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60</w:t>
            </w:r>
          </w:p>
        </w:tc>
        <w:tc>
          <w:tcPr>
            <w:tcW w:w="708"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51</w:t>
            </w:r>
          </w:p>
        </w:tc>
        <w:tc>
          <w:tcPr>
            <w:tcW w:w="851"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71</w:t>
            </w:r>
          </w:p>
        </w:tc>
        <w:tc>
          <w:tcPr>
            <w:tcW w:w="709"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-15</w:t>
            </w:r>
          </w:p>
        </w:tc>
        <w:tc>
          <w:tcPr>
            <w:tcW w:w="708" w:type="dxa"/>
            <w:tcBorders>
              <w:top w:val="nil"/>
              <w:left w:val="nil"/>
              <w:bottom w:val="nil"/>
              <w:right w:val="single" w:sz="4" w:space="0" w:color="auto"/>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39</w:t>
            </w:r>
          </w:p>
        </w:tc>
      </w:tr>
      <w:tr w:rsidR="00C764BC" w:rsidRPr="00FE7748" w:rsidTr="002D25C6">
        <w:trPr>
          <w:trHeight w:val="227"/>
        </w:trPr>
        <w:tc>
          <w:tcPr>
            <w:tcW w:w="239" w:type="dxa"/>
            <w:tcBorders>
              <w:top w:val="nil"/>
              <w:left w:val="single" w:sz="4" w:space="0" w:color="auto"/>
              <w:bottom w:val="nil"/>
            </w:tcBorders>
            <w:shd w:val="clear" w:color="000000" w:fill="FFFFFF"/>
            <w:noWrap/>
            <w:tcMar>
              <w:left w:w="28" w:type="dxa"/>
              <w:right w:w="28" w:type="dxa"/>
            </w:tcMar>
            <w:vAlign w:val="center"/>
            <w:hideMark/>
          </w:tcPr>
          <w:p w:rsidR="00C764BC" w:rsidRPr="00FE7748" w:rsidRDefault="00C764BC" w:rsidP="002D25C6">
            <w:pPr>
              <w:jc w:val="center"/>
              <w:rPr>
                <w:rFonts w:ascii="Arial Narrow" w:hAnsi="Arial Narrow" w:cs="Arial"/>
                <w:sz w:val="16"/>
                <w:szCs w:val="16"/>
              </w:rPr>
            </w:pPr>
            <w:r w:rsidRPr="00FE7748">
              <w:rPr>
                <w:rFonts w:ascii="Arial Narrow" w:hAnsi="Arial Narrow" w:cs="Arial"/>
                <w:sz w:val="16"/>
                <w:szCs w:val="16"/>
              </w:rPr>
              <w:t>ii</w:t>
            </w:r>
          </w:p>
        </w:tc>
        <w:tc>
          <w:tcPr>
            <w:tcW w:w="4919" w:type="dxa"/>
            <w:tcBorders>
              <w:top w:val="nil"/>
              <w:bottom w:val="nil"/>
            </w:tcBorders>
            <w:shd w:val="clear" w:color="000000" w:fill="FFFFFF"/>
            <w:tcMar>
              <w:left w:w="28" w:type="dxa"/>
              <w:right w:w="28" w:type="dxa"/>
            </w:tcMar>
            <w:vAlign w:val="center"/>
            <w:hideMark/>
          </w:tcPr>
          <w:p w:rsidR="00C764BC" w:rsidRPr="00FE7748" w:rsidRDefault="00C764BC" w:rsidP="002D25C6">
            <w:pPr>
              <w:rPr>
                <w:rFonts w:ascii="Arial Narrow" w:hAnsi="Arial Narrow" w:cs="Arial"/>
                <w:sz w:val="16"/>
                <w:szCs w:val="16"/>
              </w:rPr>
            </w:pPr>
            <w:r w:rsidRPr="00FE7748">
              <w:rPr>
                <w:rFonts w:ascii="Arial Narrow" w:hAnsi="Arial Narrow" w:cs="Arial"/>
                <w:sz w:val="16"/>
                <w:szCs w:val="16"/>
              </w:rPr>
              <w:t>Επιστροφές ιδίων πόρων ΕΕ</w:t>
            </w:r>
          </w:p>
        </w:tc>
        <w:tc>
          <w:tcPr>
            <w:tcW w:w="865" w:type="dxa"/>
            <w:tcBorders>
              <w:top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60</w:t>
            </w:r>
          </w:p>
        </w:tc>
        <w:tc>
          <w:tcPr>
            <w:tcW w:w="708"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41</w:t>
            </w:r>
          </w:p>
        </w:tc>
        <w:tc>
          <w:tcPr>
            <w:tcW w:w="851"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0</w:t>
            </w:r>
          </w:p>
        </w:tc>
        <w:tc>
          <w:tcPr>
            <w:tcW w:w="709"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-32</w:t>
            </w:r>
          </w:p>
        </w:tc>
        <w:tc>
          <w:tcPr>
            <w:tcW w:w="708" w:type="dxa"/>
            <w:tcBorders>
              <w:top w:val="nil"/>
              <w:left w:val="nil"/>
              <w:bottom w:val="nil"/>
              <w:right w:val="single" w:sz="4" w:space="0" w:color="auto"/>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-100</w:t>
            </w:r>
          </w:p>
        </w:tc>
      </w:tr>
      <w:tr w:rsidR="00C764BC" w:rsidRPr="00FE7748" w:rsidTr="002D25C6">
        <w:trPr>
          <w:trHeight w:val="227"/>
        </w:trPr>
        <w:tc>
          <w:tcPr>
            <w:tcW w:w="239" w:type="dxa"/>
            <w:tcBorders>
              <w:top w:val="nil"/>
              <w:left w:val="single" w:sz="4" w:space="0" w:color="auto"/>
              <w:bottom w:val="nil"/>
            </w:tcBorders>
            <w:shd w:val="clear" w:color="000000" w:fill="FFFFFF"/>
            <w:noWrap/>
            <w:tcMar>
              <w:left w:w="28" w:type="dxa"/>
              <w:right w:w="28" w:type="dxa"/>
            </w:tcMar>
            <w:vAlign w:val="center"/>
            <w:hideMark/>
          </w:tcPr>
          <w:p w:rsidR="00C764BC" w:rsidRPr="00FE7748" w:rsidRDefault="00C764BC" w:rsidP="002D25C6">
            <w:pPr>
              <w:jc w:val="center"/>
              <w:rPr>
                <w:rFonts w:ascii="Arial Narrow" w:hAnsi="Arial Narrow" w:cs="Arial"/>
                <w:sz w:val="16"/>
                <w:szCs w:val="16"/>
              </w:rPr>
            </w:pPr>
            <w:r w:rsidRPr="00FE7748">
              <w:rPr>
                <w:rFonts w:ascii="Arial Narrow" w:hAnsi="Arial Narrow" w:cs="Arial"/>
                <w:sz w:val="16"/>
                <w:szCs w:val="16"/>
              </w:rPr>
              <w:t>iii</w:t>
            </w:r>
          </w:p>
        </w:tc>
        <w:tc>
          <w:tcPr>
            <w:tcW w:w="4919" w:type="dxa"/>
            <w:tcBorders>
              <w:top w:val="nil"/>
              <w:bottom w:val="nil"/>
            </w:tcBorders>
            <w:shd w:val="clear" w:color="000000" w:fill="FFFFFF"/>
            <w:tcMar>
              <w:left w:w="28" w:type="dxa"/>
              <w:right w:w="28" w:type="dxa"/>
            </w:tcMar>
            <w:vAlign w:val="center"/>
            <w:hideMark/>
          </w:tcPr>
          <w:p w:rsidR="00C764BC" w:rsidRPr="00FE7748" w:rsidRDefault="00C764BC" w:rsidP="002D25C6">
            <w:pPr>
              <w:rPr>
                <w:rFonts w:ascii="Arial Narrow" w:hAnsi="Arial Narrow" w:cs="Arial"/>
                <w:sz w:val="16"/>
                <w:szCs w:val="16"/>
              </w:rPr>
            </w:pPr>
            <w:r w:rsidRPr="00FE7748">
              <w:rPr>
                <w:rFonts w:ascii="Arial Narrow" w:hAnsi="Arial Narrow" w:cs="Arial"/>
                <w:sz w:val="16"/>
                <w:szCs w:val="16"/>
              </w:rPr>
              <w:t>Απολήψεις από το Ευρωπαϊκό Γεωργικό Ταμείο Αγροτικής Ανάπτυξης (ΕΓΤΑΑ)</w:t>
            </w:r>
          </w:p>
        </w:tc>
        <w:tc>
          <w:tcPr>
            <w:tcW w:w="865" w:type="dxa"/>
            <w:tcBorders>
              <w:top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3</w:t>
            </w:r>
          </w:p>
        </w:tc>
        <w:tc>
          <w:tcPr>
            <w:tcW w:w="708"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0</w:t>
            </w:r>
          </w:p>
        </w:tc>
        <w:tc>
          <w:tcPr>
            <w:tcW w:w="851"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0</w:t>
            </w:r>
          </w:p>
        </w:tc>
        <w:tc>
          <w:tcPr>
            <w:tcW w:w="709"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-100</w:t>
            </w:r>
          </w:p>
        </w:tc>
        <w:tc>
          <w:tcPr>
            <w:tcW w:w="708" w:type="dxa"/>
            <w:tcBorders>
              <w:top w:val="nil"/>
              <w:left w:val="nil"/>
              <w:bottom w:val="nil"/>
              <w:right w:val="single" w:sz="4" w:space="0" w:color="auto"/>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w:t>
            </w:r>
          </w:p>
        </w:tc>
      </w:tr>
      <w:tr w:rsidR="00C764BC" w:rsidRPr="00FE7748" w:rsidTr="002D25C6">
        <w:trPr>
          <w:trHeight w:val="227"/>
        </w:trPr>
        <w:tc>
          <w:tcPr>
            <w:tcW w:w="239" w:type="dxa"/>
            <w:tcBorders>
              <w:top w:val="nil"/>
              <w:left w:val="single" w:sz="4" w:space="0" w:color="auto"/>
              <w:bottom w:val="nil"/>
            </w:tcBorders>
            <w:shd w:val="clear" w:color="000000" w:fill="FFFFFF"/>
            <w:noWrap/>
            <w:tcMar>
              <w:left w:w="28" w:type="dxa"/>
              <w:right w:w="28" w:type="dxa"/>
            </w:tcMar>
            <w:vAlign w:val="center"/>
            <w:hideMark/>
          </w:tcPr>
          <w:p w:rsidR="00C764BC" w:rsidRPr="00FE7748" w:rsidRDefault="00C764BC" w:rsidP="002D25C6">
            <w:pPr>
              <w:jc w:val="center"/>
              <w:rPr>
                <w:rFonts w:ascii="Arial Narrow" w:hAnsi="Arial Narrow" w:cs="Arial"/>
                <w:sz w:val="16"/>
                <w:szCs w:val="16"/>
              </w:rPr>
            </w:pPr>
            <w:r w:rsidRPr="00FE7748">
              <w:rPr>
                <w:rFonts w:ascii="Arial Narrow" w:hAnsi="Arial Narrow" w:cs="Arial"/>
                <w:sz w:val="16"/>
                <w:szCs w:val="16"/>
              </w:rPr>
              <w:t>iv</w:t>
            </w:r>
          </w:p>
        </w:tc>
        <w:tc>
          <w:tcPr>
            <w:tcW w:w="4919" w:type="dxa"/>
            <w:tcBorders>
              <w:top w:val="nil"/>
              <w:bottom w:val="nil"/>
            </w:tcBorders>
            <w:shd w:val="clear" w:color="000000" w:fill="FFFFFF"/>
            <w:tcMar>
              <w:left w:w="28" w:type="dxa"/>
              <w:right w:w="28" w:type="dxa"/>
            </w:tcMar>
            <w:vAlign w:val="center"/>
            <w:hideMark/>
          </w:tcPr>
          <w:p w:rsidR="00C764BC" w:rsidRPr="00FE7748" w:rsidRDefault="00C764BC" w:rsidP="002D25C6">
            <w:pPr>
              <w:rPr>
                <w:rFonts w:ascii="Arial Narrow" w:hAnsi="Arial Narrow" w:cs="Arial"/>
                <w:sz w:val="16"/>
                <w:szCs w:val="16"/>
              </w:rPr>
            </w:pPr>
            <w:r w:rsidRPr="00FE7748">
              <w:rPr>
                <w:rFonts w:ascii="Arial Narrow" w:hAnsi="Arial Narrow" w:cs="Arial"/>
                <w:sz w:val="16"/>
                <w:szCs w:val="16"/>
              </w:rPr>
              <w:t>Λοιπές τρέχουσες μεταβιβάσεις από τα κοινοτικά ταμεία</w:t>
            </w:r>
          </w:p>
        </w:tc>
        <w:tc>
          <w:tcPr>
            <w:tcW w:w="865" w:type="dxa"/>
            <w:tcBorders>
              <w:top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13</w:t>
            </w:r>
          </w:p>
        </w:tc>
        <w:tc>
          <w:tcPr>
            <w:tcW w:w="708"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45</w:t>
            </w:r>
          </w:p>
        </w:tc>
        <w:tc>
          <w:tcPr>
            <w:tcW w:w="851"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15</w:t>
            </w:r>
          </w:p>
        </w:tc>
        <w:tc>
          <w:tcPr>
            <w:tcW w:w="709"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246</w:t>
            </w:r>
          </w:p>
        </w:tc>
        <w:tc>
          <w:tcPr>
            <w:tcW w:w="708" w:type="dxa"/>
            <w:tcBorders>
              <w:top w:val="nil"/>
              <w:left w:val="nil"/>
              <w:bottom w:val="nil"/>
              <w:right w:val="single" w:sz="4" w:space="0" w:color="auto"/>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-67</w:t>
            </w:r>
          </w:p>
        </w:tc>
      </w:tr>
      <w:tr w:rsidR="00C764BC" w:rsidRPr="00FE7748" w:rsidTr="002D25C6">
        <w:trPr>
          <w:trHeight w:val="227"/>
        </w:trPr>
        <w:tc>
          <w:tcPr>
            <w:tcW w:w="239" w:type="dxa"/>
            <w:tcBorders>
              <w:top w:val="nil"/>
              <w:left w:val="single" w:sz="4" w:space="0" w:color="auto"/>
              <w:bottom w:val="nil"/>
            </w:tcBorders>
            <w:shd w:val="clear" w:color="000000" w:fill="FFFFFF"/>
            <w:noWrap/>
            <w:tcMar>
              <w:left w:w="28" w:type="dxa"/>
              <w:right w:w="28" w:type="dxa"/>
            </w:tcMar>
            <w:vAlign w:val="center"/>
            <w:hideMark/>
          </w:tcPr>
          <w:p w:rsidR="00C764BC" w:rsidRPr="00FE7748" w:rsidRDefault="00C764BC" w:rsidP="002D25C6">
            <w:pPr>
              <w:jc w:val="center"/>
              <w:rPr>
                <w:rFonts w:ascii="Arial Narrow" w:hAnsi="Arial Narrow" w:cs="Arial"/>
                <w:sz w:val="16"/>
                <w:szCs w:val="16"/>
              </w:rPr>
            </w:pPr>
            <w:r w:rsidRPr="00FE7748">
              <w:rPr>
                <w:rFonts w:ascii="Arial Narrow" w:hAnsi="Arial Narrow" w:cs="Arial"/>
                <w:sz w:val="16"/>
                <w:szCs w:val="16"/>
              </w:rPr>
              <w:t>v</w:t>
            </w:r>
          </w:p>
        </w:tc>
        <w:tc>
          <w:tcPr>
            <w:tcW w:w="4919" w:type="dxa"/>
            <w:tcBorders>
              <w:top w:val="nil"/>
              <w:bottom w:val="nil"/>
            </w:tcBorders>
            <w:shd w:val="clear" w:color="000000" w:fill="FFFFFF"/>
            <w:tcMar>
              <w:left w:w="28" w:type="dxa"/>
              <w:right w:w="28" w:type="dxa"/>
            </w:tcMar>
            <w:vAlign w:val="center"/>
            <w:hideMark/>
          </w:tcPr>
          <w:p w:rsidR="00C764BC" w:rsidRPr="00FE7748" w:rsidRDefault="00C764BC" w:rsidP="002D25C6">
            <w:pPr>
              <w:rPr>
                <w:rFonts w:ascii="Arial Narrow" w:hAnsi="Arial Narrow" w:cs="Arial"/>
                <w:sz w:val="16"/>
                <w:szCs w:val="16"/>
              </w:rPr>
            </w:pPr>
            <w:r w:rsidRPr="00FE7748">
              <w:rPr>
                <w:rFonts w:ascii="Arial Narrow" w:hAnsi="Arial Narrow" w:cs="Arial"/>
                <w:sz w:val="16"/>
                <w:szCs w:val="16"/>
              </w:rPr>
              <w:t>Απολήψεις για δράσεις μεταναστευτικών ροών του Υπουργείου Εθνικής Άμυνας</w:t>
            </w:r>
          </w:p>
        </w:tc>
        <w:tc>
          <w:tcPr>
            <w:tcW w:w="865" w:type="dxa"/>
            <w:tcBorders>
              <w:top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2</w:t>
            </w:r>
          </w:p>
        </w:tc>
        <w:tc>
          <w:tcPr>
            <w:tcW w:w="708"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0</w:t>
            </w:r>
          </w:p>
        </w:tc>
        <w:tc>
          <w:tcPr>
            <w:tcW w:w="851"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0</w:t>
            </w:r>
          </w:p>
        </w:tc>
        <w:tc>
          <w:tcPr>
            <w:tcW w:w="709"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-100</w:t>
            </w:r>
          </w:p>
        </w:tc>
        <w:tc>
          <w:tcPr>
            <w:tcW w:w="708" w:type="dxa"/>
            <w:tcBorders>
              <w:top w:val="nil"/>
              <w:left w:val="nil"/>
              <w:bottom w:val="nil"/>
              <w:right w:val="single" w:sz="4" w:space="0" w:color="auto"/>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w:t>
            </w:r>
          </w:p>
        </w:tc>
      </w:tr>
      <w:tr w:rsidR="00C764BC" w:rsidRPr="00FE7748" w:rsidTr="002D25C6">
        <w:trPr>
          <w:trHeight w:val="227"/>
        </w:trPr>
        <w:tc>
          <w:tcPr>
            <w:tcW w:w="239" w:type="dxa"/>
            <w:tcBorders>
              <w:top w:val="nil"/>
              <w:left w:val="single" w:sz="4" w:space="0" w:color="auto"/>
              <w:bottom w:val="nil"/>
            </w:tcBorders>
            <w:shd w:val="clear" w:color="000000" w:fill="FFFFFF"/>
            <w:noWrap/>
            <w:tcMar>
              <w:left w:w="28" w:type="dxa"/>
              <w:right w:w="28" w:type="dxa"/>
            </w:tcMar>
            <w:vAlign w:val="center"/>
            <w:hideMark/>
          </w:tcPr>
          <w:p w:rsidR="00C764BC" w:rsidRPr="00FE7748" w:rsidRDefault="00C764BC" w:rsidP="002D25C6">
            <w:pPr>
              <w:jc w:val="center"/>
              <w:rPr>
                <w:rFonts w:ascii="Arial Narrow" w:hAnsi="Arial Narrow" w:cs="Arial"/>
                <w:sz w:val="16"/>
                <w:szCs w:val="16"/>
              </w:rPr>
            </w:pPr>
            <w:r w:rsidRPr="00FE7748">
              <w:rPr>
                <w:rFonts w:ascii="Arial Narrow" w:hAnsi="Arial Narrow" w:cs="Arial"/>
                <w:sz w:val="16"/>
                <w:szCs w:val="16"/>
              </w:rPr>
              <w:t>vi</w:t>
            </w:r>
          </w:p>
        </w:tc>
        <w:tc>
          <w:tcPr>
            <w:tcW w:w="4919" w:type="dxa"/>
            <w:tcBorders>
              <w:top w:val="nil"/>
              <w:bottom w:val="nil"/>
            </w:tcBorders>
            <w:shd w:val="clear" w:color="000000" w:fill="FFFFFF"/>
            <w:tcMar>
              <w:left w:w="28" w:type="dxa"/>
              <w:right w:w="28" w:type="dxa"/>
            </w:tcMar>
            <w:vAlign w:val="center"/>
            <w:hideMark/>
          </w:tcPr>
          <w:p w:rsidR="00C764BC" w:rsidRPr="00FE7748" w:rsidRDefault="00C764BC" w:rsidP="002D25C6">
            <w:pPr>
              <w:rPr>
                <w:rFonts w:ascii="Arial Narrow" w:hAnsi="Arial Narrow" w:cs="Arial"/>
                <w:sz w:val="16"/>
                <w:szCs w:val="16"/>
              </w:rPr>
            </w:pPr>
            <w:r w:rsidRPr="00FE7748">
              <w:rPr>
                <w:rFonts w:ascii="Arial Narrow" w:hAnsi="Arial Narrow" w:cs="Arial"/>
                <w:sz w:val="16"/>
                <w:szCs w:val="16"/>
              </w:rPr>
              <w:t>Απολήψεις για δράσεις μεταναστευτικών ροών λοιπών υπουργείων</w:t>
            </w:r>
          </w:p>
        </w:tc>
        <w:tc>
          <w:tcPr>
            <w:tcW w:w="865" w:type="dxa"/>
            <w:tcBorders>
              <w:top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2</w:t>
            </w:r>
          </w:p>
        </w:tc>
        <w:tc>
          <w:tcPr>
            <w:tcW w:w="708"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7</w:t>
            </w:r>
          </w:p>
        </w:tc>
        <w:tc>
          <w:tcPr>
            <w:tcW w:w="851"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0</w:t>
            </w:r>
          </w:p>
        </w:tc>
        <w:tc>
          <w:tcPr>
            <w:tcW w:w="709"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250</w:t>
            </w:r>
          </w:p>
        </w:tc>
        <w:tc>
          <w:tcPr>
            <w:tcW w:w="708" w:type="dxa"/>
            <w:tcBorders>
              <w:top w:val="nil"/>
              <w:left w:val="nil"/>
              <w:bottom w:val="nil"/>
              <w:right w:val="single" w:sz="4" w:space="0" w:color="auto"/>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-100</w:t>
            </w:r>
          </w:p>
        </w:tc>
      </w:tr>
      <w:tr w:rsidR="00C764BC" w:rsidRPr="00FE7748" w:rsidTr="002D25C6">
        <w:trPr>
          <w:trHeight w:val="227"/>
        </w:trPr>
        <w:tc>
          <w:tcPr>
            <w:tcW w:w="239" w:type="dxa"/>
            <w:tcBorders>
              <w:top w:val="nil"/>
              <w:left w:val="single" w:sz="4" w:space="0" w:color="auto"/>
              <w:bottom w:val="nil"/>
            </w:tcBorders>
            <w:shd w:val="clear" w:color="000000" w:fill="FFFFFF"/>
            <w:noWrap/>
            <w:tcMar>
              <w:left w:w="28" w:type="dxa"/>
              <w:right w:w="28" w:type="dxa"/>
            </w:tcMar>
            <w:vAlign w:val="center"/>
            <w:hideMark/>
          </w:tcPr>
          <w:p w:rsidR="00C764BC" w:rsidRPr="00FE7748" w:rsidRDefault="00C764BC" w:rsidP="002D25C6">
            <w:pPr>
              <w:jc w:val="center"/>
              <w:rPr>
                <w:rFonts w:ascii="Arial Narrow" w:hAnsi="Arial Narrow" w:cs="Arial"/>
                <w:sz w:val="16"/>
                <w:szCs w:val="16"/>
              </w:rPr>
            </w:pPr>
            <w:r w:rsidRPr="00FE7748">
              <w:rPr>
                <w:rFonts w:ascii="Arial Narrow" w:hAnsi="Arial Narrow" w:cs="Arial"/>
                <w:sz w:val="16"/>
                <w:szCs w:val="16"/>
              </w:rPr>
              <w:t>vii</w:t>
            </w:r>
          </w:p>
        </w:tc>
        <w:tc>
          <w:tcPr>
            <w:tcW w:w="4919" w:type="dxa"/>
            <w:tcBorders>
              <w:top w:val="nil"/>
              <w:bottom w:val="nil"/>
            </w:tcBorders>
            <w:shd w:val="clear" w:color="000000" w:fill="FFFFFF"/>
            <w:tcMar>
              <w:left w:w="28" w:type="dxa"/>
              <w:right w:w="28" w:type="dxa"/>
            </w:tcMar>
            <w:vAlign w:val="center"/>
            <w:hideMark/>
          </w:tcPr>
          <w:p w:rsidR="00C764BC" w:rsidRPr="00FE7748" w:rsidRDefault="00C764BC" w:rsidP="002D25C6">
            <w:pPr>
              <w:rPr>
                <w:rFonts w:ascii="Arial Narrow" w:hAnsi="Arial Narrow" w:cs="Arial"/>
                <w:sz w:val="16"/>
                <w:szCs w:val="16"/>
              </w:rPr>
            </w:pPr>
            <w:r w:rsidRPr="00FE7748">
              <w:rPr>
                <w:rFonts w:ascii="Arial Narrow" w:hAnsi="Arial Narrow" w:cs="Arial"/>
                <w:sz w:val="16"/>
                <w:szCs w:val="16"/>
              </w:rPr>
              <w:t>Απολήψεις για δράσεις μεταναστευτικών ροών του Υπουργείου Ναυτιλίας</w:t>
            </w:r>
          </w:p>
        </w:tc>
        <w:tc>
          <w:tcPr>
            <w:tcW w:w="865" w:type="dxa"/>
            <w:tcBorders>
              <w:top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12</w:t>
            </w:r>
          </w:p>
        </w:tc>
        <w:tc>
          <w:tcPr>
            <w:tcW w:w="708"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9</w:t>
            </w:r>
          </w:p>
        </w:tc>
        <w:tc>
          <w:tcPr>
            <w:tcW w:w="851"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0</w:t>
            </w:r>
          </w:p>
        </w:tc>
        <w:tc>
          <w:tcPr>
            <w:tcW w:w="709"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-25</w:t>
            </w:r>
          </w:p>
        </w:tc>
        <w:tc>
          <w:tcPr>
            <w:tcW w:w="708" w:type="dxa"/>
            <w:tcBorders>
              <w:top w:val="nil"/>
              <w:left w:val="nil"/>
              <w:bottom w:val="nil"/>
              <w:right w:val="single" w:sz="4" w:space="0" w:color="auto"/>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-100</w:t>
            </w:r>
          </w:p>
        </w:tc>
      </w:tr>
      <w:tr w:rsidR="00C764BC" w:rsidRPr="00FE7748" w:rsidTr="002D25C6">
        <w:trPr>
          <w:trHeight w:val="227"/>
        </w:trPr>
        <w:tc>
          <w:tcPr>
            <w:tcW w:w="239" w:type="dxa"/>
            <w:tcBorders>
              <w:top w:val="nil"/>
              <w:left w:val="single" w:sz="4" w:space="0" w:color="auto"/>
              <w:bottom w:val="nil"/>
            </w:tcBorders>
            <w:shd w:val="clear" w:color="000000" w:fill="FFFFFF"/>
            <w:noWrap/>
            <w:tcMar>
              <w:left w:w="28" w:type="dxa"/>
              <w:right w:w="28" w:type="dxa"/>
            </w:tcMar>
            <w:vAlign w:val="center"/>
            <w:hideMark/>
          </w:tcPr>
          <w:p w:rsidR="00C764BC" w:rsidRPr="00A24E8A" w:rsidRDefault="00C764BC" w:rsidP="002D25C6">
            <w:pPr>
              <w:jc w:val="center"/>
              <w:rPr>
                <w:rFonts w:ascii="Arial Narrow" w:hAnsi="Arial Narrow" w:cs="Arial"/>
                <w:sz w:val="16"/>
                <w:szCs w:val="16"/>
                <w:lang w:val="en-US"/>
              </w:rPr>
            </w:pPr>
            <w:r>
              <w:rPr>
                <w:rFonts w:ascii="Arial Narrow" w:hAnsi="Arial Narrow" w:cs="Arial"/>
                <w:sz w:val="16"/>
                <w:szCs w:val="16"/>
                <w:lang w:val="en-US"/>
              </w:rPr>
              <w:t>viii</w:t>
            </w:r>
          </w:p>
        </w:tc>
        <w:tc>
          <w:tcPr>
            <w:tcW w:w="4919" w:type="dxa"/>
            <w:tcBorders>
              <w:top w:val="nil"/>
              <w:bottom w:val="nil"/>
            </w:tcBorders>
            <w:shd w:val="clear" w:color="000000" w:fill="FFFFFF"/>
            <w:tcMar>
              <w:left w:w="28" w:type="dxa"/>
              <w:right w:w="28" w:type="dxa"/>
            </w:tcMar>
            <w:vAlign w:val="center"/>
            <w:hideMark/>
          </w:tcPr>
          <w:p w:rsidR="00C764BC" w:rsidRPr="00A24E8A" w:rsidRDefault="00C764BC" w:rsidP="002D25C6">
            <w:pPr>
              <w:rPr>
                <w:rFonts w:ascii="Arial Narrow" w:hAnsi="Arial Narrow" w:cs="Arial"/>
                <w:sz w:val="16"/>
                <w:szCs w:val="16"/>
              </w:rPr>
            </w:pPr>
            <w:r>
              <w:rPr>
                <w:rFonts w:ascii="Arial Narrow" w:hAnsi="Arial Narrow" w:cs="Arial"/>
                <w:sz w:val="16"/>
                <w:szCs w:val="16"/>
              </w:rPr>
              <w:t>Λοιπές απολήψεις για τη μελέτη ή εκτέλεση διαφόρων προγραμμάτων</w:t>
            </w:r>
          </w:p>
        </w:tc>
        <w:tc>
          <w:tcPr>
            <w:tcW w:w="865" w:type="dxa"/>
            <w:tcBorders>
              <w:top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3</w:t>
            </w:r>
          </w:p>
        </w:tc>
        <w:tc>
          <w:tcPr>
            <w:tcW w:w="708"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0</w:t>
            </w:r>
          </w:p>
        </w:tc>
        <w:tc>
          <w:tcPr>
            <w:tcW w:w="851"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0</w:t>
            </w:r>
          </w:p>
        </w:tc>
        <w:tc>
          <w:tcPr>
            <w:tcW w:w="709"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-100</w:t>
            </w:r>
          </w:p>
        </w:tc>
        <w:tc>
          <w:tcPr>
            <w:tcW w:w="708" w:type="dxa"/>
            <w:tcBorders>
              <w:top w:val="nil"/>
              <w:left w:val="nil"/>
              <w:bottom w:val="nil"/>
              <w:right w:val="single" w:sz="4" w:space="0" w:color="auto"/>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w:t>
            </w:r>
          </w:p>
        </w:tc>
      </w:tr>
      <w:tr w:rsidR="00C764BC" w:rsidRPr="00FE7748" w:rsidTr="002D25C6">
        <w:trPr>
          <w:trHeight w:val="227"/>
        </w:trPr>
        <w:tc>
          <w:tcPr>
            <w:tcW w:w="239" w:type="dxa"/>
            <w:tcBorders>
              <w:top w:val="nil"/>
              <w:left w:val="single" w:sz="4" w:space="0" w:color="auto"/>
              <w:bottom w:val="nil"/>
            </w:tcBorders>
            <w:shd w:val="clear" w:color="auto" w:fill="D9D9D9" w:themeFill="background1" w:themeFillShade="D9"/>
            <w:noWrap/>
            <w:tcMar>
              <w:left w:w="28" w:type="dxa"/>
              <w:right w:w="28" w:type="dxa"/>
            </w:tcMar>
            <w:vAlign w:val="center"/>
            <w:hideMark/>
          </w:tcPr>
          <w:p w:rsidR="00C764BC" w:rsidRPr="00FE7748" w:rsidRDefault="00C764BC" w:rsidP="002D25C6">
            <w:pPr>
              <w:jc w:val="center"/>
              <w:rPr>
                <w:rFonts w:ascii="Arial Narrow" w:hAnsi="Arial Narrow" w:cs="Arial"/>
                <w:b/>
                <w:bCs/>
                <w:sz w:val="16"/>
                <w:szCs w:val="16"/>
              </w:rPr>
            </w:pPr>
            <w:r w:rsidRPr="00FE7748">
              <w:rPr>
                <w:rFonts w:ascii="Arial Narrow" w:hAnsi="Arial Narrow" w:cs="Arial"/>
                <w:b/>
                <w:bCs/>
                <w:sz w:val="16"/>
                <w:szCs w:val="16"/>
              </w:rPr>
              <w:t>I.2</w:t>
            </w:r>
          </w:p>
        </w:tc>
        <w:tc>
          <w:tcPr>
            <w:tcW w:w="4919" w:type="dxa"/>
            <w:tcBorders>
              <w:top w:val="nil"/>
              <w:bottom w:val="nil"/>
            </w:tcBorders>
            <w:shd w:val="clear" w:color="auto" w:fill="D9D9D9" w:themeFill="background1" w:themeFillShade="D9"/>
            <w:tcMar>
              <w:left w:w="28" w:type="dxa"/>
              <w:right w:w="28" w:type="dxa"/>
            </w:tcMar>
            <w:vAlign w:val="center"/>
            <w:hideMark/>
          </w:tcPr>
          <w:p w:rsidR="00C764BC" w:rsidRPr="00FE7748" w:rsidRDefault="00C764BC" w:rsidP="002D25C6">
            <w:pPr>
              <w:rPr>
                <w:rFonts w:ascii="Arial Narrow" w:hAnsi="Arial Narrow" w:cs="Arial"/>
                <w:b/>
                <w:bCs/>
                <w:sz w:val="16"/>
                <w:szCs w:val="16"/>
              </w:rPr>
            </w:pPr>
            <w:r w:rsidRPr="00FE7748">
              <w:rPr>
                <w:rFonts w:ascii="Arial Narrow" w:hAnsi="Arial Narrow" w:cs="Arial"/>
                <w:b/>
                <w:bCs/>
                <w:sz w:val="16"/>
                <w:szCs w:val="16"/>
              </w:rPr>
              <w:t>Προϋπολογισμός Δημοσίων Επενδύσεων</w:t>
            </w:r>
          </w:p>
        </w:tc>
        <w:tc>
          <w:tcPr>
            <w:tcW w:w="865" w:type="dxa"/>
            <w:tcBorders>
              <w:top w:val="nil"/>
              <w:bottom w:val="nil"/>
              <w:right w:val="nil"/>
            </w:tcBorders>
            <w:shd w:val="clear" w:color="auto" w:fill="D9D9D9" w:themeFill="background1" w:themeFillShade="D9"/>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2.383</w:t>
            </w:r>
          </w:p>
        </w:tc>
        <w:tc>
          <w:tcPr>
            <w:tcW w:w="708" w:type="dxa"/>
            <w:tcBorders>
              <w:top w:val="nil"/>
              <w:left w:val="nil"/>
              <w:bottom w:val="nil"/>
              <w:right w:val="nil"/>
            </w:tcBorders>
            <w:shd w:val="clear" w:color="auto" w:fill="D9D9D9" w:themeFill="background1" w:themeFillShade="D9"/>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4.486</w:t>
            </w:r>
          </w:p>
        </w:tc>
        <w:tc>
          <w:tcPr>
            <w:tcW w:w="851" w:type="dxa"/>
            <w:tcBorders>
              <w:top w:val="nil"/>
              <w:left w:val="nil"/>
              <w:bottom w:val="nil"/>
              <w:right w:val="nil"/>
            </w:tcBorders>
            <w:shd w:val="clear" w:color="auto" w:fill="D9D9D9" w:themeFill="background1" w:themeFillShade="D9"/>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3.992</w:t>
            </w:r>
          </w:p>
        </w:tc>
        <w:tc>
          <w:tcPr>
            <w:tcW w:w="709" w:type="dxa"/>
            <w:tcBorders>
              <w:top w:val="nil"/>
              <w:left w:val="nil"/>
              <w:bottom w:val="nil"/>
              <w:right w:val="nil"/>
            </w:tcBorders>
            <w:shd w:val="clear" w:color="auto" w:fill="D9D9D9" w:themeFill="background1" w:themeFillShade="D9"/>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88</w:t>
            </w:r>
          </w:p>
        </w:tc>
        <w:tc>
          <w:tcPr>
            <w:tcW w:w="708" w:type="dxa"/>
            <w:tcBorders>
              <w:top w:val="nil"/>
              <w:left w:val="nil"/>
              <w:bottom w:val="nil"/>
              <w:right w:val="single" w:sz="4" w:space="0" w:color="auto"/>
            </w:tcBorders>
            <w:shd w:val="clear" w:color="auto" w:fill="D9D9D9" w:themeFill="background1" w:themeFillShade="D9"/>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-11</w:t>
            </w:r>
          </w:p>
        </w:tc>
      </w:tr>
      <w:tr w:rsidR="00C764BC" w:rsidRPr="00FE7748" w:rsidTr="002D25C6">
        <w:trPr>
          <w:trHeight w:val="227"/>
        </w:trPr>
        <w:tc>
          <w:tcPr>
            <w:tcW w:w="239" w:type="dxa"/>
            <w:tcBorders>
              <w:top w:val="nil"/>
              <w:left w:val="single" w:sz="4" w:space="0" w:color="auto"/>
              <w:bottom w:val="nil"/>
            </w:tcBorders>
            <w:shd w:val="clear" w:color="auto" w:fill="D9D9D9" w:themeFill="background1" w:themeFillShade="D9"/>
            <w:noWrap/>
            <w:tcMar>
              <w:left w:w="28" w:type="dxa"/>
              <w:right w:w="28" w:type="dxa"/>
            </w:tcMar>
            <w:hideMark/>
          </w:tcPr>
          <w:p w:rsidR="00C764BC" w:rsidRPr="00FE7748" w:rsidRDefault="00C764BC" w:rsidP="002D25C6">
            <w:pPr>
              <w:jc w:val="center"/>
              <w:rPr>
                <w:rFonts w:ascii="Arial Narrow" w:hAnsi="Arial Narrow" w:cs="Arial"/>
                <w:b/>
                <w:bCs/>
                <w:sz w:val="16"/>
                <w:szCs w:val="16"/>
              </w:rPr>
            </w:pPr>
            <w:r w:rsidRPr="00FE7748">
              <w:rPr>
                <w:rFonts w:ascii="Arial Narrow" w:hAnsi="Arial Narrow" w:cs="Arial"/>
                <w:b/>
                <w:bCs/>
                <w:sz w:val="16"/>
                <w:szCs w:val="16"/>
              </w:rPr>
              <w:t>I.3</w:t>
            </w:r>
          </w:p>
        </w:tc>
        <w:tc>
          <w:tcPr>
            <w:tcW w:w="4919" w:type="dxa"/>
            <w:tcBorders>
              <w:top w:val="nil"/>
              <w:bottom w:val="nil"/>
            </w:tcBorders>
            <w:shd w:val="clear" w:color="auto" w:fill="D9D9D9" w:themeFill="background1" w:themeFillShade="D9"/>
            <w:tcMar>
              <w:left w:w="28" w:type="dxa"/>
              <w:right w:w="28" w:type="dxa"/>
            </w:tcMar>
            <w:vAlign w:val="center"/>
            <w:hideMark/>
          </w:tcPr>
          <w:p w:rsidR="00C764BC" w:rsidRPr="00FE7748" w:rsidRDefault="00C764BC" w:rsidP="002D25C6">
            <w:pPr>
              <w:rPr>
                <w:rFonts w:ascii="Arial Narrow" w:hAnsi="Arial Narrow" w:cs="Arial"/>
                <w:b/>
                <w:bCs/>
                <w:sz w:val="16"/>
                <w:szCs w:val="16"/>
              </w:rPr>
            </w:pPr>
            <w:r w:rsidRPr="00FE7748">
              <w:rPr>
                <w:rFonts w:ascii="Arial Narrow" w:hAnsi="Arial Narrow" w:cs="Arial"/>
                <w:b/>
                <w:bCs/>
                <w:sz w:val="16"/>
                <w:szCs w:val="16"/>
              </w:rPr>
              <w:t>Προϋπολογισμός Ειδικού Λογαριασμού Εγγυήσεων Γεωργικών Προϊόντων (ΕΛΕΓΕΠ)</w:t>
            </w:r>
          </w:p>
        </w:tc>
        <w:tc>
          <w:tcPr>
            <w:tcW w:w="865" w:type="dxa"/>
            <w:tcBorders>
              <w:top w:val="nil"/>
              <w:bottom w:val="nil"/>
              <w:right w:val="nil"/>
            </w:tcBorders>
            <w:shd w:val="clear" w:color="auto" w:fill="D9D9D9" w:themeFill="background1" w:themeFillShade="D9"/>
            <w:noWrap/>
            <w:tcMar>
              <w:left w:w="28" w:type="dxa"/>
              <w:right w:w="28" w:type="dxa"/>
            </w:tcMar>
            <w:vAlign w:val="center"/>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1.930</w:t>
            </w:r>
          </w:p>
        </w:tc>
        <w:tc>
          <w:tcPr>
            <w:tcW w:w="708" w:type="dxa"/>
            <w:tcBorders>
              <w:top w:val="nil"/>
              <w:left w:val="nil"/>
              <w:bottom w:val="nil"/>
              <w:right w:val="nil"/>
            </w:tcBorders>
            <w:shd w:val="clear" w:color="auto" w:fill="D9D9D9" w:themeFill="background1" w:themeFillShade="D9"/>
            <w:noWrap/>
            <w:tcMar>
              <w:left w:w="28" w:type="dxa"/>
              <w:right w:w="28" w:type="dxa"/>
            </w:tcMar>
            <w:vAlign w:val="center"/>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2.057</w:t>
            </w:r>
          </w:p>
        </w:tc>
        <w:tc>
          <w:tcPr>
            <w:tcW w:w="851" w:type="dxa"/>
            <w:tcBorders>
              <w:top w:val="nil"/>
              <w:left w:val="nil"/>
              <w:bottom w:val="nil"/>
              <w:right w:val="nil"/>
            </w:tcBorders>
            <w:shd w:val="clear" w:color="auto" w:fill="D9D9D9" w:themeFill="background1" w:themeFillShade="D9"/>
            <w:noWrap/>
            <w:tcMar>
              <w:left w:w="28" w:type="dxa"/>
              <w:right w:w="28" w:type="dxa"/>
            </w:tcMar>
            <w:vAlign w:val="center"/>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2.133</w:t>
            </w:r>
          </w:p>
        </w:tc>
        <w:tc>
          <w:tcPr>
            <w:tcW w:w="709" w:type="dxa"/>
            <w:tcBorders>
              <w:top w:val="nil"/>
              <w:left w:val="nil"/>
              <w:bottom w:val="nil"/>
              <w:right w:val="nil"/>
            </w:tcBorders>
            <w:shd w:val="clear" w:color="auto" w:fill="D9D9D9" w:themeFill="background1" w:themeFillShade="D9"/>
            <w:noWrap/>
            <w:tcMar>
              <w:left w:w="28" w:type="dxa"/>
              <w:right w:w="28" w:type="dxa"/>
            </w:tcMar>
            <w:vAlign w:val="center"/>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7</w:t>
            </w:r>
          </w:p>
        </w:tc>
        <w:tc>
          <w:tcPr>
            <w:tcW w:w="708" w:type="dxa"/>
            <w:tcBorders>
              <w:top w:val="nil"/>
              <w:left w:val="nil"/>
              <w:bottom w:val="nil"/>
              <w:right w:val="single" w:sz="4" w:space="0" w:color="auto"/>
            </w:tcBorders>
            <w:shd w:val="clear" w:color="auto" w:fill="D9D9D9" w:themeFill="background1" w:themeFillShade="D9"/>
            <w:noWrap/>
            <w:tcMar>
              <w:left w:w="28" w:type="dxa"/>
              <w:right w:w="28" w:type="dxa"/>
            </w:tcMar>
            <w:vAlign w:val="center"/>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4</w:t>
            </w:r>
          </w:p>
        </w:tc>
      </w:tr>
      <w:tr w:rsidR="00C764BC" w:rsidRPr="00FE7748" w:rsidTr="002D25C6">
        <w:trPr>
          <w:trHeight w:val="227"/>
        </w:trPr>
        <w:tc>
          <w:tcPr>
            <w:tcW w:w="239" w:type="dxa"/>
            <w:tcBorders>
              <w:top w:val="nil"/>
              <w:left w:val="single" w:sz="4" w:space="0" w:color="auto"/>
              <w:bottom w:val="nil"/>
            </w:tcBorders>
            <w:shd w:val="clear" w:color="000000" w:fill="FFFFFF"/>
            <w:noWrap/>
            <w:tcMar>
              <w:left w:w="28" w:type="dxa"/>
              <w:right w:w="28" w:type="dxa"/>
            </w:tcMar>
            <w:vAlign w:val="center"/>
            <w:hideMark/>
          </w:tcPr>
          <w:p w:rsidR="00C764BC" w:rsidRPr="00FE7748" w:rsidRDefault="00C764BC" w:rsidP="002D25C6">
            <w:pPr>
              <w:jc w:val="center"/>
              <w:rPr>
                <w:rFonts w:ascii="Arial Narrow" w:hAnsi="Arial Narrow" w:cs="Arial"/>
                <w:i/>
                <w:iCs/>
                <w:sz w:val="16"/>
                <w:szCs w:val="16"/>
              </w:rPr>
            </w:pPr>
            <w:r w:rsidRPr="00FE7748">
              <w:rPr>
                <w:rFonts w:ascii="Arial Narrow" w:hAnsi="Arial Narrow" w:cs="Arial"/>
                <w:i/>
                <w:iCs/>
                <w:sz w:val="16"/>
                <w:szCs w:val="16"/>
              </w:rPr>
              <w:t> </w:t>
            </w:r>
          </w:p>
        </w:tc>
        <w:tc>
          <w:tcPr>
            <w:tcW w:w="4919" w:type="dxa"/>
            <w:tcBorders>
              <w:top w:val="nil"/>
              <w:bottom w:val="nil"/>
            </w:tcBorders>
            <w:shd w:val="clear" w:color="000000" w:fill="FFFFFF"/>
            <w:tcMar>
              <w:left w:w="28" w:type="dxa"/>
              <w:right w:w="28" w:type="dxa"/>
            </w:tcMar>
            <w:vAlign w:val="center"/>
            <w:hideMark/>
          </w:tcPr>
          <w:p w:rsidR="00C764BC" w:rsidRPr="00FE7748" w:rsidRDefault="00C764BC" w:rsidP="002D25C6">
            <w:pPr>
              <w:rPr>
                <w:rFonts w:ascii="Arial Narrow" w:hAnsi="Arial Narrow" w:cs="Arial"/>
                <w:i/>
                <w:iCs/>
                <w:sz w:val="16"/>
                <w:szCs w:val="16"/>
              </w:rPr>
            </w:pPr>
            <w:r w:rsidRPr="00FE7748">
              <w:rPr>
                <w:rFonts w:ascii="Arial Narrow" w:hAnsi="Arial Narrow" w:cs="Arial"/>
                <w:i/>
                <w:iCs/>
                <w:sz w:val="16"/>
                <w:szCs w:val="16"/>
              </w:rPr>
              <w:t>Απολήψεις από Ευρωπαϊκό Γεωργικό Ταμείο Εγγυήσεων</w:t>
            </w:r>
          </w:p>
        </w:tc>
        <w:tc>
          <w:tcPr>
            <w:tcW w:w="865" w:type="dxa"/>
            <w:tcBorders>
              <w:top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i/>
                <w:iCs/>
                <w:color w:val="000000"/>
                <w:sz w:val="16"/>
                <w:szCs w:val="16"/>
              </w:rPr>
            </w:pPr>
            <w:r>
              <w:rPr>
                <w:rFonts w:ascii="Arial Narrow" w:hAnsi="Arial Narrow"/>
                <w:i/>
                <w:iCs/>
                <w:color w:val="000000"/>
                <w:sz w:val="16"/>
                <w:szCs w:val="16"/>
              </w:rPr>
              <w:t>1.930</w:t>
            </w:r>
          </w:p>
        </w:tc>
        <w:tc>
          <w:tcPr>
            <w:tcW w:w="708"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i/>
                <w:iCs/>
                <w:color w:val="000000"/>
                <w:sz w:val="16"/>
                <w:szCs w:val="16"/>
              </w:rPr>
            </w:pPr>
            <w:r>
              <w:rPr>
                <w:rFonts w:ascii="Arial Narrow" w:hAnsi="Arial Narrow"/>
                <w:i/>
                <w:iCs/>
                <w:color w:val="000000"/>
                <w:sz w:val="16"/>
                <w:szCs w:val="16"/>
              </w:rPr>
              <w:t>2.057</w:t>
            </w:r>
          </w:p>
        </w:tc>
        <w:tc>
          <w:tcPr>
            <w:tcW w:w="851"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i/>
                <w:iCs/>
                <w:color w:val="000000"/>
                <w:sz w:val="16"/>
                <w:szCs w:val="16"/>
              </w:rPr>
            </w:pPr>
            <w:r>
              <w:rPr>
                <w:rFonts w:ascii="Arial Narrow" w:hAnsi="Arial Narrow"/>
                <w:i/>
                <w:iCs/>
                <w:color w:val="000000"/>
                <w:sz w:val="16"/>
                <w:szCs w:val="16"/>
              </w:rPr>
              <w:t>2.133</w:t>
            </w:r>
          </w:p>
        </w:tc>
        <w:tc>
          <w:tcPr>
            <w:tcW w:w="709"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i/>
                <w:iCs/>
                <w:color w:val="000000"/>
                <w:sz w:val="16"/>
                <w:szCs w:val="16"/>
              </w:rPr>
            </w:pPr>
            <w:r>
              <w:rPr>
                <w:rFonts w:ascii="Arial Narrow" w:hAnsi="Arial Narrow"/>
                <w:i/>
                <w:iCs/>
                <w:color w:val="000000"/>
                <w:sz w:val="16"/>
                <w:szCs w:val="16"/>
              </w:rPr>
              <w:t>7</w:t>
            </w:r>
          </w:p>
        </w:tc>
        <w:tc>
          <w:tcPr>
            <w:tcW w:w="708" w:type="dxa"/>
            <w:tcBorders>
              <w:top w:val="nil"/>
              <w:left w:val="nil"/>
              <w:bottom w:val="nil"/>
              <w:right w:val="single" w:sz="4" w:space="0" w:color="auto"/>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i/>
                <w:iCs/>
                <w:color w:val="000000"/>
                <w:sz w:val="16"/>
                <w:szCs w:val="16"/>
              </w:rPr>
            </w:pPr>
            <w:r>
              <w:rPr>
                <w:rFonts w:ascii="Arial Narrow" w:hAnsi="Arial Narrow"/>
                <w:i/>
                <w:iCs/>
                <w:color w:val="000000"/>
                <w:sz w:val="16"/>
                <w:szCs w:val="16"/>
              </w:rPr>
              <w:t>4</w:t>
            </w:r>
          </w:p>
        </w:tc>
      </w:tr>
      <w:tr w:rsidR="00C764BC" w:rsidRPr="00FE7748" w:rsidTr="002D25C6">
        <w:trPr>
          <w:trHeight w:val="227"/>
        </w:trPr>
        <w:tc>
          <w:tcPr>
            <w:tcW w:w="239" w:type="dxa"/>
            <w:tcBorders>
              <w:top w:val="nil"/>
              <w:left w:val="single" w:sz="4" w:space="0" w:color="auto"/>
              <w:bottom w:val="nil"/>
            </w:tcBorders>
            <w:shd w:val="clear" w:color="auto" w:fill="BFBFBF" w:themeFill="background1" w:themeFillShade="BF"/>
            <w:noWrap/>
            <w:tcMar>
              <w:left w:w="28" w:type="dxa"/>
              <w:right w:w="28" w:type="dxa"/>
            </w:tcMar>
            <w:vAlign w:val="center"/>
            <w:hideMark/>
          </w:tcPr>
          <w:p w:rsidR="00C764BC" w:rsidRPr="00FE7748" w:rsidRDefault="00C764BC" w:rsidP="002D25C6">
            <w:pPr>
              <w:jc w:val="center"/>
              <w:rPr>
                <w:rFonts w:ascii="Arial Narrow" w:hAnsi="Arial Narrow" w:cs="Arial"/>
                <w:b/>
                <w:bCs/>
                <w:sz w:val="16"/>
                <w:szCs w:val="16"/>
              </w:rPr>
            </w:pPr>
            <w:r w:rsidRPr="00FE7748">
              <w:rPr>
                <w:rFonts w:ascii="Arial Narrow" w:hAnsi="Arial Narrow" w:cs="Arial"/>
                <w:b/>
                <w:bCs/>
                <w:sz w:val="16"/>
                <w:szCs w:val="16"/>
              </w:rPr>
              <w:t>II</w:t>
            </w:r>
          </w:p>
        </w:tc>
        <w:tc>
          <w:tcPr>
            <w:tcW w:w="4919" w:type="dxa"/>
            <w:tcBorders>
              <w:top w:val="nil"/>
              <w:bottom w:val="nil"/>
            </w:tcBorders>
            <w:shd w:val="clear" w:color="auto" w:fill="BFBFBF" w:themeFill="background1" w:themeFillShade="BF"/>
            <w:tcMar>
              <w:left w:w="28" w:type="dxa"/>
              <w:right w:w="28" w:type="dxa"/>
            </w:tcMar>
            <w:vAlign w:val="center"/>
            <w:hideMark/>
          </w:tcPr>
          <w:p w:rsidR="00C764BC" w:rsidRPr="00FE7748" w:rsidRDefault="00C764BC" w:rsidP="002D25C6">
            <w:pPr>
              <w:rPr>
                <w:rFonts w:ascii="Arial Narrow" w:hAnsi="Arial Narrow" w:cs="Arial"/>
                <w:b/>
                <w:bCs/>
                <w:sz w:val="16"/>
                <w:szCs w:val="16"/>
              </w:rPr>
            </w:pPr>
            <w:r w:rsidRPr="00FE7748">
              <w:rPr>
                <w:rFonts w:ascii="Arial Narrow" w:hAnsi="Arial Narrow" w:cs="Arial"/>
                <w:b/>
                <w:bCs/>
                <w:sz w:val="16"/>
                <w:szCs w:val="16"/>
              </w:rPr>
              <w:t>Αποδόσεις στην Ευρωπαϊκή Ένωση (II.1 + II.2 + II.3)</w:t>
            </w:r>
          </w:p>
        </w:tc>
        <w:tc>
          <w:tcPr>
            <w:tcW w:w="865" w:type="dxa"/>
            <w:tcBorders>
              <w:top w:val="nil"/>
              <w:bottom w:val="nil"/>
              <w:right w:val="nil"/>
            </w:tcBorders>
            <w:shd w:val="clear" w:color="auto" w:fill="BFBFBF" w:themeFill="background1" w:themeFillShade="BF"/>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1.984</w:t>
            </w:r>
          </w:p>
        </w:tc>
        <w:tc>
          <w:tcPr>
            <w:tcW w:w="708" w:type="dxa"/>
            <w:tcBorders>
              <w:top w:val="nil"/>
              <w:left w:val="nil"/>
              <w:bottom w:val="nil"/>
              <w:right w:val="nil"/>
            </w:tcBorders>
            <w:shd w:val="clear" w:color="auto" w:fill="BFBFBF" w:themeFill="background1" w:themeFillShade="BF"/>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2.048</w:t>
            </w:r>
          </w:p>
        </w:tc>
        <w:tc>
          <w:tcPr>
            <w:tcW w:w="851" w:type="dxa"/>
            <w:tcBorders>
              <w:top w:val="nil"/>
              <w:left w:val="nil"/>
              <w:bottom w:val="nil"/>
              <w:right w:val="nil"/>
            </w:tcBorders>
            <w:shd w:val="clear" w:color="auto" w:fill="BFBFBF" w:themeFill="background1" w:themeFillShade="BF"/>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2.303</w:t>
            </w:r>
          </w:p>
        </w:tc>
        <w:tc>
          <w:tcPr>
            <w:tcW w:w="709" w:type="dxa"/>
            <w:tcBorders>
              <w:top w:val="nil"/>
              <w:left w:val="nil"/>
              <w:bottom w:val="nil"/>
              <w:right w:val="nil"/>
            </w:tcBorders>
            <w:shd w:val="clear" w:color="auto" w:fill="BFBFBF" w:themeFill="background1" w:themeFillShade="BF"/>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3</w:t>
            </w:r>
          </w:p>
        </w:tc>
        <w:tc>
          <w:tcPr>
            <w:tcW w:w="708" w:type="dxa"/>
            <w:tcBorders>
              <w:top w:val="nil"/>
              <w:left w:val="nil"/>
              <w:bottom w:val="nil"/>
              <w:right w:val="single" w:sz="4" w:space="0" w:color="auto"/>
            </w:tcBorders>
            <w:shd w:val="clear" w:color="auto" w:fill="BFBFBF" w:themeFill="background1" w:themeFillShade="BF"/>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12</w:t>
            </w:r>
          </w:p>
        </w:tc>
      </w:tr>
      <w:tr w:rsidR="00C764BC" w:rsidRPr="00FE7748" w:rsidTr="002D25C6">
        <w:trPr>
          <w:trHeight w:val="227"/>
        </w:trPr>
        <w:tc>
          <w:tcPr>
            <w:tcW w:w="239" w:type="dxa"/>
            <w:tcBorders>
              <w:top w:val="nil"/>
              <w:left w:val="single" w:sz="4" w:space="0" w:color="auto"/>
              <w:bottom w:val="nil"/>
            </w:tcBorders>
            <w:shd w:val="clear" w:color="auto" w:fill="D9D9D9" w:themeFill="background1" w:themeFillShade="D9"/>
            <w:noWrap/>
            <w:tcMar>
              <w:left w:w="28" w:type="dxa"/>
              <w:right w:w="28" w:type="dxa"/>
            </w:tcMar>
            <w:vAlign w:val="center"/>
            <w:hideMark/>
          </w:tcPr>
          <w:p w:rsidR="00C764BC" w:rsidRPr="00FE7748" w:rsidRDefault="00C764BC" w:rsidP="002D25C6">
            <w:pPr>
              <w:jc w:val="center"/>
              <w:rPr>
                <w:rFonts w:ascii="Arial Narrow" w:hAnsi="Arial Narrow" w:cs="Arial"/>
                <w:b/>
                <w:bCs/>
                <w:sz w:val="16"/>
                <w:szCs w:val="16"/>
              </w:rPr>
            </w:pPr>
            <w:r w:rsidRPr="00FE7748">
              <w:rPr>
                <w:rFonts w:ascii="Arial Narrow" w:hAnsi="Arial Narrow" w:cs="Arial"/>
                <w:b/>
                <w:bCs/>
                <w:sz w:val="16"/>
                <w:szCs w:val="16"/>
              </w:rPr>
              <w:t>II.1</w:t>
            </w:r>
          </w:p>
        </w:tc>
        <w:tc>
          <w:tcPr>
            <w:tcW w:w="4919" w:type="dxa"/>
            <w:tcBorders>
              <w:top w:val="nil"/>
              <w:bottom w:val="nil"/>
            </w:tcBorders>
            <w:shd w:val="clear" w:color="auto" w:fill="D9D9D9" w:themeFill="background1" w:themeFillShade="D9"/>
            <w:tcMar>
              <w:left w:w="28" w:type="dxa"/>
              <w:right w:w="28" w:type="dxa"/>
            </w:tcMar>
            <w:vAlign w:val="center"/>
            <w:hideMark/>
          </w:tcPr>
          <w:p w:rsidR="00C764BC" w:rsidRPr="00FE7748" w:rsidRDefault="00C764BC" w:rsidP="002D25C6">
            <w:pPr>
              <w:rPr>
                <w:rFonts w:ascii="Arial Narrow" w:hAnsi="Arial Narrow" w:cs="Arial"/>
                <w:b/>
                <w:bCs/>
                <w:sz w:val="16"/>
                <w:szCs w:val="16"/>
              </w:rPr>
            </w:pPr>
            <w:r w:rsidRPr="00FE7748">
              <w:rPr>
                <w:rFonts w:ascii="Arial Narrow" w:hAnsi="Arial Narrow" w:cs="Arial"/>
                <w:b/>
                <w:bCs/>
                <w:sz w:val="16"/>
                <w:szCs w:val="16"/>
              </w:rPr>
              <w:t>Ίδιοι κοινοτικοί πόροι (i + ii + iii + iv</w:t>
            </w:r>
            <w:r w:rsidRPr="00A24E8A">
              <w:rPr>
                <w:rFonts w:ascii="Arial Narrow" w:hAnsi="Arial Narrow" w:cs="Arial"/>
                <w:b/>
                <w:bCs/>
                <w:sz w:val="16"/>
                <w:szCs w:val="16"/>
              </w:rPr>
              <w:t xml:space="preserve"> + </w:t>
            </w:r>
            <w:r>
              <w:rPr>
                <w:rFonts w:ascii="Arial Narrow" w:hAnsi="Arial Narrow" w:cs="Arial"/>
                <w:b/>
                <w:bCs/>
                <w:sz w:val="16"/>
                <w:szCs w:val="16"/>
                <w:lang w:val="en-US"/>
              </w:rPr>
              <w:t>v</w:t>
            </w:r>
            <w:r w:rsidRPr="00FE7748">
              <w:rPr>
                <w:rFonts w:ascii="Arial Narrow" w:hAnsi="Arial Narrow" w:cs="Arial"/>
                <w:b/>
                <w:bCs/>
                <w:sz w:val="16"/>
                <w:szCs w:val="16"/>
              </w:rPr>
              <w:t xml:space="preserve">) </w:t>
            </w:r>
          </w:p>
        </w:tc>
        <w:tc>
          <w:tcPr>
            <w:tcW w:w="865" w:type="dxa"/>
            <w:tcBorders>
              <w:top w:val="nil"/>
              <w:bottom w:val="nil"/>
              <w:right w:val="nil"/>
            </w:tcBorders>
            <w:shd w:val="clear" w:color="auto" w:fill="D9D9D9" w:themeFill="background1" w:themeFillShade="D9"/>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1.859</w:t>
            </w:r>
          </w:p>
        </w:tc>
        <w:tc>
          <w:tcPr>
            <w:tcW w:w="708" w:type="dxa"/>
            <w:tcBorders>
              <w:top w:val="nil"/>
              <w:left w:val="nil"/>
              <w:bottom w:val="nil"/>
              <w:right w:val="nil"/>
            </w:tcBorders>
            <w:shd w:val="clear" w:color="auto" w:fill="D9D9D9" w:themeFill="background1" w:themeFillShade="D9"/>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1.902</w:t>
            </w:r>
          </w:p>
        </w:tc>
        <w:tc>
          <w:tcPr>
            <w:tcW w:w="851" w:type="dxa"/>
            <w:tcBorders>
              <w:top w:val="nil"/>
              <w:left w:val="nil"/>
              <w:bottom w:val="nil"/>
              <w:right w:val="nil"/>
            </w:tcBorders>
            <w:shd w:val="clear" w:color="auto" w:fill="D9D9D9" w:themeFill="background1" w:themeFillShade="D9"/>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2.151</w:t>
            </w:r>
          </w:p>
        </w:tc>
        <w:tc>
          <w:tcPr>
            <w:tcW w:w="709" w:type="dxa"/>
            <w:tcBorders>
              <w:top w:val="nil"/>
              <w:left w:val="nil"/>
              <w:bottom w:val="nil"/>
              <w:right w:val="nil"/>
            </w:tcBorders>
            <w:shd w:val="clear" w:color="auto" w:fill="D9D9D9" w:themeFill="background1" w:themeFillShade="D9"/>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2</w:t>
            </w:r>
          </w:p>
        </w:tc>
        <w:tc>
          <w:tcPr>
            <w:tcW w:w="708" w:type="dxa"/>
            <w:tcBorders>
              <w:top w:val="nil"/>
              <w:left w:val="nil"/>
              <w:bottom w:val="nil"/>
              <w:right w:val="single" w:sz="4" w:space="0" w:color="auto"/>
            </w:tcBorders>
            <w:shd w:val="clear" w:color="auto" w:fill="D9D9D9" w:themeFill="background1" w:themeFillShade="D9"/>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13</w:t>
            </w:r>
          </w:p>
        </w:tc>
      </w:tr>
      <w:tr w:rsidR="00C764BC" w:rsidRPr="00FE7748" w:rsidTr="002D25C6">
        <w:trPr>
          <w:trHeight w:val="227"/>
        </w:trPr>
        <w:tc>
          <w:tcPr>
            <w:tcW w:w="239" w:type="dxa"/>
            <w:tcBorders>
              <w:top w:val="nil"/>
              <w:left w:val="single" w:sz="4" w:space="0" w:color="auto"/>
              <w:bottom w:val="nil"/>
            </w:tcBorders>
            <w:shd w:val="clear" w:color="000000" w:fill="FFFFFF"/>
            <w:noWrap/>
            <w:tcMar>
              <w:left w:w="28" w:type="dxa"/>
              <w:right w:w="28" w:type="dxa"/>
            </w:tcMar>
            <w:vAlign w:val="center"/>
            <w:hideMark/>
          </w:tcPr>
          <w:p w:rsidR="00C764BC" w:rsidRPr="00FE7748" w:rsidRDefault="00C764BC" w:rsidP="002D25C6">
            <w:pPr>
              <w:jc w:val="center"/>
              <w:rPr>
                <w:rFonts w:ascii="Arial Narrow" w:hAnsi="Arial Narrow" w:cs="Arial"/>
                <w:sz w:val="16"/>
                <w:szCs w:val="16"/>
              </w:rPr>
            </w:pPr>
            <w:r w:rsidRPr="00FE7748">
              <w:rPr>
                <w:rFonts w:ascii="Arial Narrow" w:hAnsi="Arial Narrow" w:cs="Arial"/>
                <w:sz w:val="16"/>
                <w:szCs w:val="16"/>
              </w:rPr>
              <w:t>i</w:t>
            </w:r>
          </w:p>
        </w:tc>
        <w:tc>
          <w:tcPr>
            <w:tcW w:w="4919" w:type="dxa"/>
            <w:tcBorders>
              <w:top w:val="nil"/>
              <w:bottom w:val="nil"/>
            </w:tcBorders>
            <w:shd w:val="clear" w:color="000000" w:fill="FFFFFF"/>
            <w:tcMar>
              <w:left w:w="28" w:type="dxa"/>
              <w:right w:w="28" w:type="dxa"/>
            </w:tcMar>
            <w:vAlign w:val="center"/>
            <w:hideMark/>
          </w:tcPr>
          <w:p w:rsidR="00C764BC" w:rsidRPr="00FE7748" w:rsidRDefault="00C764BC" w:rsidP="002D25C6">
            <w:pPr>
              <w:rPr>
                <w:rFonts w:ascii="Arial Narrow" w:hAnsi="Arial Narrow" w:cs="Arial"/>
                <w:sz w:val="16"/>
                <w:szCs w:val="16"/>
              </w:rPr>
            </w:pPr>
            <w:r w:rsidRPr="00FE7748">
              <w:rPr>
                <w:rFonts w:ascii="Arial Narrow" w:hAnsi="Arial Narrow" w:cs="Arial"/>
                <w:sz w:val="16"/>
                <w:szCs w:val="16"/>
              </w:rPr>
              <w:t>Αποδόσεις δασμών που βεβαιώθηκαν με βάση το κοινό εξωτερικό δασμολόγιο</w:t>
            </w:r>
          </w:p>
        </w:tc>
        <w:tc>
          <w:tcPr>
            <w:tcW w:w="865" w:type="dxa"/>
            <w:tcBorders>
              <w:top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299</w:t>
            </w:r>
          </w:p>
        </w:tc>
        <w:tc>
          <w:tcPr>
            <w:tcW w:w="708"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254</w:t>
            </w:r>
          </w:p>
        </w:tc>
        <w:tc>
          <w:tcPr>
            <w:tcW w:w="851"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283</w:t>
            </w:r>
          </w:p>
        </w:tc>
        <w:tc>
          <w:tcPr>
            <w:tcW w:w="709"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-15</w:t>
            </w:r>
          </w:p>
        </w:tc>
        <w:tc>
          <w:tcPr>
            <w:tcW w:w="708" w:type="dxa"/>
            <w:tcBorders>
              <w:top w:val="nil"/>
              <w:left w:val="nil"/>
              <w:bottom w:val="nil"/>
              <w:right w:val="single" w:sz="4" w:space="0" w:color="auto"/>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11</w:t>
            </w:r>
          </w:p>
        </w:tc>
      </w:tr>
      <w:tr w:rsidR="00C764BC" w:rsidRPr="00FE7748" w:rsidTr="002D25C6">
        <w:trPr>
          <w:trHeight w:val="227"/>
        </w:trPr>
        <w:tc>
          <w:tcPr>
            <w:tcW w:w="239" w:type="dxa"/>
            <w:tcBorders>
              <w:top w:val="nil"/>
              <w:left w:val="single" w:sz="4" w:space="0" w:color="auto"/>
              <w:bottom w:val="nil"/>
            </w:tcBorders>
            <w:shd w:val="clear" w:color="000000" w:fill="FFFFFF"/>
            <w:noWrap/>
            <w:tcMar>
              <w:left w:w="28" w:type="dxa"/>
              <w:right w:w="28" w:type="dxa"/>
            </w:tcMar>
            <w:vAlign w:val="center"/>
            <w:hideMark/>
          </w:tcPr>
          <w:p w:rsidR="00C764BC" w:rsidRPr="00FE7748" w:rsidRDefault="00C764BC" w:rsidP="002D25C6">
            <w:pPr>
              <w:jc w:val="center"/>
              <w:rPr>
                <w:rFonts w:ascii="Arial Narrow" w:hAnsi="Arial Narrow" w:cs="Arial"/>
                <w:sz w:val="16"/>
                <w:szCs w:val="16"/>
              </w:rPr>
            </w:pPr>
            <w:r w:rsidRPr="00FE7748">
              <w:rPr>
                <w:rFonts w:ascii="Arial Narrow" w:hAnsi="Arial Narrow" w:cs="Arial"/>
                <w:sz w:val="16"/>
                <w:szCs w:val="16"/>
              </w:rPr>
              <w:t>ii</w:t>
            </w:r>
          </w:p>
        </w:tc>
        <w:tc>
          <w:tcPr>
            <w:tcW w:w="4919" w:type="dxa"/>
            <w:tcBorders>
              <w:top w:val="nil"/>
              <w:bottom w:val="nil"/>
            </w:tcBorders>
            <w:shd w:val="clear" w:color="000000" w:fill="FFFFFF"/>
            <w:tcMar>
              <w:left w:w="28" w:type="dxa"/>
              <w:right w:w="28" w:type="dxa"/>
            </w:tcMar>
            <w:vAlign w:val="center"/>
            <w:hideMark/>
          </w:tcPr>
          <w:p w:rsidR="00C764BC" w:rsidRPr="00FE7748" w:rsidRDefault="00C764BC" w:rsidP="002D25C6">
            <w:pPr>
              <w:rPr>
                <w:rFonts w:ascii="Arial Narrow" w:hAnsi="Arial Narrow" w:cs="Arial"/>
                <w:sz w:val="16"/>
                <w:szCs w:val="16"/>
              </w:rPr>
            </w:pPr>
            <w:r w:rsidRPr="00FE7748">
              <w:rPr>
                <w:rFonts w:ascii="Arial Narrow" w:hAnsi="Arial Narrow" w:cs="Arial"/>
                <w:sz w:val="16"/>
                <w:szCs w:val="16"/>
              </w:rPr>
              <w:t>Αποδόσεις εισφορών ζάχαρης και ισογλυκόζης που βεβαιώθηκαν</w:t>
            </w:r>
          </w:p>
        </w:tc>
        <w:tc>
          <w:tcPr>
            <w:tcW w:w="865" w:type="dxa"/>
            <w:tcBorders>
              <w:top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0</w:t>
            </w:r>
          </w:p>
        </w:tc>
        <w:tc>
          <w:tcPr>
            <w:tcW w:w="708"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0</w:t>
            </w:r>
          </w:p>
        </w:tc>
        <w:tc>
          <w:tcPr>
            <w:tcW w:w="851"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0</w:t>
            </w:r>
          </w:p>
        </w:tc>
        <w:tc>
          <w:tcPr>
            <w:tcW w:w="709"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w:t>
            </w:r>
          </w:p>
        </w:tc>
        <w:tc>
          <w:tcPr>
            <w:tcW w:w="708" w:type="dxa"/>
            <w:tcBorders>
              <w:top w:val="nil"/>
              <w:left w:val="nil"/>
              <w:bottom w:val="nil"/>
              <w:right w:val="single" w:sz="4" w:space="0" w:color="auto"/>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w:t>
            </w:r>
          </w:p>
        </w:tc>
      </w:tr>
      <w:tr w:rsidR="00C764BC" w:rsidRPr="00FE7748" w:rsidTr="002D25C6">
        <w:trPr>
          <w:trHeight w:val="227"/>
        </w:trPr>
        <w:tc>
          <w:tcPr>
            <w:tcW w:w="239" w:type="dxa"/>
            <w:tcBorders>
              <w:top w:val="nil"/>
              <w:left w:val="single" w:sz="4" w:space="0" w:color="auto"/>
              <w:bottom w:val="nil"/>
            </w:tcBorders>
            <w:shd w:val="clear" w:color="000000" w:fill="FFFFFF"/>
            <w:noWrap/>
            <w:tcMar>
              <w:left w:w="28" w:type="dxa"/>
              <w:right w:w="28" w:type="dxa"/>
            </w:tcMar>
            <w:hideMark/>
          </w:tcPr>
          <w:p w:rsidR="00C764BC" w:rsidRPr="00FE7748" w:rsidRDefault="00C764BC" w:rsidP="002D25C6">
            <w:pPr>
              <w:jc w:val="center"/>
              <w:rPr>
                <w:rFonts w:ascii="Arial Narrow" w:hAnsi="Arial Narrow" w:cs="Arial"/>
                <w:sz w:val="16"/>
                <w:szCs w:val="16"/>
              </w:rPr>
            </w:pPr>
            <w:r w:rsidRPr="00FE7748">
              <w:rPr>
                <w:rFonts w:ascii="Arial Narrow" w:hAnsi="Arial Narrow" w:cs="Arial"/>
                <w:sz w:val="16"/>
                <w:szCs w:val="16"/>
              </w:rPr>
              <w:t>iii</w:t>
            </w:r>
          </w:p>
        </w:tc>
        <w:tc>
          <w:tcPr>
            <w:tcW w:w="4919" w:type="dxa"/>
            <w:tcBorders>
              <w:top w:val="nil"/>
              <w:bottom w:val="nil"/>
            </w:tcBorders>
            <w:shd w:val="clear" w:color="000000" w:fill="FFFFFF"/>
            <w:tcMar>
              <w:left w:w="28" w:type="dxa"/>
              <w:right w:w="28" w:type="dxa"/>
            </w:tcMar>
            <w:vAlign w:val="center"/>
            <w:hideMark/>
          </w:tcPr>
          <w:p w:rsidR="00C764BC" w:rsidRPr="00FE7748" w:rsidRDefault="00C764BC" w:rsidP="002D25C6">
            <w:pPr>
              <w:rPr>
                <w:rFonts w:ascii="Arial Narrow" w:hAnsi="Arial Narrow" w:cs="Arial"/>
                <w:sz w:val="16"/>
                <w:szCs w:val="16"/>
              </w:rPr>
            </w:pPr>
            <w:r w:rsidRPr="00FE7748">
              <w:rPr>
                <w:rFonts w:ascii="Arial Narrow" w:hAnsi="Arial Narrow" w:cs="Arial"/>
                <w:sz w:val="16"/>
                <w:szCs w:val="16"/>
              </w:rPr>
              <w:t>Αποδόσεις στην ΕΕ ιδίων πόρων που προέρχονται από τον Φόρο Προστιθέμενης Αξίας (ΦΠΑ)</w:t>
            </w:r>
          </w:p>
        </w:tc>
        <w:tc>
          <w:tcPr>
            <w:tcW w:w="865" w:type="dxa"/>
            <w:tcBorders>
              <w:top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322</w:t>
            </w:r>
          </w:p>
        </w:tc>
        <w:tc>
          <w:tcPr>
            <w:tcW w:w="708"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340</w:t>
            </w:r>
          </w:p>
        </w:tc>
        <w:tc>
          <w:tcPr>
            <w:tcW w:w="851"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234</w:t>
            </w:r>
          </w:p>
        </w:tc>
        <w:tc>
          <w:tcPr>
            <w:tcW w:w="709"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6</w:t>
            </w:r>
          </w:p>
        </w:tc>
        <w:tc>
          <w:tcPr>
            <w:tcW w:w="708" w:type="dxa"/>
            <w:tcBorders>
              <w:top w:val="nil"/>
              <w:left w:val="nil"/>
              <w:bottom w:val="nil"/>
              <w:right w:val="single" w:sz="4" w:space="0" w:color="auto"/>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-31</w:t>
            </w:r>
          </w:p>
        </w:tc>
      </w:tr>
      <w:tr w:rsidR="00C764BC" w:rsidRPr="00FE7748" w:rsidTr="002D25C6">
        <w:trPr>
          <w:trHeight w:val="227"/>
        </w:trPr>
        <w:tc>
          <w:tcPr>
            <w:tcW w:w="239" w:type="dxa"/>
            <w:tcBorders>
              <w:top w:val="nil"/>
              <w:left w:val="single" w:sz="4" w:space="0" w:color="auto"/>
              <w:bottom w:val="nil"/>
            </w:tcBorders>
            <w:shd w:val="clear" w:color="000000" w:fill="FFFFFF"/>
            <w:noWrap/>
            <w:tcMar>
              <w:left w:w="28" w:type="dxa"/>
              <w:right w:w="28" w:type="dxa"/>
            </w:tcMar>
            <w:vAlign w:val="center"/>
            <w:hideMark/>
          </w:tcPr>
          <w:p w:rsidR="00C764BC" w:rsidRPr="00FE7748" w:rsidRDefault="00C764BC" w:rsidP="002D25C6">
            <w:pPr>
              <w:jc w:val="center"/>
              <w:rPr>
                <w:rFonts w:ascii="Arial Narrow" w:hAnsi="Arial Narrow" w:cs="Arial"/>
                <w:sz w:val="16"/>
                <w:szCs w:val="16"/>
              </w:rPr>
            </w:pPr>
            <w:r w:rsidRPr="00FE7748">
              <w:rPr>
                <w:rFonts w:ascii="Arial Narrow" w:hAnsi="Arial Narrow" w:cs="Arial"/>
                <w:sz w:val="16"/>
                <w:szCs w:val="16"/>
              </w:rPr>
              <w:t>iv</w:t>
            </w:r>
          </w:p>
        </w:tc>
        <w:tc>
          <w:tcPr>
            <w:tcW w:w="4919" w:type="dxa"/>
            <w:tcBorders>
              <w:top w:val="nil"/>
              <w:bottom w:val="nil"/>
            </w:tcBorders>
            <w:shd w:val="clear" w:color="000000" w:fill="FFFFFF"/>
            <w:tcMar>
              <w:left w:w="28" w:type="dxa"/>
              <w:right w:w="28" w:type="dxa"/>
            </w:tcMar>
            <w:vAlign w:val="center"/>
            <w:hideMark/>
          </w:tcPr>
          <w:p w:rsidR="00C764BC" w:rsidRPr="00FE7748" w:rsidRDefault="00C764BC" w:rsidP="002D25C6">
            <w:pPr>
              <w:rPr>
                <w:rFonts w:ascii="Arial Narrow" w:hAnsi="Arial Narrow" w:cs="Arial"/>
                <w:sz w:val="16"/>
                <w:szCs w:val="16"/>
              </w:rPr>
            </w:pPr>
            <w:r w:rsidRPr="00FE7748">
              <w:rPr>
                <w:rFonts w:ascii="Arial Narrow" w:hAnsi="Arial Narrow" w:cs="Arial"/>
                <w:sz w:val="16"/>
                <w:szCs w:val="16"/>
              </w:rPr>
              <w:t>Αποδόσεις στην ΕΕ βάσει Ακαθάριστου Εθνικού Εισοδήματος</w:t>
            </w:r>
          </w:p>
        </w:tc>
        <w:tc>
          <w:tcPr>
            <w:tcW w:w="865" w:type="dxa"/>
            <w:tcBorders>
              <w:top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1.238</w:t>
            </w:r>
          </w:p>
        </w:tc>
        <w:tc>
          <w:tcPr>
            <w:tcW w:w="708"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1.308</w:t>
            </w:r>
          </w:p>
        </w:tc>
        <w:tc>
          <w:tcPr>
            <w:tcW w:w="851"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1.580</w:t>
            </w:r>
          </w:p>
        </w:tc>
        <w:tc>
          <w:tcPr>
            <w:tcW w:w="709"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6</w:t>
            </w:r>
          </w:p>
        </w:tc>
        <w:tc>
          <w:tcPr>
            <w:tcW w:w="708" w:type="dxa"/>
            <w:tcBorders>
              <w:top w:val="nil"/>
              <w:left w:val="nil"/>
              <w:bottom w:val="nil"/>
              <w:right w:val="single" w:sz="4" w:space="0" w:color="auto"/>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21</w:t>
            </w:r>
          </w:p>
        </w:tc>
      </w:tr>
      <w:tr w:rsidR="00C764BC" w:rsidRPr="00FE7748" w:rsidTr="002D25C6">
        <w:trPr>
          <w:trHeight w:val="227"/>
        </w:trPr>
        <w:tc>
          <w:tcPr>
            <w:tcW w:w="239" w:type="dxa"/>
            <w:tcBorders>
              <w:top w:val="nil"/>
              <w:left w:val="single" w:sz="4" w:space="0" w:color="auto"/>
              <w:bottom w:val="nil"/>
            </w:tcBorders>
            <w:shd w:val="clear" w:color="000000" w:fill="FFFFFF"/>
            <w:noWrap/>
            <w:tcMar>
              <w:left w:w="28" w:type="dxa"/>
              <w:right w:w="28" w:type="dxa"/>
            </w:tcMar>
            <w:vAlign w:val="center"/>
            <w:hideMark/>
          </w:tcPr>
          <w:p w:rsidR="00C764BC" w:rsidRPr="00A24E8A" w:rsidRDefault="00C764BC" w:rsidP="002D25C6">
            <w:pPr>
              <w:jc w:val="center"/>
              <w:rPr>
                <w:rFonts w:ascii="Arial Narrow" w:hAnsi="Arial Narrow" w:cs="Arial"/>
                <w:sz w:val="16"/>
                <w:szCs w:val="16"/>
                <w:lang w:val="en-US"/>
              </w:rPr>
            </w:pPr>
            <w:r>
              <w:rPr>
                <w:rFonts w:ascii="Arial Narrow" w:hAnsi="Arial Narrow" w:cs="Arial"/>
                <w:sz w:val="16"/>
                <w:szCs w:val="16"/>
                <w:lang w:val="en-US"/>
              </w:rPr>
              <w:t>v</w:t>
            </w:r>
          </w:p>
        </w:tc>
        <w:tc>
          <w:tcPr>
            <w:tcW w:w="4919" w:type="dxa"/>
            <w:tcBorders>
              <w:top w:val="nil"/>
              <w:bottom w:val="nil"/>
            </w:tcBorders>
            <w:shd w:val="clear" w:color="000000" w:fill="FFFFFF"/>
            <w:tcMar>
              <w:left w:w="28" w:type="dxa"/>
              <w:right w:w="28" w:type="dxa"/>
            </w:tcMar>
            <w:vAlign w:val="center"/>
            <w:hideMark/>
          </w:tcPr>
          <w:p w:rsidR="00C764BC" w:rsidRPr="00FE7748" w:rsidRDefault="00C764BC" w:rsidP="002D25C6">
            <w:pPr>
              <w:rPr>
                <w:rFonts w:ascii="Arial Narrow" w:hAnsi="Arial Narrow" w:cs="Arial"/>
                <w:sz w:val="16"/>
                <w:szCs w:val="16"/>
              </w:rPr>
            </w:pPr>
            <w:r>
              <w:rPr>
                <w:rFonts w:ascii="Arial Narrow" w:hAnsi="Arial Narrow" w:cs="Arial"/>
                <w:sz w:val="16"/>
                <w:szCs w:val="16"/>
              </w:rPr>
              <w:t>Ίδιος πόρος επί των επί των μη ανακυκλούμενων πλαστικών συσκευασιών</w:t>
            </w:r>
          </w:p>
        </w:tc>
        <w:tc>
          <w:tcPr>
            <w:tcW w:w="865" w:type="dxa"/>
            <w:tcBorders>
              <w:top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w:t>
            </w:r>
          </w:p>
        </w:tc>
        <w:tc>
          <w:tcPr>
            <w:tcW w:w="708"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w:t>
            </w:r>
          </w:p>
        </w:tc>
        <w:tc>
          <w:tcPr>
            <w:tcW w:w="851"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54</w:t>
            </w:r>
          </w:p>
        </w:tc>
        <w:tc>
          <w:tcPr>
            <w:tcW w:w="709"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 </w:t>
            </w:r>
          </w:p>
        </w:tc>
        <w:tc>
          <w:tcPr>
            <w:tcW w:w="708" w:type="dxa"/>
            <w:tcBorders>
              <w:top w:val="nil"/>
              <w:left w:val="nil"/>
              <w:bottom w:val="nil"/>
              <w:right w:val="single" w:sz="4" w:space="0" w:color="auto"/>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 </w:t>
            </w:r>
          </w:p>
        </w:tc>
      </w:tr>
      <w:tr w:rsidR="00C764BC" w:rsidRPr="00FE7748" w:rsidTr="002D25C6">
        <w:trPr>
          <w:trHeight w:val="227"/>
        </w:trPr>
        <w:tc>
          <w:tcPr>
            <w:tcW w:w="239" w:type="dxa"/>
            <w:tcBorders>
              <w:top w:val="nil"/>
              <w:left w:val="single" w:sz="4" w:space="0" w:color="auto"/>
              <w:bottom w:val="nil"/>
            </w:tcBorders>
            <w:shd w:val="clear" w:color="auto" w:fill="D9D9D9" w:themeFill="background1" w:themeFillShade="D9"/>
            <w:noWrap/>
            <w:tcMar>
              <w:left w:w="28" w:type="dxa"/>
              <w:right w:w="28" w:type="dxa"/>
            </w:tcMar>
            <w:vAlign w:val="center"/>
            <w:hideMark/>
          </w:tcPr>
          <w:p w:rsidR="00C764BC" w:rsidRPr="00FE7748" w:rsidRDefault="00C764BC" w:rsidP="002D25C6">
            <w:pPr>
              <w:jc w:val="center"/>
              <w:rPr>
                <w:rFonts w:ascii="Arial Narrow" w:hAnsi="Arial Narrow" w:cs="Arial"/>
                <w:b/>
                <w:bCs/>
                <w:sz w:val="16"/>
                <w:szCs w:val="16"/>
              </w:rPr>
            </w:pPr>
            <w:r w:rsidRPr="00FE7748">
              <w:rPr>
                <w:rFonts w:ascii="Arial Narrow" w:hAnsi="Arial Narrow" w:cs="Arial"/>
                <w:b/>
                <w:bCs/>
                <w:sz w:val="16"/>
                <w:szCs w:val="16"/>
              </w:rPr>
              <w:t>II.2</w:t>
            </w:r>
          </w:p>
        </w:tc>
        <w:tc>
          <w:tcPr>
            <w:tcW w:w="4919" w:type="dxa"/>
            <w:tcBorders>
              <w:top w:val="nil"/>
              <w:bottom w:val="nil"/>
            </w:tcBorders>
            <w:shd w:val="clear" w:color="auto" w:fill="D9D9D9" w:themeFill="background1" w:themeFillShade="D9"/>
            <w:tcMar>
              <w:left w:w="28" w:type="dxa"/>
              <w:right w:w="28" w:type="dxa"/>
            </w:tcMar>
            <w:vAlign w:val="center"/>
            <w:hideMark/>
          </w:tcPr>
          <w:p w:rsidR="00C764BC" w:rsidRPr="00307E3F" w:rsidRDefault="00C764BC" w:rsidP="002D25C6">
            <w:pPr>
              <w:rPr>
                <w:rFonts w:ascii="Arial Narrow" w:hAnsi="Arial Narrow" w:cs="Arial"/>
                <w:b/>
                <w:bCs/>
                <w:sz w:val="16"/>
                <w:szCs w:val="16"/>
              </w:rPr>
            </w:pPr>
            <w:r w:rsidRPr="00FE7748">
              <w:rPr>
                <w:rFonts w:ascii="Arial Narrow" w:hAnsi="Arial Narrow" w:cs="Arial"/>
                <w:b/>
                <w:bCs/>
                <w:sz w:val="16"/>
                <w:szCs w:val="16"/>
              </w:rPr>
              <w:t>Λοιπές συνεισφορές-επιστροφές (i + ii</w:t>
            </w:r>
            <w:r w:rsidRPr="00307E3F">
              <w:rPr>
                <w:rFonts w:ascii="Arial Narrow" w:hAnsi="Arial Narrow" w:cs="Arial"/>
                <w:b/>
                <w:bCs/>
                <w:sz w:val="16"/>
                <w:szCs w:val="16"/>
              </w:rPr>
              <w:t xml:space="preserve"> + </w:t>
            </w:r>
            <w:r>
              <w:rPr>
                <w:rFonts w:ascii="Arial Narrow" w:hAnsi="Arial Narrow" w:cs="Arial"/>
                <w:b/>
                <w:bCs/>
                <w:sz w:val="16"/>
                <w:szCs w:val="16"/>
                <w:lang w:val="en-US"/>
              </w:rPr>
              <w:t>iii</w:t>
            </w:r>
            <w:r w:rsidRPr="00FE7748">
              <w:rPr>
                <w:rFonts w:ascii="Arial Narrow" w:hAnsi="Arial Narrow" w:cs="Arial"/>
                <w:b/>
                <w:bCs/>
                <w:sz w:val="16"/>
                <w:szCs w:val="16"/>
              </w:rPr>
              <w:t>)</w:t>
            </w:r>
            <w:r w:rsidRPr="00307E3F">
              <w:rPr>
                <w:rFonts w:ascii="Arial Narrow" w:hAnsi="Arial Narrow" w:cs="Arial"/>
                <w:b/>
                <w:bCs/>
                <w:sz w:val="16"/>
                <w:szCs w:val="16"/>
              </w:rPr>
              <w:t xml:space="preserve"> </w:t>
            </w:r>
          </w:p>
        </w:tc>
        <w:tc>
          <w:tcPr>
            <w:tcW w:w="865" w:type="dxa"/>
            <w:tcBorders>
              <w:top w:val="nil"/>
              <w:bottom w:val="nil"/>
              <w:right w:val="nil"/>
            </w:tcBorders>
            <w:shd w:val="clear" w:color="auto" w:fill="D9D9D9" w:themeFill="background1" w:themeFillShade="D9"/>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50</w:t>
            </w:r>
          </w:p>
        </w:tc>
        <w:tc>
          <w:tcPr>
            <w:tcW w:w="708" w:type="dxa"/>
            <w:tcBorders>
              <w:top w:val="nil"/>
              <w:left w:val="nil"/>
              <w:bottom w:val="nil"/>
              <w:right w:val="nil"/>
            </w:tcBorders>
            <w:shd w:val="clear" w:color="auto" w:fill="D9D9D9" w:themeFill="background1" w:themeFillShade="D9"/>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71</w:t>
            </w:r>
          </w:p>
        </w:tc>
        <w:tc>
          <w:tcPr>
            <w:tcW w:w="851" w:type="dxa"/>
            <w:tcBorders>
              <w:top w:val="nil"/>
              <w:left w:val="nil"/>
              <w:bottom w:val="nil"/>
              <w:right w:val="nil"/>
            </w:tcBorders>
            <w:shd w:val="clear" w:color="auto" w:fill="D9D9D9" w:themeFill="background1" w:themeFillShade="D9"/>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150</w:t>
            </w:r>
          </w:p>
        </w:tc>
        <w:tc>
          <w:tcPr>
            <w:tcW w:w="709" w:type="dxa"/>
            <w:tcBorders>
              <w:top w:val="nil"/>
              <w:left w:val="nil"/>
              <w:bottom w:val="nil"/>
              <w:right w:val="nil"/>
            </w:tcBorders>
            <w:shd w:val="clear" w:color="auto" w:fill="D9D9D9" w:themeFill="background1" w:themeFillShade="D9"/>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42</w:t>
            </w:r>
          </w:p>
        </w:tc>
        <w:tc>
          <w:tcPr>
            <w:tcW w:w="708" w:type="dxa"/>
            <w:tcBorders>
              <w:top w:val="nil"/>
              <w:left w:val="nil"/>
              <w:bottom w:val="nil"/>
              <w:right w:val="single" w:sz="4" w:space="0" w:color="auto"/>
            </w:tcBorders>
            <w:shd w:val="clear" w:color="auto" w:fill="D9D9D9" w:themeFill="background1" w:themeFillShade="D9"/>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111</w:t>
            </w:r>
          </w:p>
        </w:tc>
      </w:tr>
      <w:tr w:rsidR="00C764BC" w:rsidRPr="00FE7748" w:rsidTr="002D25C6">
        <w:trPr>
          <w:trHeight w:val="227"/>
        </w:trPr>
        <w:tc>
          <w:tcPr>
            <w:tcW w:w="239" w:type="dxa"/>
            <w:tcBorders>
              <w:top w:val="nil"/>
              <w:left w:val="single" w:sz="4" w:space="0" w:color="auto"/>
              <w:bottom w:val="nil"/>
            </w:tcBorders>
            <w:shd w:val="clear" w:color="000000" w:fill="FFFFFF"/>
            <w:noWrap/>
            <w:tcMar>
              <w:left w:w="28" w:type="dxa"/>
              <w:right w:w="28" w:type="dxa"/>
            </w:tcMar>
            <w:vAlign w:val="center"/>
            <w:hideMark/>
          </w:tcPr>
          <w:p w:rsidR="00C764BC" w:rsidRPr="00FE7748" w:rsidRDefault="00C764BC" w:rsidP="002D25C6">
            <w:pPr>
              <w:jc w:val="center"/>
              <w:rPr>
                <w:rFonts w:ascii="Arial Narrow" w:hAnsi="Arial Narrow" w:cs="Arial"/>
                <w:sz w:val="16"/>
                <w:szCs w:val="16"/>
              </w:rPr>
            </w:pPr>
            <w:r w:rsidRPr="00FE7748">
              <w:rPr>
                <w:rFonts w:ascii="Arial Narrow" w:hAnsi="Arial Narrow" w:cs="Arial"/>
                <w:sz w:val="16"/>
                <w:szCs w:val="16"/>
              </w:rPr>
              <w:t>i</w:t>
            </w:r>
          </w:p>
        </w:tc>
        <w:tc>
          <w:tcPr>
            <w:tcW w:w="4919" w:type="dxa"/>
            <w:tcBorders>
              <w:top w:val="nil"/>
              <w:bottom w:val="nil"/>
            </w:tcBorders>
            <w:shd w:val="clear" w:color="000000" w:fill="FFFFFF"/>
            <w:tcMar>
              <w:left w:w="28" w:type="dxa"/>
              <w:right w:w="28" w:type="dxa"/>
            </w:tcMar>
            <w:vAlign w:val="center"/>
            <w:hideMark/>
          </w:tcPr>
          <w:p w:rsidR="00C764BC" w:rsidRPr="00FE7748" w:rsidRDefault="00C764BC" w:rsidP="002D25C6">
            <w:pPr>
              <w:rPr>
                <w:rFonts w:ascii="Arial Narrow" w:hAnsi="Arial Narrow" w:cs="Arial"/>
                <w:sz w:val="16"/>
                <w:szCs w:val="16"/>
              </w:rPr>
            </w:pPr>
            <w:r w:rsidRPr="00FE7748">
              <w:rPr>
                <w:rFonts w:ascii="Arial Narrow" w:hAnsi="Arial Narrow" w:cs="Arial"/>
                <w:sz w:val="16"/>
                <w:szCs w:val="16"/>
              </w:rPr>
              <w:t>Πρόσθετες ή έκτακτες συνεισφορές στην ΕΕ και λοιπά πρόστιμα από ΕΕ</w:t>
            </w:r>
          </w:p>
        </w:tc>
        <w:tc>
          <w:tcPr>
            <w:tcW w:w="865" w:type="dxa"/>
            <w:tcBorders>
              <w:top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38</w:t>
            </w:r>
          </w:p>
        </w:tc>
        <w:tc>
          <w:tcPr>
            <w:tcW w:w="708"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41</w:t>
            </w:r>
          </w:p>
        </w:tc>
        <w:tc>
          <w:tcPr>
            <w:tcW w:w="851"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0</w:t>
            </w:r>
          </w:p>
        </w:tc>
        <w:tc>
          <w:tcPr>
            <w:tcW w:w="709"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8</w:t>
            </w:r>
          </w:p>
        </w:tc>
        <w:tc>
          <w:tcPr>
            <w:tcW w:w="708" w:type="dxa"/>
            <w:tcBorders>
              <w:top w:val="nil"/>
              <w:left w:val="nil"/>
              <w:bottom w:val="nil"/>
              <w:right w:val="single" w:sz="4" w:space="0" w:color="auto"/>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-100</w:t>
            </w:r>
          </w:p>
        </w:tc>
      </w:tr>
      <w:tr w:rsidR="00C764BC" w:rsidRPr="00FE7748" w:rsidTr="002D25C6">
        <w:trPr>
          <w:trHeight w:val="227"/>
        </w:trPr>
        <w:tc>
          <w:tcPr>
            <w:tcW w:w="239" w:type="dxa"/>
            <w:tcBorders>
              <w:top w:val="nil"/>
              <w:left w:val="single" w:sz="4" w:space="0" w:color="auto"/>
              <w:bottom w:val="nil"/>
            </w:tcBorders>
            <w:shd w:val="clear" w:color="000000" w:fill="FFFFFF"/>
            <w:noWrap/>
            <w:tcMar>
              <w:left w:w="28" w:type="dxa"/>
              <w:right w:w="28" w:type="dxa"/>
            </w:tcMar>
            <w:vAlign w:val="center"/>
            <w:hideMark/>
          </w:tcPr>
          <w:p w:rsidR="00C764BC" w:rsidRPr="00FE7748" w:rsidRDefault="00C764BC" w:rsidP="002D25C6">
            <w:pPr>
              <w:jc w:val="center"/>
              <w:rPr>
                <w:rFonts w:ascii="Arial Narrow" w:hAnsi="Arial Narrow" w:cs="Arial"/>
                <w:sz w:val="16"/>
                <w:szCs w:val="16"/>
              </w:rPr>
            </w:pPr>
            <w:r w:rsidRPr="00FE7748">
              <w:rPr>
                <w:rFonts w:ascii="Arial Narrow" w:hAnsi="Arial Narrow" w:cs="Arial"/>
                <w:sz w:val="16"/>
                <w:szCs w:val="16"/>
              </w:rPr>
              <w:t>ii</w:t>
            </w:r>
          </w:p>
        </w:tc>
        <w:tc>
          <w:tcPr>
            <w:tcW w:w="4919" w:type="dxa"/>
            <w:tcBorders>
              <w:top w:val="nil"/>
              <w:bottom w:val="nil"/>
            </w:tcBorders>
            <w:shd w:val="clear" w:color="000000" w:fill="FFFFFF"/>
            <w:tcMar>
              <w:left w:w="28" w:type="dxa"/>
              <w:right w:w="28" w:type="dxa"/>
            </w:tcMar>
            <w:vAlign w:val="center"/>
            <w:hideMark/>
          </w:tcPr>
          <w:p w:rsidR="00C764BC" w:rsidRPr="00FE7748" w:rsidRDefault="00C764BC" w:rsidP="002D25C6">
            <w:pPr>
              <w:rPr>
                <w:rFonts w:ascii="Arial Narrow" w:hAnsi="Arial Narrow" w:cs="Arial"/>
                <w:sz w:val="16"/>
                <w:szCs w:val="16"/>
              </w:rPr>
            </w:pPr>
            <w:r w:rsidRPr="00FE7748">
              <w:rPr>
                <w:rFonts w:ascii="Arial Narrow" w:hAnsi="Arial Narrow" w:cs="Arial"/>
                <w:sz w:val="16"/>
                <w:szCs w:val="16"/>
              </w:rPr>
              <w:t>Επιστροφές από ανεκτέλεστα προγράμματα στην ΕΕ</w:t>
            </w:r>
          </w:p>
        </w:tc>
        <w:tc>
          <w:tcPr>
            <w:tcW w:w="865" w:type="dxa"/>
            <w:tcBorders>
              <w:top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12</w:t>
            </w:r>
          </w:p>
        </w:tc>
        <w:tc>
          <w:tcPr>
            <w:tcW w:w="708"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30</w:t>
            </w:r>
          </w:p>
        </w:tc>
        <w:tc>
          <w:tcPr>
            <w:tcW w:w="851"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90</w:t>
            </w:r>
          </w:p>
        </w:tc>
        <w:tc>
          <w:tcPr>
            <w:tcW w:w="709"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150</w:t>
            </w:r>
          </w:p>
        </w:tc>
        <w:tc>
          <w:tcPr>
            <w:tcW w:w="708" w:type="dxa"/>
            <w:tcBorders>
              <w:top w:val="nil"/>
              <w:left w:val="nil"/>
              <w:bottom w:val="nil"/>
              <w:right w:val="single" w:sz="4" w:space="0" w:color="auto"/>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200</w:t>
            </w:r>
          </w:p>
        </w:tc>
      </w:tr>
      <w:tr w:rsidR="00C764BC" w:rsidRPr="00FE7748" w:rsidTr="002D25C6">
        <w:trPr>
          <w:trHeight w:val="227"/>
        </w:trPr>
        <w:tc>
          <w:tcPr>
            <w:tcW w:w="239" w:type="dxa"/>
            <w:tcBorders>
              <w:top w:val="nil"/>
              <w:left w:val="single" w:sz="4" w:space="0" w:color="auto"/>
              <w:bottom w:val="nil"/>
            </w:tcBorders>
            <w:shd w:val="clear" w:color="000000" w:fill="FFFFFF"/>
            <w:noWrap/>
            <w:tcMar>
              <w:left w:w="28" w:type="dxa"/>
              <w:right w:w="28" w:type="dxa"/>
            </w:tcMar>
            <w:vAlign w:val="center"/>
            <w:hideMark/>
          </w:tcPr>
          <w:p w:rsidR="00C764BC" w:rsidRPr="00307E3F" w:rsidRDefault="00C764BC" w:rsidP="002D25C6">
            <w:pPr>
              <w:jc w:val="center"/>
              <w:rPr>
                <w:rFonts w:ascii="Arial Narrow" w:hAnsi="Arial Narrow" w:cs="Arial"/>
                <w:sz w:val="16"/>
                <w:szCs w:val="16"/>
                <w:lang w:val="en-US"/>
              </w:rPr>
            </w:pPr>
            <w:r>
              <w:rPr>
                <w:rFonts w:ascii="Arial Narrow" w:hAnsi="Arial Narrow" w:cs="Arial"/>
                <w:sz w:val="16"/>
                <w:szCs w:val="16"/>
                <w:lang w:val="en-US"/>
              </w:rPr>
              <w:t>iii</w:t>
            </w:r>
          </w:p>
        </w:tc>
        <w:tc>
          <w:tcPr>
            <w:tcW w:w="4919" w:type="dxa"/>
            <w:tcBorders>
              <w:top w:val="nil"/>
              <w:bottom w:val="nil"/>
            </w:tcBorders>
            <w:shd w:val="clear" w:color="000000" w:fill="FFFFFF"/>
            <w:tcMar>
              <w:left w:w="28" w:type="dxa"/>
              <w:right w:w="28" w:type="dxa"/>
            </w:tcMar>
            <w:vAlign w:val="center"/>
            <w:hideMark/>
          </w:tcPr>
          <w:p w:rsidR="00C764BC" w:rsidRPr="00FE7748" w:rsidRDefault="00C764BC" w:rsidP="002D25C6">
            <w:pPr>
              <w:rPr>
                <w:rFonts w:ascii="Arial Narrow" w:hAnsi="Arial Narrow" w:cs="Arial"/>
                <w:sz w:val="16"/>
                <w:szCs w:val="16"/>
              </w:rPr>
            </w:pPr>
            <w:r>
              <w:rPr>
                <w:rFonts w:ascii="Arial Narrow" w:hAnsi="Arial Narrow" w:cs="Arial"/>
                <w:sz w:val="16"/>
                <w:szCs w:val="16"/>
              </w:rPr>
              <w:t>Συμμετοχή στο Ευρωπαϊκό Ταμείο Ανάπτυξης</w:t>
            </w:r>
          </w:p>
        </w:tc>
        <w:tc>
          <w:tcPr>
            <w:tcW w:w="865" w:type="dxa"/>
            <w:tcBorders>
              <w:top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w:t>
            </w:r>
          </w:p>
        </w:tc>
        <w:tc>
          <w:tcPr>
            <w:tcW w:w="708"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w:t>
            </w:r>
          </w:p>
        </w:tc>
        <w:tc>
          <w:tcPr>
            <w:tcW w:w="851"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60</w:t>
            </w:r>
          </w:p>
        </w:tc>
        <w:tc>
          <w:tcPr>
            <w:tcW w:w="709"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w:t>
            </w:r>
          </w:p>
        </w:tc>
        <w:tc>
          <w:tcPr>
            <w:tcW w:w="708" w:type="dxa"/>
            <w:tcBorders>
              <w:top w:val="nil"/>
              <w:left w:val="nil"/>
              <w:bottom w:val="nil"/>
              <w:right w:val="single" w:sz="4" w:space="0" w:color="auto"/>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w:t>
            </w:r>
          </w:p>
        </w:tc>
      </w:tr>
      <w:tr w:rsidR="00C764BC" w:rsidRPr="00FE7748" w:rsidTr="002D25C6">
        <w:trPr>
          <w:trHeight w:val="227"/>
        </w:trPr>
        <w:tc>
          <w:tcPr>
            <w:tcW w:w="239" w:type="dxa"/>
            <w:tcBorders>
              <w:top w:val="nil"/>
              <w:left w:val="single" w:sz="4" w:space="0" w:color="auto"/>
              <w:bottom w:val="nil"/>
            </w:tcBorders>
            <w:shd w:val="clear" w:color="auto" w:fill="D9D9D9" w:themeFill="background1" w:themeFillShade="D9"/>
            <w:noWrap/>
            <w:tcMar>
              <w:left w:w="28" w:type="dxa"/>
              <w:right w:w="28" w:type="dxa"/>
            </w:tcMar>
            <w:vAlign w:val="center"/>
            <w:hideMark/>
          </w:tcPr>
          <w:p w:rsidR="00C764BC" w:rsidRPr="00FE7748" w:rsidRDefault="00C764BC" w:rsidP="002D25C6">
            <w:pPr>
              <w:jc w:val="center"/>
              <w:rPr>
                <w:rFonts w:ascii="Arial Narrow" w:hAnsi="Arial Narrow" w:cs="Arial"/>
                <w:b/>
                <w:bCs/>
                <w:sz w:val="16"/>
                <w:szCs w:val="16"/>
              </w:rPr>
            </w:pPr>
            <w:r w:rsidRPr="00FE7748">
              <w:rPr>
                <w:rFonts w:ascii="Arial Narrow" w:hAnsi="Arial Narrow" w:cs="Arial"/>
                <w:b/>
                <w:bCs/>
                <w:sz w:val="16"/>
                <w:szCs w:val="16"/>
              </w:rPr>
              <w:t>Ι</w:t>
            </w:r>
            <w:r>
              <w:rPr>
                <w:rFonts w:ascii="Arial Narrow" w:hAnsi="Arial Narrow" w:cs="Arial"/>
                <w:b/>
                <w:bCs/>
                <w:sz w:val="16"/>
                <w:szCs w:val="16"/>
              </w:rPr>
              <w:t>Ι</w:t>
            </w:r>
            <w:r w:rsidRPr="00FE7748">
              <w:rPr>
                <w:rFonts w:ascii="Arial Narrow" w:hAnsi="Arial Narrow" w:cs="Arial"/>
                <w:b/>
                <w:bCs/>
                <w:sz w:val="16"/>
                <w:szCs w:val="16"/>
              </w:rPr>
              <w:t>.3</w:t>
            </w:r>
          </w:p>
        </w:tc>
        <w:tc>
          <w:tcPr>
            <w:tcW w:w="4919" w:type="dxa"/>
            <w:tcBorders>
              <w:top w:val="nil"/>
              <w:bottom w:val="nil"/>
            </w:tcBorders>
            <w:shd w:val="clear" w:color="auto" w:fill="D9D9D9" w:themeFill="background1" w:themeFillShade="D9"/>
            <w:tcMar>
              <w:left w:w="28" w:type="dxa"/>
              <w:right w:w="28" w:type="dxa"/>
            </w:tcMar>
            <w:vAlign w:val="center"/>
            <w:hideMark/>
          </w:tcPr>
          <w:p w:rsidR="00C764BC" w:rsidRPr="00FE7748" w:rsidRDefault="00C764BC" w:rsidP="002D25C6">
            <w:pPr>
              <w:rPr>
                <w:rFonts w:ascii="Arial Narrow" w:hAnsi="Arial Narrow" w:cs="Arial"/>
                <w:b/>
                <w:bCs/>
                <w:sz w:val="16"/>
                <w:szCs w:val="16"/>
              </w:rPr>
            </w:pPr>
            <w:r w:rsidRPr="00FE7748">
              <w:rPr>
                <w:rFonts w:ascii="Arial Narrow" w:hAnsi="Arial Narrow" w:cs="Arial"/>
                <w:b/>
                <w:bCs/>
                <w:sz w:val="16"/>
                <w:szCs w:val="16"/>
              </w:rPr>
              <w:t>Λοιπές συνεισφορές εκτός προϋπολογισμού ΕΕ (i + ii)</w:t>
            </w:r>
          </w:p>
        </w:tc>
        <w:tc>
          <w:tcPr>
            <w:tcW w:w="865" w:type="dxa"/>
            <w:tcBorders>
              <w:top w:val="nil"/>
              <w:bottom w:val="nil"/>
              <w:right w:val="nil"/>
            </w:tcBorders>
            <w:shd w:val="clear" w:color="auto" w:fill="D9D9D9" w:themeFill="background1" w:themeFillShade="D9"/>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75</w:t>
            </w:r>
          </w:p>
        </w:tc>
        <w:tc>
          <w:tcPr>
            <w:tcW w:w="708" w:type="dxa"/>
            <w:tcBorders>
              <w:top w:val="nil"/>
              <w:left w:val="nil"/>
              <w:bottom w:val="nil"/>
              <w:right w:val="nil"/>
            </w:tcBorders>
            <w:shd w:val="clear" w:color="auto" w:fill="D9D9D9" w:themeFill="background1" w:themeFillShade="D9"/>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75</w:t>
            </w:r>
          </w:p>
        </w:tc>
        <w:tc>
          <w:tcPr>
            <w:tcW w:w="851" w:type="dxa"/>
            <w:tcBorders>
              <w:top w:val="nil"/>
              <w:left w:val="nil"/>
              <w:bottom w:val="nil"/>
              <w:right w:val="nil"/>
            </w:tcBorders>
            <w:shd w:val="clear" w:color="auto" w:fill="D9D9D9" w:themeFill="background1" w:themeFillShade="D9"/>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2</w:t>
            </w:r>
          </w:p>
        </w:tc>
        <w:tc>
          <w:tcPr>
            <w:tcW w:w="709" w:type="dxa"/>
            <w:tcBorders>
              <w:top w:val="nil"/>
              <w:left w:val="nil"/>
              <w:bottom w:val="nil"/>
              <w:right w:val="nil"/>
            </w:tcBorders>
            <w:shd w:val="clear" w:color="auto" w:fill="D9D9D9" w:themeFill="background1" w:themeFillShade="D9"/>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0</w:t>
            </w:r>
          </w:p>
        </w:tc>
        <w:tc>
          <w:tcPr>
            <w:tcW w:w="708" w:type="dxa"/>
            <w:tcBorders>
              <w:top w:val="nil"/>
              <w:left w:val="nil"/>
              <w:bottom w:val="nil"/>
              <w:right w:val="single" w:sz="4" w:space="0" w:color="auto"/>
            </w:tcBorders>
            <w:shd w:val="clear" w:color="auto" w:fill="D9D9D9" w:themeFill="background1" w:themeFillShade="D9"/>
            <w:noWrap/>
            <w:tcMar>
              <w:left w:w="28" w:type="dxa"/>
              <w:right w:w="28" w:type="dxa"/>
            </w:tcMar>
            <w:vAlign w:val="bottom"/>
            <w:hideMark/>
          </w:tcPr>
          <w:p w:rsidR="00C764BC" w:rsidRDefault="00C764BC" w:rsidP="00C764BC">
            <w:pPr>
              <w:ind w:right="170"/>
              <w:jc w:val="right"/>
              <w:rPr>
                <w:rFonts w:ascii="Arial Narrow" w:hAnsi="Arial Narrow"/>
                <w:b/>
                <w:bCs/>
                <w:color w:val="000000"/>
                <w:sz w:val="16"/>
                <w:szCs w:val="16"/>
              </w:rPr>
            </w:pPr>
            <w:r>
              <w:rPr>
                <w:rFonts w:ascii="Arial Narrow" w:hAnsi="Arial Narrow"/>
                <w:b/>
                <w:bCs/>
                <w:color w:val="000000"/>
                <w:sz w:val="16"/>
                <w:szCs w:val="16"/>
              </w:rPr>
              <w:t>-97</w:t>
            </w:r>
          </w:p>
        </w:tc>
      </w:tr>
      <w:tr w:rsidR="00C764BC" w:rsidRPr="00FE7748" w:rsidTr="002D25C6">
        <w:trPr>
          <w:trHeight w:val="227"/>
        </w:trPr>
        <w:tc>
          <w:tcPr>
            <w:tcW w:w="239" w:type="dxa"/>
            <w:tcBorders>
              <w:top w:val="nil"/>
              <w:left w:val="single" w:sz="4" w:space="0" w:color="auto"/>
              <w:bottom w:val="nil"/>
            </w:tcBorders>
            <w:shd w:val="clear" w:color="000000" w:fill="FFFFFF"/>
            <w:noWrap/>
            <w:tcMar>
              <w:left w:w="28" w:type="dxa"/>
              <w:right w:w="28" w:type="dxa"/>
            </w:tcMar>
            <w:vAlign w:val="center"/>
            <w:hideMark/>
          </w:tcPr>
          <w:p w:rsidR="00C764BC" w:rsidRPr="00FE7748" w:rsidRDefault="00C764BC" w:rsidP="002D25C6">
            <w:pPr>
              <w:jc w:val="center"/>
              <w:rPr>
                <w:rFonts w:ascii="Arial Narrow" w:hAnsi="Arial Narrow" w:cs="Arial"/>
                <w:sz w:val="16"/>
                <w:szCs w:val="16"/>
              </w:rPr>
            </w:pPr>
            <w:r w:rsidRPr="00FE7748">
              <w:rPr>
                <w:rFonts w:ascii="Arial Narrow" w:hAnsi="Arial Narrow" w:cs="Arial"/>
                <w:sz w:val="16"/>
                <w:szCs w:val="16"/>
              </w:rPr>
              <w:t>i</w:t>
            </w:r>
          </w:p>
        </w:tc>
        <w:tc>
          <w:tcPr>
            <w:tcW w:w="4919" w:type="dxa"/>
            <w:tcBorders>
              <w:top w:val="nil"/>
              <w:bottom w:val="nil"/>
            </w:tcBorders>
            <w:shd w:val="clear" w:color="000000" w:fill="FFFFFF"/>
            <w:tcMar>
              <w:left w:w="28" w:type="dxa"/>
              <w:right w:w="28" w:type="dxa"/>
            </w:tcMar>
            <w:vAlign w:val="center"/>
            <w:hideMark/>
          </w:tcPr>
          <w:p w:rsidR="00C764BC" w:rsidRPr="00FE7748" w:rsidRDefault="00C764BC" w:rsidP="002D25C6">
            <w:pPr>
              <w:rPr>
                <w:rFonts w:ascii="Arial Narrow" w:hAnsi="Arial Narrow" w:cs="Arial"/>
                <w:sz w:val="16"/>
                <w:szCs w:val="16"/>
              </w:rPr>
            </w:pPr>
            <w:r w:rsidRPr="00FE7748">
              <w:rPr>
                <w:rFonts w:ascii="Arial Narrow" w:hAnsi="Arial Narrow" w:cs="Arial"/>
                <w:sz w:val="16"/>
                <w:szCs w:val="16"/>
              </w:rPr>
              <w:t>Συμμετοχή στο Ευρωπαϊκό Ταμείο Ανάπτυξης</w:t>
            </w:r>
          </w:p>
        </w:tc>
        <w:tc>
          <w:tcPr>
            <w:tcW w:w="865" w:type="dxa"/>
            <w:tcBorders>
              <w:top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71</w:t>
            </w:r>
          </w:p>
        </w:tc>
        <w:tc>
          <w:tcPr>
            <w:tcW w:w="708"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71</w:t>
            </w:r>
          </w:p>
        </w:tc>
        <w:tc>
          <w:tcPr>
            <w:tcW w:w="851"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0</w:t>
            </w:r>
          </w:p>
        </w:tc>
        <w:tc>
          <w:tcPr>
            <w:tcW w:w="709"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0</w:t>
            </w:r>
          </w:p>
        </w:tc>
        <w:tc>
          <w:tcPr>
            <w:tcW w:w="708" w:type="dxa"/>
            <w:tcBorders>
              <w:top w:val="nil"/>
              <w:left w:val="nil"/>
              <w:bottom w:val="nil"/>
              <w:right w:val="single" w:sz="4" w:space="0" w:color="auto"/>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-100</w:t>
            </w:r>
          </w:p>
        </w:tc>
      </w:tr>
      <w:tr w:rsidR="00C764BC" w:rsidRPr="00FE7748" w:rsidTr="002D25C6">
        <w:trPr>
          <w:trHeight w:val="227"/>
        </w:trPr>
        <w:tc>
          <w:tcPr>
            <w:tcW w:w="239" w:type="dxa"/>
            <w:tcBorders>
              <w:top w:val="nil"/>
              <w:left w:val="single" w:sz="4" w:space="0" w:color="auto"/>
              <w:bottom w:val="single" w:sz="4" w:space="0" w:color="auto"/>
            </w:tcBorders>
            <w:shd w:val="clear" w:color="000000" w:fill="FFFFFF"/>
            <w:noWrap/>
            <w:tcMar>
              <w:left w:w="28" w:type="dxa"/>
              <w:right w:w="28" w:type="dxa"/>
            </w:tcMar>
            <w:vAlign w:val="center"/>
            <w:hideMark/>
          </w:tcPr>
          <w:p w:rsidR="00C764BC" w:rsidRPr="00FE7748" w:rsidRDefault="00C764BC" w:rsidP="002D25C6">
            <w:pPr>
              <w:jc w:val="center"/>
              <w:rPr>
                <w:rFonts w:ascii="Arial Narrow" w:hAnsi="Arial Narrow" w:cs="Arial"/>
                <w:sz w:val="16"/>
                <w:szCs w:val="16"/>
              </w:rPr>
            </w:pPr>
            <w:r w:rsidRPr="00FE7748">
              <w:rPr>
                <w:rFonts w:ascii="Arial Narrow" w:hAnsi="Arial Narrow" w:cs="Arial"/>
                <w:sz w:val="16"/>
                <w:szCs w:val="16"/>
              </w:rPr>
              <w:t>ii</w:t>
            </w:r>
          </w:p>
        </w:tc>
        <w:tc>
          <w:tcPr>
            <w:tcW w:w="4919" w:type="dxa"/>
            <w:tcBorders>
              <w:top w:val="nil"/>
              <w:bottom w:val="single" w:sz="4" w:space="0" w:color="auto"/>
            </w:tcBorders>
            <w:shd w:val="clear" w:color="000000" w:fill="FFFFFF"/>
            <w:tcMar>
              <w:left w:w="28" w:type="dxa"/>
              <w:right w:w="28" w:type="dxa"/>
            </w:tcMar>
            <w:vAlign w:val="center"/>
            <w:hideMark/>
          </w:tcPr>
          <w:p w:rsidR="00C764BC" w:rsidRPr="00FE7748" w:rsidRDefault="00C764BC" w:rsidP="002D25C6">
            <w:pPr>
              <w:rPr>
                <w:rFonts w:ascii="Arial Narrow" w:hAnsi="Arial Narrow" w:cs="Arial"/>
                <w:sz w:val="16"/>
                <w:szCs w:val="16"/>
              </w:rPr>
            </w:pPr>
            <w:r w:rsidRPr="00FE7748">
              <w:rPr>
                <w:rFonts w:ascii="Arial Narrow" w:hAnsi="Arial Narrow" w:cs="Arial"/>
                <w:sz w:val="16"/>
                <w:szCs w:val="16"/>
              </w:rPr>
              <w:t>Λοιπές αποδόσεις</w:t>
            </w:r>
          </w:p>
        </w:tc>
        <w:tc>
          <w:tcPr>
            <w:tcW w:w="865" w:type="dxa"/>
            <w:tcBorders>
              <w:top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4</w:t>
            </w:r>
          </w:p>
        </w:tc>
        <w:tc>
          <w:tcPr>
            <w:tcW w:w="708"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4</w:t>
            </w:r>
          </w:p>
        </w:tc>
        <w:tc>
          <w:tcPr>
            <w:tcW w:w="851"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2</w:t>
            </w:r>
          </w:p>
        </w:tc>
        <w:tc>
          <w:tcPr>
            <w:tcW w:w="709" w:type="dxa"/>
            <w:tcBorders>
              <w:top w:val="nil"/>
              <w:left w:val="nil"/>
              <w:bottom w:val="nil"/>
              <w:right w:val="nil"/>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0</w:t>
            </w:r>
          </w:p>
        </w:tc>
        <w:tc>
          <w:tcPr>
            <w:tcW w:w="708" w:type="dxa"/>
            <w:tcBorders>
              <w:top w:val="nil"/>
              <w:left w:val="nil"/>
              <w:bottom w:val="nil"/>
              <w:right w:val="single" w:sz="4" w:space="0" w:color="auto"/>
            </w:tcBorders>
            <w:shd w:val="clear" w:color="000000" w:fill="FFFFFF"/>
            <w:noWrap/>
            <w:tcMar>
              <w:left w:w="28" w:type="dxa"/>
              <w:right w:w="28" w:type="dxa"/>
            </w:tcMar>
            <w:vAlign w:val="bottom"/>
            <w:hideMark/>
          </w:tcPr>
          <w:p w:rsidR="00C764BC" w:rsidRDefault="00C764BC" w:rsidP="00C764BC">
            <w:pPr>
              <w:ind w:right="170"/>
              <w:jc w:val="right"/>
              <w:rPr>
                <w:rFonts w:ascii="Arial Narrow" w:hAnsi="Arial Narrow"/>
                <w:color w:val="000000"/>
                <w:sz w:val="16"/>
                <w:szCs w:val="16"/>
              </w:rPr>
            </w:pPr>
            <w:r>
              <w:rPr>
                <w:rFonts w:ascii="Arial Narrow" w:hAnsi="Arial Narrow"/>
                <w:color w:val="000000"/>
                <w:sz w:val="16"/>
                <w:szCs w:val="16"/>
              </w:rPr>
              <w:t>-50</w:t>
            </w:r>
          </w:p>
        </w:tc>
      </w:tr>
      <w:tr w:rsidR="00C764BC" w:rsidRPr="00FE7748" w:rsidTr="00C764BC">
        <w:trPr>
          <w:trHeight w:val="227"/>
        </w:trPr>
        <w:tc>
          <w:tcPr>
            <w:tcW w:w="5158" w:type="dxa"/>
            <w:gridSpan w:val="2"/>
            <w:tcBorders>
              <w:top w:val="single" w:sz="4" w:space="0" w:color="auto"/>
              <w:left w:val="single" w:sz="4" w:space="0" w:color="auto"/>
              <w:bottom w:val="single" w:sz="4" w:space="0" w:color="auto"/>
            </w:tcBorders>
            <w:shd w:val="clear" w:color="auto" w:fill="BFBFBF" w:themeFill="background1" w:themeFillShade="BF"/>
            <w:noWrap/>
            <w:tcMar>
              <w:left w:w="28" w:type="dxa"/>
              <w:right w:w="28" w:type="dxa"/>
            </w:tcMar>
            <w:vAlign w:val="center"/>
            <w:hideMark/>
          </w:tcPr>
          <w:p w:rsidR="00C764BC" w:rsidRPr="00FE7748" w:rsidRDefault="00C764BC" w:rsidP="002D25C6">
            <w:pPr>
              <w:tabs>
                <w:tab w:val="left" w:pos="224"/>
              </w:tabs>
              <w:spacing w:before="120" w:after="120"/>
              <w:rPr>
                <w:rFonts w:ascii="Arial Narrow" w:hAnsi="Arial Narrow" w:cs="Arial"/>
                <w:b/>
                <w:bCs/>
                <w:sz w:val="16"/>
                <w:szCs w:val="16"/>
              </w:rPr>
            </w:pPr>
            <w:r>
              <w:rPr>
                <w:rFonts w:ascii="Arial Narrow" w:hAnsi="Arial Narrow" w:cs="Arial"/>
                <w:b/>
                <w:bCs/>
                <w:sz w:val="16"/>
                <w:szCs w:val="16"/>
                <w:lang w:val="en-US"/>
              </w:rPr>
              <w:tab/>
            </w:r>
            <w:r w:rsidRPr="00FE7748">
              <w:rPr>
                <w:rFonts w:ascii="Arial Narrow" w:hAnsi="Arial Narrow" w:cs="Arial"/>
                <w:b/>
                <w:bCs/>
                <w:sz w:val="16"/>
                <w:szCs w:val="16"/>
              </w:rPr>
              <w:t>Αποτέλεσμα (I -II)</w:t>
            </w:r>
          </w:p>
        </w:tc>
        <w:tc>
          <w:tcPr>
            <w:tcW w:w="865" w:type="dxa"/>
            <w:tcBorders>
              <w:top w:val="single" w:sz="4" w:space="0" w:color="auto"/>
              <w:bottom w:val="single" w:sz="4" w:space="0" w:color="auto"/>
              <w:right w:val="nil"/>
            </w:tcBorders>
            <w:shd w:val="clear" w:color="auto" w:fill="BFBFBF" w:themeFill="background1" w:themeFillShade="BF"/>
            <w:noWrap/>
            <w:tcMar>
              <w:left w:w="28" w:type="dxa"/>
              <w:right w:w="28" w:type="dxa"/>
            </w:tcMar>
            <w:vAlign w:val="center"/>
            <w:hideMark/>
          </w:tcPr>
          <w:p w:rsidR="00C764BC" w:rsidRPr="00C764BC" w:rsidRDefault="00C764BC" w:rsidP="00C764BC">
            <w:pPr>
              <w:ind w:right="170"/>
              <w:jc w:val="right"/>
              <w:rPr>
                <w:rFonts w:ascii="Arial Narrow" w:hAnsi="Arial Narrow"/>
                <w:b/>
                <w:sz w:val="16"/>
                <w:szCs w:val="16"/>
              </w:rPr>
            </w:pPr>
            <w:r w:rsidRPr="00C764BC">
              <w:rPr>
                <w:rFonts w:ascii="Arial Narrow" w:hAnsi="Arial Narrow"/>
                <w:b/>
                <w:sz w:val="16"/>
                <w:szCs w:val="16"/>
              </w:rPr>
              <w:t>2.484</w:t>
            </w:r>
          </w:p>
        </w:tc>
        <w:tc>
          <w:tcPr>
            <w:tcW w:w="708" w:type="dxa"/>
            <w:tcBorders>
              <w:top w:val="single" w:sz="4" w:space="0" w:color="auto"/>
              <w:left w:val="nil"/>
              <w:bottom w:val="single" w:sz="4" w:space="0" w:color="auto"/>
              <w:right w:val="nil"/>
            </w:tcBorders>
            <w:shd w:val="clear" w:color="auto" w:fill="BFBFBF" w:themeFill="background1" w:themeFillShade="BF"/>
            <w:noWrap/>
            <w:tcMar>
              <w:left w:w="28" w:type="dxa"/>
              <w:right w:w="28" w:type="dxa"/>
            </w:tcMar>
            <w:vAlign w:val="center"/>
            <w:hideMark/>
          </w:tcPr>
          <w:p w:rsidR="00C764BC" w:rsidRPr="00C764BC" w:rsidRDefault="00C764BC" w:rsidP="00C764BC">
            <w:pPr>
              <w:ind w:right="170"/>
              <w:jc w:val="right"/>
              <w:rPr>
                <w:rFonts w:ascii="Arial Narrow" w:hAnsi="Arial Narrow"/>
                <w:b/>
                <w:bCs/>
                <w:color w:val="000000"/>
                <w:sz w:val="16"/>
                <w:szCs w:val="16"/>
              </w:rPr>
            </w:pPr>
            <w:r w:rsidRPr="00C764BC">
              <w:rPr>
                <w:rFonts w:ascii="Arial Narrow" w:hAnsi="Arial Narrow"/>
                <w:b/>
                <w:bCs/>
                <w:color w:val="000000"/>
                <w:sz w:val="16"/>
                <w:szCs w:val="16"/>
              </w:rPr>
              <w:t>4.648</w:t>
            </w:r>
          </w:p>
        </w:tc>
        <w:tc>
          <w:tcPr>
            <w:tcW w:w="851" w:type="dxa"/>
            <w:tcBorders>
              <w:top w:val="single" w:sz="4" w:space="0" w:color="auto"/>
              <w:left w:val="nil"/>
              <w:bottom w:val="single" w:sz="4" w:space="0" w:color="auto"/>
              <w:right w:val="nil"/>
            </w:tcBorders>
            <w:shd w:val="clear" w:color="auto" w:fill="BFBFBF" w:themeFill="background1" w:themeFillShade="BF"/>
            <w:noWrap/>
            <w:tcMar>
              <w:left w:w="28" w:type="dxa"/>
              <w:right w:w="28" w:type="dxa"/>
            </w:tcMar>
            <w:vAlign w:val="center"/>
            <w:hideMark/>
          </w:tcPr>
          <w:p w:rsidR="00C764BC" w:rsidRPr="00C764BC" w:rsidRDefault="00C764BC" w:rsidP="00C764BC">
            <w:pPr>
              <w:ind w:right="170"/>
              <w:jc w:val="right"/>
              <w:rPr>
                <w:rFonts w:ascii="Arial Narrow" w:hAnsi="Arial Narrow"/>
                <w:b/>
                <w:bCs/>
                <w:color w:val="000000"/>
                <w:sz w:val="16"/>
                <w:szCs w:val="16"/>
              </w:rPr>
            </w:pPr>
            <w:r w:rsidRPr="00C764BC">
              <w:rPr>
                <w:rFonts w:ascii="Arial Narrow" w:hAnsi="Arial Narrow"/>
                <w:b/>
                <w:bCs/>
                <w:color w:val="000000"/>
                <w:sz w:val="16"/>
                <w:szCs w:val="16"/>
              </w:rPr>
              <w:t>3.908</w:t>
            </w:r>
          </w:p>
        </w:tc>
        <w:tc>
          <w:tcPr>
            <w:tcW w:w="709" w:type="dxa"/>
            <w:tcBorders>
              <w:top w:val="single" w:sz="4" w:space="0" w:color="auto"/>
              <w:left w:val="nil"/>
              <w:bottom w:val="single" w:sz="4" w:space="0" w:color="auto"/>
              <w:right w:val="nil"/>
            </w:tcBorders>
            <w:shd w:val="clear" w:color="auto" w:fill="BFBFBF" w:themeFill="background1" w:themeFillShade="BF"/>
            <w:noWrap/>
            <w:tcMar>
              <w:left w:w="28" w:type="dxa"/>
              <w:right w:w="28" w:type="dxa"/>
            </w:tcMar>
            <w:vAlign w:val="center"/>
            <w:hideMark/>
          </w:tcPr>
          <w:p w:rsidR="00C764BC" w:rsidRPr="00C764BC" w:rsidRDefault="00C764BC" w:rsidP="00C764BC">
            <w:pPr>
              <w:ind w:right="170"/>
              <w:jc w:val="right"/>
              <w:rPr>
                <w:rFonts w:ascii="Arial Narrow" w:hAnsi="Arial Narrow"/>
                <w:b/>
                <w:bCs/>
                <w:color w:val="000000"/>
                <w:sz w:val="16"/>
                <w:szCs w:val="16"/>
              </w:rPr>
            </w:pPr>
            <w:r w:rsidRPr="00C764BC">
              <w:rPr>
                <w:rFonts w:ascii="Arial Narrow" w:hAnsi="Arial Narrow"/>
                <w:b/>
                <w:bCs/>
                <w:color w:val="000000"/>
                <w:sz w:val="16"/>
                <w:szCs w:val="16"/>
              </w:rPr>
              <w:t>87</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tcMar>
              <w:left w:w="28" w:type="dxa"/>
              <w:right w:w="28" w:type="dxa"/>
            </w:tcMar>
            <w:vAlign w:val="center"/>
            <w:hideMark/>
          </w:tcPr>
          <w:p w:rsidR="00C764BC" w:rsidRPr="00C764BC" w:rsidRDefault="00C764BC" w:rsidP="00C764BC">
            <w:pPr>
              <w:ind w:right="170"/>
              <w:jc w:val="right"/>
              <w:rPr>
                <w:rFonts w:ascii="Arial Narrow" w:hAnsi="Arial Narrow"/>
                <w:b/>
                <w:bCs/>
                <w:color w:val="000000"/>
                <w:sz w:val="16"/>
                <w:szCs w:val="16"/>
              </w:rPr>
            </w:pPr>
            <w:r w:rsidRPr="00C764BC">
              <w:rPr>
                <w:rFonts w:ascii="Arial Narrow" w:hAnsi="Arial Narrow"/>
                <w:b/>
                <w:bCs/>
                <w:color w:val="000000"/>
                <w:sz w:val="16"/>
                <w:szCs w:val="16"/>
              </w:rPr>
              <w:t>-16</w:t>
            </w:r>
          </w:p>
        </w:tc>
      </w:tr>
    </w:tbl>
    <w:p w:rsidR="004834C2" w:rsidRDefault="004834C2" w:rsidP="00EA07E3">
      <w:pPr>
        <w:jc w:val="both"/>
        <w:rPr>
          <w:bCs/>
          <w:sz w:val="22"/>
          <w:szCs w:val="22"/>
          <w:lang w:val="en-US"/>
        </w:rPr>
      </w:pPr>
    </w:p>
    <w:p w:rsidR="004834C2" w:rsidRDefault="004834C2" w:rsidP="00EA07E3">
      <w:pPr>
        <w:jc w:val="both"/>
        <w:rPr>
          <w:bCs/>
          <w:sz w:val="22"/>
          <w:szCs w:val="22"/>
          <w:lang w:val="en-US"/>
        </w:rPr>
      </w:pPr>
    </w:p>
    <w:p w:rsidR="00EA07E3" w:rsidRPr="00B65DF8" w:rsidRDefault="00EA07E3" w:rsidP="00EA07E3">
      <w:pPr>
        <w:jc w:val="both"/>
        <w:rPr>
          <w:bCs/>
          <w:sz w:val="22"/>
          <w:szCs w:val="22"/>
        </w:rPr>
      </w:pPr>
    </w:p>
    <w:p w:rsidR="00871C93" w:rsidRPr="00871C93" w:rsidRDefault="00871C93" w:rsidP="00871C93">
      <w:pPr>
        <w:shd w:val="clear" w:color="auto" w:fill="BFBFBF" w:themeFill="background1" w:themeFillShade="BF"/>
        <w:jc w:val="both"/>
        <w:rPr>
          <w:rFonts w:ascii="Arial Narrow" w:hAnsi="Arial Narrow"/>
          <w:b/>
          <w:szCs w:val="22"/>
        </w:rPr>
      </w:pPr>
      <w:r w:rsidRPr="00871C93">
        <w:rPr>
          <w:rFonts w:ascii="Arial Narrow" w:hAnsi="Arial Narrow"/>
          <w:b/>
          <w:szCs w:val="22"/>
        </w:rPr>
        <w:t>4.6</w:t>
      </w:r>
      <w:r w:rsidRPr="00E36FE7">
        <w:rPr>
          <w:rFonts w:ascii="Arial Narrow" w:hAnsi="Arial Narrow"/>
          <w:b/>
          <w:szCs w:val="22"/>
        </w:rPr>
        <w:tab/>
      </w:r>
      <w:r>
        <w:rPr>
          <w:rFonts w:ascii="Arial Narrow" w:hAnsi="Arial Narrow"/>
          <w:b/>
          <w:szCs w:val="22"/>
        </w:rPr>
        <w:t>Δαπάνες κατά Υπουργείο</w:t>
      </w:r>
    </w:p>
    <w:p w:rsidR="00871C93" w:rsidRDefault="00871C93" w:rsidP="00853402">
      <w:pPr>
        <w:ind w:right="-1"/>
        <w:rPr>
          <w:sz w:val="22"/>
          <w:szCs w:val="22"/>
          <w:highlight w:val="lightGray"/>
        </w:rPr>
      </w:pPr>
    </w:p>
    <w:p w:rsidR="008256B0" w:rsidRPr="00E43ABB" w:rsidRDefault="008256B0" w:rsidP="008256B0">
      <w:pPr>
        <w:jc w:val="both"/>
        <w:rPr>
          <w:sz w:val="22"/>
          <w:szCs w:val="22"/>
        </w:rPr>
      </w:pPr>
      <w:r w:rsidRPr="00E43ABB">
        <w:rPr>
          <w:sz w:val="22"/>
          <w:szCs w:val="22"/>
        </w:rPr>
        <w:t xml:space="preserve">Ο προϋπολογισμός των φορέων της Κεντρικής Διοίκησης (Προεδρία της Δημοκρατίας, Βουλή των Ελλήνων, </w:t>
      </w:r>
      <w:r w:rsidR="0029354C">
        <w:rPr>
          <w:sz w:val="22"/>
          <w:szCs w:val="22"/>
        </w:rPr>
        <w:t>Προεδρία</w:t>
      </w:r>
      <w:r>
        <w:rPr>
          <w:sz w:val="22"/>
          <w:szCs w:val="22"/>
        </w:rPr>
        <w:t xml:space="preserve"> της Κυβέρνησης, </w:t>
      </w:r>
      <w:r w:rsidRPr="00E43ABB">
        <w:rPr>
          <w:sz w:val="22"/>
          <w:szCs w:val="22"/>
        </w:rPr>
        <w:t xml:space="preserve">Υπουργεία και Αποκεντρωμένες Διοικήσεις) καταρτίζεται και εκτελείται σε ταμειακή βάση. Στον κρατικό προϋπολογισμό (τακτικός προϋπολογισμός και ΠΔΕ) προβλέπονται ανώτατα όρια δαπανών για κάθε φορέα (πίνακας </w:t>
      </w:r>
      <w:r w:rsidR="006676A8">
        <w:rPr>
          <w:sz w:val="22"/>
          <w:szCs w:val="22"/>
        </w:rPr>
        <w:t>3.14</w:t>
      </w:r>
      <w:r w:rsidRPr="00E43ABB">
        <w:rPr>
          <w:sz w:val="22"/>
          <w:szCs w:val="22"/>
        </w:rPr>
        <w:t xml:space="preserve">). Στον εν λόγω πίνακα </w:t>
      </w:r>
      <w:r>
        <w:rPr>
          <w:sz w:val="22"/>
          <w:szCs w:val="22"/>
        </w:rPr>
        <w:t>περιλα</w:t>
      </w:r>
      <w:r>
        <w:rPr>
          <w:sz w:val="22"/>
          <w:szCs w:val="22"/>
        </w:rPr>
        <w:t>μ</w:t>
      </w:r>
      <w:r>
        <w:rPr>
          <w:sz w:val="22"/>
          <w:szCs w:val="22"/>
        </w:rPr>
        <w:t>βάνονται</w:t>
      </w:r>
      <w:r w:rsidRPr="00E43ABB">
        <w:rPr>
          <w:sz w:val="22"/>
          <w:szCs w:val="22"/>
        </w:rPr>
        <w:t xml:space="preserve"> οι μη χρηματοοικονομικές δαπάνες του Κρατικού Προϋπολογισμού.</w:t>
      </w:r>
    </w:p>
    <w:p w:rsidR="008256B0" w:rsidRPr="00E43ABB" w:rsidRDefault="008256B0" w:rsidP="008256B0">
      <w:pPr>
        <w:jc w:val="both"/>
        <w:rPr>
          <w:sz w:val="22"/>
          <w:szCs w:val="22"/>
        </w:rPr>
      </w:pPr>
    </w:p>
    <w:p w:rsidR="008256B0" w:rsidRPr="00E43ABB" w:rsidRDefault="008256B0" w:rsidP="008256B0">
      <w:pPr>
        <w:rPr>
          <w:sz w:val="22"/>
          <w:szCs w:val="22"/>
        </w:rPr>
      </w:pPr>
      <w:r w:rsidRPr="00E43ABB">
        <w:rPr>
          <w:sz w:val="22"/>
          <w:szCs w:val="22"/>
        </w:rPr>
        <w:t>Ως προς τον τακτικό προϋπολογισμό, περιλαμβάνονται δαπάνες για την κάλυψη κυρίως:</w:t>
      </w:r>
    </w:p>
    <w:p w:rsidR="008256B0" w:rsidRPr="00E43ABB" w:rsidRDefault="008256B0" w:rsidP="008256B0">
      <w:pPr>
        <w:rPr>
          <w:sz w:val="22"/>
          <w:szCs w:val="22"/>
        </w:rPr>
      </w:pPr>
    </w:p>
    <w:p w:rsidR="008256B0" w:rsidRPr="00E43ABB" w:rsidRDefault="008256B0" w:rsidP="008256B0">
      <w:pPr>
        <w:pStyle w:val="af2"/>
        <w:numPr>
          <w:ilvl w:val="0"/>
          <w:numId w:val="19"/>
        </w:numPr>
        <w:spacing w:after="0" w:line="240" w:lineRule="auto"/>
        <w:contextualSpacing w:val="0"/>
        <w:jc w:val="both"/>
        <w:rPr>
          <w:rFonts w:ascii="Times New Roman" w:hAnsi="Times New Roman"/>
        </w:rPr>
      </w:pPr>
      <w:r w:rsidRPr="00E43ABB">
        <w:rPr>
          <w:rFonts w:ascii="Times New Roman" w:hAnsi="Times New Roman"/>
        </w:rPr>
        <w:t>αποδοχών αιρετών και οργάνων διοίκησης, τακτικού προσωπικού (μόνιμου και ΙΔΑΧ) και πρ</w:t>
      </w:r>
      <w:r w:rsidRPr="00E43ABB">
        <w:rPr>
          <w:rFonts w:ascii="Times New Roman" w:hAnsi="Times New Roman"/>
        </w:rPr>
        <w:t>ο</w:t>
      </w:r>
      <w:r w:rsidRPr="00E43ABB">
        <w:rPr>
          <w:rFonts w:ascii="Times New Roman" w:hAnsi="Times New Roman"/>
        </w:rPr>
        <w:t>σωπικού ΙΔΟΧ</w:t>
      </w:r>
      <w:r w:rsidR="00A36641">
        <w:rPr>
          <w:rFonts w:ascii="Times New Roman" w:hAnsi="Times New Roman"/>
        </w:rPr>
        <w:t>,</w:t>
      </w:r>
      <w:r w:rsidRPr="00E43ABB">
        <w:rPr>
          <w:rFonts w:ascii="Times New Roman" w:hAnsi="Times New Roman"/>
        </w:rPr>
        <w:t xml:space="preserve"> καθώς και των εργοδοτικών τους εισφορών. Ειδικότερα, τα υπουργεία καλύπτουν τη δαπάνη μισθοδοσίας των στελεχών των ενόπλων δυνάμεων και των σωμάτων ασφαλείας, των υπαλλήλων του διπλωματικού σώματος, των δικαστικών λειτουργών, των ιατρών κλάδου ΕΣΥ, των μελών ΔΕΠ, των κληρικών κ.λπ.</w:t>
      </w:r>
    </w:p>
    <w:p w:rsidR="008256B0" w:rsidRPr="00E43ABB" w:rsidRDefault="008256B0" w:rsidP="008256B0">
      <w:pPr>
        <w:pStyle w:val="af2"/>
        <w:numPr>
          <w:ilvl w:val="0"/>
          <w:numId w:val="19"/>
        </w:numPr>
        <w:spacing w:after="0" w:line="240" w:lineRule="auto"/>
        <w:contextualSpacing w:val="0"/>
        <w:jc w:val="both"/>
        <w:rPr>
          <w:rFonts w:ascii="Times New Roman" w:hAnsi="Times New Roman"/>
        </w:rPr>
      </w:pPr>
      <w:r w:rsidRPr="00E43ABB">
        <w:rPr>
          <w:rFonts w:ascii="Times New Roman" w:hAnsi="Times New Roman"/>
        </w:rPr>
        <w:lastRenderedPageBreak/>
        <w:t xml:space="preserve">αγοράς αγαθών και υπηρεσιών, όπως δαπάνες μετακίνησης προσωπικού, ύδρευσης, ενέργειας, καθαριότητας, μισθωμάτων (κτιρίων, υποδομών, οχημάτων κ.ά.). </w:t>
      </w:r>
    </w:p>
    <w:p w:rsidR="008256B0" w:rsidRPr="00E43ABB" w:rsidRDefault="008256B0" w:rsidP="008256B0">
      <w:pPr>
        <w:jc w:val="both"/>
        <w:rPr>
          <w:sz w:val="22"/>
          <w:szCs w:val="22"/>
        </w:rPr>
      </w:pPr>
    </w:p>
    <w:p w:rsidR="008256B0" w:rsidRDefault="008256B0" w:rsidP="008256B0">
      <w:pPr>
        <w:jc w:val="both"/>
        <w:rPr>
          <w:sz w:val="22"/>
          <w:szCs w:val="22"/>
        </w:rPr>
      </w:pPr>
      <w:r w:rsidRPr="00E43ABB">
        <w:rPr>
          <w:sz w:val="22"/>
          <w:szCs w:val="22"/>
        </w:rPr>
        <w:t xml:space="preserve">Επιπλέον, για την ομαλή λειτουργία των φορέων προβλέπονται πιστώσεις για ειδικές δράσεις, οι </w:t>
      </w:r>
      <w:r w:rsidRPr="00E43ABB">
        <w:rPr>
          <w:sz w:val="22"/>
          <w:szCs w:val="22"/>
        </w:rPr>
        <w:t>ο</w:t>
      </w:r>
      <w:r w:rsidRPr="00E43ABB">
        <w:rPr>
          <w:sz w:val="22"/>
          <w:szCs w:val="22"/>
        </w:rPr>
        <w:t>ποίες αναπτύσσονται είτε από τα ίδια τα υπουργεία, είτε από τους εποπτευόμενους φορείς τους και καλύπτονται κατά κύριο λόγο μέσω μεταβιβάσεων.</w:t>
      </w:r>
      <w:r>
        <w:rPr>
          <w:sz w:val="22"/>
          <w:szCs w:val="22"/>
        </w:rPr>
        <w:t xml:space="preserve"> </w:t>
      </w:r>
    </w:p>
    <w:p w:rsidR="008256B0" w:rsidRDefault="008256B0" w:rsidP="008256B0">
      <w:pPr>
        <w:jc w:val="both"/>
        <w:rPr>
          <w:sz w:val="22"/>
          <w:szCs w:val="22"/>
        </w:rPr>
      </w:pPr>
    </w:p>
    <w:p w:rsidR="008256B0" w:rsidRDefault="008256B0" w:rsidP="008256B0">
      <w:pPr>
        <w:jc w:val="both"/>
        <w:rPr>
          <w:sz w:val="22"/>
          <w:szCs w:val="22"/>
        </w:rPr>
      </w:pPr>
      <w:r>
        <w:rPr>
          <w:sz w:val="22"/>
          <w:szCs w:val="22"/>
        </w:rPr>
        <w:t xml:space="preserve">Επισημαίνουμε ότι στις οροφές του έτους 2020 έχουν ενσωματωθεί δαπάνες για την αντιμετώπιση των συνεπειών της πανδημίας </w:t>
      </w:r>
      <w:r>
        <w:rPr>
          <w:sz w:val="22"/>
          <w:szCs w:val="22"/>
          <w:lang w:val="en-US"/>
        </w:rPr>
        <w:t>Covid</w:t>
      </w:r>
      <w:r>
        <w:rPr>
          <w:sz w:val="22"/>
          <w:szCs w:val="22"/>
        </w:rPr>
        <w:t xml:space="preserve">-19, οι οποίες </w:t>
      </w:r>
      <w:r w:rsidR="0069590C">
        <w:rPr>
          <w:sz w:val="22"/>
          <w:szCs w:val="22"/>
        </w:rPr>
        <w:t xml:space="preserve">σύμφωνα με τον πίνακα παρεμβάσεων </w:t>
      </w:r>
      <w:r w:rsidR="009761B3">
        <w:rPr>
          <w:sz w:val="22"/>
          <w:szCs w:val="22"/>
        </w:rPr>
        <w:t xml:space="preserve">3.30 </w:t>
      </w:r>
      <w:r w:rsidR="0069590C">
        <w:rPr>
          <w:sz w:val="22"/>
          <w:szCs w:val="22"/>
        </w:rPr>
        <w:t xml:space="preserve">της </w:t>
      </w:r>
      <w:r w:rsidR="0069590C">
        <w:rPr>
          <w:sz w:val="22"/>
          <w:szCs w:val="22"/>
        </w:rPr>
        <w:t>ε</w:t>
      </w:r>
      <w:r w:rsidR="0069590C">
        <w:rPr>
          <w:sz w:val="22"/>
          <w:szCs w:val="22"/>
        </w:rPr>
        <w:t xml:space="preserve">νότητας </w:t>
      </w:r>
      <w:r w:rsidR="0069590C" w:rsidRPr="009761B3">
        <w:rPr>
          <w:sz w:val="22"/>
          <w:szCs w:val="22"/>
        </w:rPr>
        <w:t xml:space="preserve">9 είναι μεγαλύτερες από τις προβλεπόμενες δαπάνες </w:t>
      </w:r>
      <w:r w:rsidR="0069590C" w:rsidRPr="009761B3">
        <w:rPr>
          <w:sz w:val="22"/>
          <w:szCs w:val="22"/>
          <w:lang w:val="en-US"/>
        </w:rPr>
        <w:t>Covid</w:t>
      </w:r>
      <w:r w:rsidR="0069590C" w:rsidRPr="009761B3">
        <w:rPr>
          <w:sz w:val="22"/>
          <w:szCs w:val="22"/>
        </w:rPr>
        <w:t xml:space="preserve">-19 για το έτος 2021. </w:t>
      </w:r>
      <w:r w:rsidRPr="009761B3">
        <w:rPr>
          <w:sz w:val="22"/>
          <w:szCs w:val="22"/>
        </w:rPr>
        <w:t>Ως εκ το</w:t>
      </w:r>
      <w:r w:rsidRPr="009761B3">
        <w:rPr>
          <w:sz w:val="22"/>
          <w:szCs w:val="22"/>
        </w:rPr>
        <w:t>ύ</w:t>
      </w:r>
      <w:r w:rsidRPr="009761B3">
        <w:rPr>
          <w:sz w:val="22"/>
          <w:szCs w:val="22"/>
        </w:rPr>
        <w:t>του</w:t>
      </w:r>
      <w:r w:rsidR="006E2D6B" w:rsidRPr="009761B3">
        <w:rPr>
          <w:sz w:val="22"/>
          <w:szCs w:val="22"/>
        </w:rPr>
        <w:t>,</w:t>
      </w:r>
      <w:r w:rsidRPr="009761B3">
        <w:rPr>
          <w:sz w:val="22"/>
          <w:szCs w:val="22"/>
        </w:rPr>
        <w:t xml:space="preserve"> </w:t>
      </w:r>
      <w:r w:rsidR="006E2D6B" w:rsidRPr="009761B3">
        <w:rPr>
          <w:sz w:val="22"/>
          <w:szCs w:val="22"/>
        </w:rPr>
        <w:t>λαμβάνοντας</w:t>
      </w:r>
      <w:r w:rsidR="006E2D6B">
        <w:rPr>
          <w:sz w:val="22"/>
          <w:szCs w:val="22"/>
        </w:rPr>
        <w:t xml:space="preserve"> υπόψη και ότι στις εκτιμήσεις του 2020 των Υπουργείων περιλαμβάνονται δαπάνες που καλύφθηκαν από το αποθεματικό, εγγραφές σε ύψος δαπανών και δαπάνες μεταναστευτικών ροών, </w:t>
      </w:r>
      <w:r>
        <w:rPr>
          <w:sz w:val="22"/>
          <w:szCs w:val="22"/>
        </w:rPr>
        <w:t xml:space="preserve">τα μεγέθη που εμφανίζονται στα δύο έτη δεν είναι απευθείας συγκρίσιμα. Επίσης, για το 2021 </w:t>
      </w:r>
      <w:r w:rsidR="00EC14E6">
        <w:rPr>
          <w:sz w:val="22"/>
          <w:szCs w:val="22"/>
        </w:rPr>
        <w:t>μεγάλο</w:t>
      </w:r>
      <w:r>
        <w:rPr>
          <w:sz w:val="22"/>
          <w:szCs w:val="22"/>
        </w:rPr>
        <w:t xml:space="preserve"> μέρος των πιστώσεων για την</w:t>
      </w:r>
      <w:r w:rsidR="0029354C">
        <w:rPr>
          <w:sz w:val="22"/>
          <w:szCs w:val="22"/>
        </w:rPr>
        <w:t xml:space="preserve"> αντιμετώπιση των επιπτώσεων της</w:t>
      </w:r>
      <w:r>
        <w:rPr>
          <w:sz w:val="22"/>
          <w:szCs w:val="22"/>
        </w:rPr>
        <w:t xml:space="preserve"> πανδημίας</w:t>
      </w:r>
      <w:r w:rsidR="00EC14E6">
        <w:rPr>
          <w:sz w:val="22"/>
          <w:szCs w:val="22"/>
        </w:rPr>
        <w:t>, ύψους 3 δισ. ε</w:t>
      </w:r>
      <w:r w:rsidR="00EC14E6">
        <w:rPr>
          <w:sz w:val="22"/>
          <w:szCs w:val="22"/>
        </w:rPr>
        <w:t>υ</w:t>
      </w:r>
      <w:r w:rsidR="00EC14E6">
        <w:rPr>
          <w:sz w:val="22"/>
          <w:szCs w:val="22"/>
        </w:rPr>
        <w:t>ρώ,</w:t>
      </w:r>
      <w:r>
        <w:rPr>
          <w:sz w:val="22"/>
          <w:szCs w:val="22"/>
        </w:rPr>
        <w:t xml:space="preserve"> έχει προβλεφθεί στον ειδικό φορέα </w:t>
      </w:r>
      <w:r w:rsidR="00A36641">
        <w:rPr>
          <w:sz w:val="22"/>
          <w:szCs w:val="22"/>
        </w:rPr>
        <w:t>«</w:t>
      </w:r>
      <w:r>
        <w:rPr>
          <w:sz w:val="22"/>
          <w:szCs w:val="22"/>
        </w:rPr>
        <w:t>Γενικές Κρατικές Δαπάνες</w:t>
      </w:r>
      <w:r w:rsidR="0059754C">
        <w:rPr>
          <w:sz w:val="22"/>
          <w:szCs w:val="22"/>
        </w:rPr>
        <w:t>»</w:t>
      </w:r>
      <w:r>
        <w:rPr>
          <w:sz w:val="22"/>
          <w:szCs w:val="22"/>
        </w:rPr>
        <w:t xml:space="preserve"> του Υπουργείου Οικονομικών, στην κατηγορία πιστώσεις υπό κατανομή. Οι πιστώσεις αυτές θα μεταφέρονται στους φορείς ανάλογα με τις ανάγκες τους κατά τη διάρκεια του έτους.</w:t>
      </w:r>
      <w:r w:rsidR="0069590C">
        <w:rPr>
          <w:sz w:val="22"/>
          <w:szCs w:val="22"/>
        </w:rPr>
        <w:t xml:space="preserve"> Στοιχεία για τις δαπάνες </w:t>
      </w:r>
      <w:r w:rsidR="0069590C">
        <w:rPr>
          <w:sz w:val="22"/>
          <w:szCs w:val="22"/>
          <w:lang w:val="en-US"/>
        </w:rPr>
        <w:t>Covid</w:t>
      </w:r>
      <w:r w:rsidR="0069590C" w:rsidRPr="00A36641">
        <w:rPr>
          <w:sz w:val="22"/>
          <w:szCs w:val="22"/>
        </w:rPr>
        <w:t>-19</w:t>
      </w:r>
      <w:r w:rsidR="0069590C">
        <w:rPr>
          <w:sz w:val="22"/>
          <w:szCs w:val="22"/>
        </w:rPr>
        <w:t xml:space="preserve"> περιλαμβάνονται παρακάτω ανά Υπουργείο.</w:t>
      </w:r>
    </w:p>
    <w:p w:rsidR="008256B0" w:rsidRDefault="008256B0" w:rsidP="00853402">
      <w:pPr>
        <w:ind w:right="-1"/>
        <w:rPr>
          <w:sz w:val="22"/>
          <w:szCs w:val="22"/>
          <w:highlight w:val="lightGray"/>
        </w:rPr>
      </w:pPr>
    </w:p>
    <w:p w:rsidR="008F0A45" w:rsidRDefault="008F0A45" w:rsidP="008F0A45">
      <w:pPr>
        <w:ind w:right="-1"/>
        <w:jc w:val="both"/>
        <w:rPr>
          <w:sz w:val="22"/>
          <w:szCs w:val="22"/>
        </w:rPr>
      </w:pPr>
      <w:r w:rsidRPr="008F0A45">
        <w:rPr>
          <w:sz w:val="22"/>
          <w:szCs w:val="22"/>
        </w:rPr>
        <w:t xml:space="preserve">Τέλος, </w:t>
      </w:r>
      <w:r>
        <w:rPr>
          <w:sz w:val="22"/>
          <w:szCs w:val="22"/>
        </w:rPr>
        <w:t>η φύση των δαπανών που πραγματοποιούνται από τους φορείς της Κεντρικής Διοίκησης μέσω του Προγράμματος Δημοσίων Επενδύσεων, περιγράφηκε σε προηγούμενο ειδικό υποκεφάλαιο.</w:t>
      </w:r>
    </w:p>
    <w:p w:rsidR="008F0A45" w:rsidRDefault="008F0A45" w:rsidP="008F0A45">
      <w:pPr>
        <w:ind w:right="-1"/>
        <w:jc w:val="both"/>
        <w:rPr>
          <w:sz w:val="22"/>
          <w:szCs w:val="22"/>
        </w:rPr>
      </w:pPr>
      <w:r>
        <w:rPr>
          <w:sz w:val="22"/>
          <w:szCs w:val="22"/>
        </w:rPr>
        <w:t>Κατωτέρω γίνεται συνοπτική αναφορά ανά φορέα.</w:t>
      </w:r>
    </w:p>
    <w:p w:rsidR="008F0A45" w:rsidRPr="008F0A45" w:rsidRDefault="008F0A45" w:rsidP="008F0A45">
      <w:pPr>
        <w:ind w:right="-1"/>
        <w:jc w:val="both"/>
        <w:rPr>
          <w:sz w:val="22"/>
          <w:szCs w:val="22"/>
        </w:rPr>
      </w:pPr>
    </w:p>
    <w:p w:rsidR="00DF7E4C" w:rsidRPr="00DD5832" w:rsidRDefault="00DF7E4C" w:rsidP="00DF7E4C">
      <w:pPr>
        <w:tabs>
          <w:tab w:val="left" w:pos="3720"/>
        </w:tabs>
        <w:rPr>
          <w:rFonts w:ascii="Arial Narrow" w:hAnsi="Arial Narrow"/>
          <w:b/>
          <w:i/>
          <w:sz w:val="22"/>
          <w:szCs w:val="22"/>
        </w:rPr>
      </w:pPr>
      <w:r w:rsidRPr="00AD4E01">
        <w:rPr>
          <w:rFonts w:ascii="Arial Narrow" w:hAnsi="Arial Narrow"/>
          <w:b/>
          <w:i/>
          <w:sz w:val="22"/>
          <w:szCs w:val="22"/>
        </w:rPr>
        <w:t>Προεδρία της Κυβέρνησης</w:t>
      </w:r>
    </w:p>
    <w:p w:rsidR="00DF7E4C" w:rsidRPr="00F36195" w:rsidRDefault="00DF7E4C" w:rsidP="00DF7E4C">
      <w:pPr>
        <w:tabs>
          <w:tab w:val="left" w:pos="3720"/>
        </w:tabs>
        <w:rPr>
          <w:b/>
          <w:sz w:val="22"/>
          <w:szCs w:val="22"/>
        </w:rPr>
      </w:pPr>
    </w:p>
    <w:p w:rsidR="00DF7E4C" w:rsidRDefault="00DF7E4C" w:rsidP="00DF7E4C">
      <w:pPr>
        <w:tabs>
          <w:tab w:val="left" w:pos="3720"/>
        </w:tabs>
        <w:jc w:val="both"/>
        <w:rPr>
          <w:sz w:val="22"/>
          <w:szCs w:val="22"/>
        </w:rPr>
      </w:pPr>
      <w:r>
        <w:rPr>
          <w:sz w:val="22"/>
          <w:szCs w:val="22"/>
        </w:rPr>
        <w:t>Μ</w:t>
      </w:r>
      <w:r w:rsidRPr="00F36195">
        <w:rPr>
          <w:sz w:val="22"/>
          <w:szCs w:val="22"/>
        </w:rPr>
        <w:t>ε τις διατάξεις του ν. 4622/2019 ιδρύ</w:t>
      </w:r>
      <w:r>
        <w:rPr>
          <w:sz w:val="22"/>
          <w:szCs w:val="22"/>
        </w:rPr>
        <w:t>θηκε ως</w:t>
      </w:r>
      <w:r w:rsidRPr="00F36195">
        <w:rPr>
          <w:sz w:val="22"/>
          <w:szCs w:val="22"/>
        </w:rPr>
        <w:t xml:space="preserve"> αυτοτελής υπηρεσία η Προεδρία της Κυβέρνησης, </w:t>
      </w:r>
      <w:r w:rsidRPr="00F36195">
        <w:rPr>
          <w:sz w:val="22"/>
          <w:szCs w:val="22"/>
        </w:rPr>
        <w:t>υ</w:t>
      </w:r>
      <w:r w:rsidRPr="00F36195">
        <w:rPr>
          <w:sz w:val="22"/>
          <w:szCs w:val="22"/>
        </w:rPr>
        <w:t xml:space="preserve">παγόμενη απευθείας στον </w:t>
      </w:r>
      <w:r w:rsidR="005B507B" w:rsidRPr="00F36195">
        <w:rPr>
          <w:sz w:val="22"/>
          <w:szCs w:val="22"/>
        </w:rPr>
        <w:t>Πρωθυπουργό</w:t>
      </w:r>
      <w:r w:rsidRPr="00F36195">
        <w:rPr>
          <w:sz w:val="22"/>
          <w:szCs w:val="22"/>
        </w:rPr>
        <w:t>. Η</w:t>
      </w:r>
      <w:r>
        <w:rPr>
          <w:sz w:val="22"/>
          <w:szCs w:val="22"/>
        </w:rPr>
        <w:t xml:space="preserve"> </w:t>
      </w:r>
      <w:r w:rsidRPr="00F36195">
        <w:rPr>
          <w:sz w:val="22"/>
          <w:szCs w:val="22"/>
        </w:rPr>
        <w:t>Προεδρία της Κυβέρνησης αποτελεί διακριτό φορέα</w:t>
      </w:r>
      <w:r>
        <w:rPr>
          <w:sz w:val="22"/>
          <w:szCs w:val="22"/>
        </w:rPr>
        <w:t xml:space="preserve"> στον προϋπολογισμό</w:t>
      </w:r>
      <w:r w:rsidRPr="00F36195">
        <w:rPr>
          <w:sz w:val="22"/>
          <w:szCs w:val="22"/>
        </w:rPr>
        <w:t>, αποτελούμενο από έξι ειδικούς φορείς. Οι πιστώσεις του τακτικού προϋπολογισμού της θα καλύψουν</w:t>
      </w:r>
      <w:r>
        <w:rPr>
          <w:sz w:val="22"/>
          <w:szCs w:val="22"/>
        </w:rPr>
        <w:t xml:space="preserve"> </w:t>
      </w:r>
      <w:r w:rsidRPr="00F36195">
        <w:rPr>
          <w:sz w:val="22"/>
          <w:szCs w:val="22"/>
        </w:rPr>
        <w:t>πέραν των λειτουργικών δαπανών και της δαπάνης μισθοδοσίας, την επιχορήγηση</w:t>
      </w:r>
      <w:r>
        <w:rPr>
          <w:sz w:val="22"/>
          <w:szCs w:val="22"/>
        </w:rPr>
        <w:t xml:space="preserve"> </w:t>
      </w:r>
      <w:r w:rsidRPr="00F36195">
        <w:rPr>
          <w:sz w:val="22"/>
          <w:szCs w:val="22"/>
        </w:rPr>
        <w:t>του Αθηναϊκού</w:t>
      </w:r>
      <w:r>
        <w:rPr>
          <w:sz w:val="22"/>
          <w:szCs w:val="22"/>
        </w:rPr>
        <w:t xml:space="preserve"> - </w:t>
      </w:r>
      <w:r w:rsidRPr="00F36195">
        <w:rPr>
          <w:sz w:val="22"/>
          <w:szCs w:val="22"/>
        </w:rPr>
        <w:t>Μακεδονικού Πρακτορείου Ειδήσεων (ΑΠΕ-ΜΠΕ) ΑΕ</w:t>
      </w:r>
      <w:r w:rsidR="005B507B">
        <w:rPr>
          <w:sz w:val="22"/>
          <w:szCs w:val="22"/>
        </w:rPr>
        <w:t>,</w:t>
      </w:r>
      <w:r>
        <w:rPr>
          <w:sz w:val="22"/>
          <w:szCs w:val="22"/>
        </w:rPr>
        <w:t xml:space="preserve"> </w:t>
      </w:r>
      <w:r w:rsidRPr="00F36195">
        <w:rPr>
          <w:sz w:val="22"/>
          <w:szCs w:val="22"/>
        </w:rPr>
        <w:t>καθώς και τις επιδοτήσεις για τη διακίνηση τύπου</w:t>
      </w:r>
      <w:r>
        <w:rPr>
          <w:sz w:val="22"/>
          <w:szCs w:val="22"/>
        </w:rPr>
        <w:t>.</w:t>
      </w:r>
    </w:p>
    <w:p w:rsidR="00DF7E4C" w:rsidRDefault="00DF7E4C" w:rsidP="00DF7E4C">
      <w:pPr>
        <w:tabs>
          <w:tab w:val="left" w:pos="3720"/>
        </w:tabs>
        <w:rPr>
          <w:sz w:val="22"/>
          <w:szCs w:val="22"/>
        </w:rPr>
      </w:pPr>
    </w:p>
    <w:p w:rsidR="00DF7E4C" w:rsidRPr="008E7D47" w:rsidRDefault="00DF7E4C" w:rsidP="00DF7E4C">
      <w:pPr>
        <w:jc w:val="both"/>
        <w:rPr>
          <w:b/>
          <w:sz w:val="22"/>
          <w:szCs w:val="22"/>
        </w:rPr>
      </w:pPr>
      <w:r>
        <w:rPr>
          <w:sz w:val="22"/>
          <w:szCs w:val="22"/>
        </w:rPr>
        <w:t>Το σύνολο των δαπανών του φ</w:t>
      </w:r>
      <w:r w:rsidRPr="008E7D47">
        <w:rPr>
          <w:sz w:val="22"/>
          <w:szCs w:val="22"/>
        </w:rPr>
        <w:t xml:space="preserve">ορέα στο ΠΔΕ έτους 2021 </w:t>
      </w:r>
      <w:r>
        <w:rPr>
          <w:sz w:val="22"/>
          <w:szCs w:val="22"/>
        </w:rPr>
        <w:t>προβλέπεται</w:t>
      </w:r>
      <w:r w:rsidRPr="008E7D47">
        <w:rPr>
          <w:sz w:val="22"/>
          <w:szCs w:val="22"/>
        </w:rPr>
        <w:t xml:space="preserve"> </w:t>
      </w:r>
      <w:r>
        <w:rPr>
          <w:sz w:val="22"/>
          <w:szCs w:val="22"/>
        </w:rPr>
        <w:t>στα</w:t>
      </w:r>
      <w:r w:rsidRPr="008E7D47">
        <w:rPr>
          <w:sz w:val="22"/>
          <w:szCs w:val="22"/>
        </w:rPr>
        <w:t xml:space="preserve"> </w:t>
      </w:r>
      <w:r w:rsidRPr="0002562A">
        <w:rPr>
          <w:sz w:val="22"/>
          <w:szCs w:val="22"/>
        </w:rPr>
        <w:t>3 εκατ. ευρώ</w:t>
      </w:r>
      <w:r w:rsidRPr="008E7D47">
        <w:rPr>
          <w:b/>
          <w:sz w:val="22"/>
          <w:szCs w:val="22"/>
        </w:rPr>
        <w:t>.</w:t>
      </w:r>
    </w:p>
    <w:p w:rsidR="0029354C" w:rsidRDefault="0029354C" w:rsidP="0029354C">
      <w:pPr>
        <w:tabs>
          <w:tab w:val="left" w:pos="3720"/>
        </w:tabs>
        <w:rPr>
          <w:sz w:val="22"/>
          <w:szCs w:val="22"/>
        </w:rPr>
      </w:pPr>
    </w:p>
    <w:p w:rsidR="0029354C" w:rsidRPr="00E767E9" w:rsidRDefault="0029354C" w:rsidP="0029354C">
      <w:pPr>
        <w:tabs>
          <w:tab w:val="left" w:pos="3720"/>
        </w:tabs>
        <w:rPr>
          <w:rFonts w:ascii="Arial Narrow" w:hAnsi="Arial Narrow"/>
          <w:b/>
          <w:i/>
          <w:sz w:val="22"/>
          <w:szCs w:val="22"/>
        </w:rPr>
      </w:pPr>
      <w:r w:rsidRPr="00E767E9">
        <w:rPr>
          <w:rFonts w:ascii="Arial Narrow" w:hAnsi="Arial Narrow"/>
          <w:b/>
          <w:i/>
          <w:sz w:val="22"/>
          <w:szCs w:val="22"/>
        </w:rPr>
        <w:t>Υπουργείο Εσωτερικών</w:t>
      </w:r>
    </w:p>
    <w:p w:rsidR="0029354C" w:rsidRPr="003011A0" w:rsidRDefault="0029354C" w:rsidP="0029354C">
      <w:pPr>
        <w:tabs>
          <w:tab w:val="left" w:pos="3720"/>
        </w:tabs>
        <w:rPr>
          <w:b/>
          <w:sz w:val="22"/>
          <w:szCs w:val="22"/>
        </w:rPr>
      </w:pPr>
    </w:p>
    <w:p w:rsidR="0029354C" w:rsidRPr="00F36195" w:rsidRDefault="0029354C" w:rsidP="0029354C">
      <w:pPr>
        <w:jc w:val="both"/>
        <w:rPr>
          <w:sz w:val="22"/>
          <w:szCs w:val="22"/>
        </w:rPr>
      </w:pPr>
      <w:r w:rsidRPr="00F36195">
        <w:rPr>
          <w:sz w:val="22"/>
          <w:szCs w:val="22"/>
        </w:rPr>
        <w:t>Οι πιστώσεις του τακτικού προϋπολογισμού του Υπουργείου Εσωτερικών θα καλύψουν πέραν των λειτουργικών του δαπανών και δαπάνες των Ανεξάρτητων Αρχών</w:t>
      </w:r>
      <w:r>
        <w:rPr>
          <w:sz w:val="22"/>
          <w:szCs w:val="22"/>
        </w:rPr>
        <w:t xml:space="preserve"> όπως</w:t>
      </w:r>
      <w:r w:rsidRPr="00BD4BB7">
        <w:rPr>
          <w:sz w:val="22"/>
          <w:szCs w:val="22"/>
        </w:rPr>
        <w:t xml:space="preserve"> </w:t>
      </w:r>
      <w:r>
        <w:rPr>
          <w:sz w:val="22"/>
          <w:szCs w:val="22"/>
        </w:rPr>
        <w:t xml:space="preserve">του </w:t>
      </w:r>
      <w:r w:rsidRPr="00F36195">
        <w:rPr>
          <w:sz w:val="22"/>
          <w:szCs w:val="22"/>
        </w:rPr>
        <w:t>Αν</w:t>
      </w:r>
      <w:r>
        <w:rPr>
          <w:sz w:val="22"/>
          <w:szCs w:val="22"/>
        </w:rPr>
        <w:t>ωτάτου</w:t>
      </w:r>
      <w:r w:rsidRPr="00F36195">
        <w:rPr>
          <w:sz w:val="22"/>
          <w:szCs w:val="22"/>
        </w:rPr>
        <w:t xml:space="preserve"> </w:t>
      </w:r>
      <w:r w:rsidRPr="00F36195">
        <w:t>Συμβο</w:t>
      </w:r>
      <w:r>
        <w:t>υ</w:t>
      </w:r>
      <w:r w:rsidRPr="00F36195">
        <w:t>λ</w:t>
      </w:r>
      <w:r>
        <w:t>ί</w:t>
      </w:r>
      <w:r w:rsidRPr="00F36195">
        <w:t>ο</w:t>
      </w:r>
      <w:r>
        <w:t>υ</w:t>
      </w:r>
      <w:r w:rsidRPr="00F36195">
        <w:rPr>
          <w:sz w:val="22"/>
          <w:szCs w:val="22"/>
        </w:rPr>
        <w:t xml:space="preserve"> Επιλογής Προσωπικού (ΑΣΕΠ), </w:t>
      </w:r>
      <w:r>
        <w:rPr>
          <w:sz w:val="22"/>
          <w:szCs w:val="22"/>
        </w:rPr>
        <w:t xml:space="preserve">του </w:t>
      </w:r>
      <w:r w:rsidRPr="00F36195">
        <w:rPr>
          <w:sz w:val="22"/>
          <w:szCs w:val="22"/>
        </w:rPr>
        <w:t>Συνηγόρο</w:t>
      </w:r>
      <w:r>
        <w:rPr>
          <w:sz w:val="22"/>
          <w:szCs w:val="22"/>
        </w:rPr>
        <w:t>υ</w:t>
      </w:r>
      <w:r w:rsidRPr="00F36195">
        <w:rPr>
          <w:sz w:val="22"/>
          <w:szCs w:val="22"/>
        </w:rPr>
        <w:t xml:space="preserve"> του Πολίτη (ΣτΠ) και </w:t>
      </w:r>
      <w:r>
        <w:rPr>
          <w:sz w:val="22"/>
          <w:szCs w:val="22"/>
        </w:rPr>
        <w:t xml:space="preserve">της </w:t>
      </w:r>
      <w:r w:rsidRPr="00F36195">
        <w:rPr>
          <w:sz w:val="22"/>
          <w:szCs w:val="22"/>
        </w:rPr>
        <w:t>Εθνική</w:t>
      </w:r>
      <w:r>
        <w:rPr>
          <w:sz w:val="22"/>
          <w:szCs w:val="22"/>
        </w:rPr>
        <w:t>ς</w:t>
      </w:r>
      <w:r w:rsidRPr="00F36195">
        <w:rPr>
          <w:sz w:val="22"/>
          <w:szCs w:val="22"/>
        </w:rPr>
        <w:t xml:space="preserve"> Αρχή</w:t>
      </w:r>
      <w:r>
        <w:rPr>
          <w:sz w:val="22"/>
          <w:szCs w:val="22"/>
        </w:rPr>
        <w:t>ς</w:t>
      </w:r>
      <w:r w:rsidRPr="00F36195">
        <w:rPr>
          <w:sz w:val="22"/>
          <w:szCs w:val="22"/>
        </w:rPr>
        <w:t xml:space="preserve"> Διαφάνειας (ΕΑΔ)</w:t>
      </w:r>
      <w:r>
        <w:rPr>
          <w:sz w:val="22"/>
          <w:szCs w:val="22"/>
        </w:rPr>
        <w:t>, καθώς και τ</w:t>
      </w:r>
      <w:r w:rsidRPr="00F36195">
        <w:rPr>
          <w:sz w:val="22"/>
          <w:szCs w:val="22"/>
        </w:rPr>
        <w:t>ις επιχορηγήσεις του Εθνικού Κέντρου Δημόσιας Διοίκησης και Αυτοδιοίκησης (ΕΚΔΔΑ), του Κέντρου Διαφύλαξης Αγιορείτικης Κληρονομιάς (ΚΕΔΑΚ), της Αλεξάνδρειας Ζώνης</w:t>
      </w:r>
      <w:r>
        <w:rPr>
          <w:sz w:val="22"/>
          <w:szCs w:val="22"/>
        </w:rPr>
        <w:t xml:space="preserve"> </w:t>
      </w:r>
      <w:r w:rsidRPr="00F36195">
        <w:rPr>
          <w:sz w:val="22"/>
          <w:szCs w:val="22"/>
        </w:rPr>
        <w:t>Καινοτομίας ΑΕ, τη χρηματοδότηση των πολιτικών κομμάτων</w:t>
      </w:r>
      <w:r>
        <w:rPr>
          <w:sz w:val="22"/>
          <w:szCs w:val="22"/>
        </w:rPr>
        <w:t xml:space="preserve"> </w:t>
      </w:r>
      <w:r w:rsidRPr="00F36195">
        <w:rPr>
          <w:sz w:val="22"/>
          <w:szCs w:val="22"/>
        </w:rPr>
        <w:t>και τις μεταβιβάσεις πόρων στην Τ</w:t>
      </w:r>
      <w:r w:rsidRPr="00F36195">
        <w:rPr>
          <w:sz w:val="22"/>
          <w:szCs w:val="22"/>
        </w:rPr>
        <w:t>ο</w:t>
      </w:r>
      <w:r w:rsidRPr="00F36195">
        <w:rPr>
          <w:sz w:val="22"/>
          <w:szCs w:val="22"/>
        </w:rPr>
        <w:t>πική Αυτοδιοίκηση.</w:t>
      </w:r>
    </w:p>
    <w:p w:rsidR="0029354C" w:rsidRDefault="0029354C" w:rsidP="0029354C">
      <w:pPr>
        <w:jc w:val="both"/>
        <w:rPr>
          <w:sz w:val="22"/>
          <w:szCs w:val="22"/>
        </w:rPr>
      </w:pPr>
    </w:p>
    <w:p w:rsidR="0029354C" w:rsidRDefault="0029354C" w:rsidP="0029354C">
      <w:pPr>
        <w:jc w:val="both"/>
        <w:rPr>
          <w:sz w:val="22"/>
          <w:szCs w:val="22"/>
        </w:rPr>
      </w:pPr>
      <w:r w:rsidRPr="00F36195">
        <w:rPr>
          <w:sz w:val="22"/>
          <w:szCs w:val="22"/>
        </w:rPr>
        <w:t>Οι μεταβιβάσεις</w:t>
      </w:r>
      <w:r>
        <w:rPr>
          <w:sz w:val="22"/>
          <w:szCs w:val="22"/>
        </w:rPr>
        <w:t xml:space="preserve"> </w:t>
      </w:r>
      <w:r w:rsidRPr="00F36195">
        <w:rPr>
          <w:sz w:val="22"/>
          <w:szCs w:val="22"/>
        </w:rPr>
        <w:t>πόρων από τον τακτικό προϋπολογισμό του Υπουργείου Εσωτερικών για την κάλυψη δαπανών της Τοπικής Αυτοδιοίκησης (Δήμοι - Περιφέρειες) αφορούν:</w:t>
      </w:r>
    </w:p>
    <w:p w:rsidR="0029354C" w:rsidRPr="00F36195" w:rsidRDefault="0029354C" w:rsidP="0029354C">
      <w:pPr>
        <w:jc w:val="both"/>
        <w:rPr>
          <w:sz w:val="22"/>
          <w:szCs w:val="22"/>
        </w:rPr>
      </w:pPr>
    </w:p>
    <w:p w:rsidR="0029354C" w:rsidRPr="00F36195" w:rsidRDefault="0029354C" w:rsidP="0029354C">
      <w:pPr>
        <w:numPr>
          <w:ilvl w:val="0"/>
          <w:numId w:val="1"/>
        </w:numPr>
        <w:ind w:left="284" w:hanging="284"/>
        <w:jc w:val="both"/>
        <w:rPr>
          <w:sz w:val="22"/>
          <w:szCs w:val="22"/>
        </w:rPr>
      </w:pPr>
      <w:r w:rsidRPr="00F36195">
        <w:rPr>
          <w:sz w:val="22"/>
          <w:szCs w:val="22"/>
        </w:rPr>
        <w:t>την απόδοση των Κεντρικών Αυτοτελών Πόρων (ΚΑΠ),</w:t>
      </w:r>
    </w:p>
    <w:p w:rsidR="0029354C" w:rsidRPr="00F36195" w:rsidRDefault="0029354C" w:rsidP="0029354C">
      <w:pPr>
        <w:numPr>
          <w:ilvl w:val="0"/>
          <w:numId w:val="1"/>
        </w:numPr>
        <w:ind w:left="284" w:hanging="284"/>
        <w:jc w:val="both"/>
        <w:rPr>
          <w:sz w:val="22"/>
          <w:szCs w:val="22"/>
        </w:rPr>
      </w:pPr>
      <w:r w:rsidRPr="00F36195">
        <w:rPr>
          <w:sz w:val="22"/>
          <w:szCs w:val="22"/>
        </w:rPr>
        <w:t>την ειδική επιχορήγηση των Δήμων για την κάλυψη της μισθοδοσίας των σχολικών τροχονόμων και του προσωπικού καθαριότητας των σχολικών μονάδων,</w:t>
      </w:r>
      <w:r w:rsidRPr="003011A0">
        <w:rPr>
          <w:sz w:val="22"/>
          <w:szCs w:val="22"/>
        </w:rPr>
        <w:t xml:space="preserve"> </w:t>
      </w:r>
      <w:r>
        <w:rPr>
          <w:sz w:val="22"/>
          <w:szCs w:val="22"/>
        </w:rPr>
        <w:t>και</w:t>
      </w:r>
    </w:p>
    <w:p w:rsidR="0029354C" w:rsidRDefault="0029354C" w:rsidP="0029354C">
      <w:pPr>
        <w:numPr>
          <w:ilvl w:val="0"/>
          <w:numId w:val="1"/>
        </w:numPr>
        <w:ind w:left="284" w:hanging="284"/>
        <w:jc w:val="both"/>
        <w:rPr>
          <w:sz w:val="22"/>
          <w:szCs w:val="22"/>
        </w:rPr>
      </w:pPr>
      <w:r w:rsidRPr="00F36195">
        <w:rPr>
          <w:sz w:val="22"/>
          <w:szCs w:val="22"/>
        </w:rPr>
        <w:t>το Πρόγραμμα «Βοήθεια στο σπίτι»</w:t>
      </w:r>
      <w:r>
        <w:rPr>
          <w:sz w:val="22"/>
          <w:szCs w:val="22"/>
        </w:rPr>
        <w:t>.</w:t>
      </w:r>
    </w:p>
    <w:p w:rsidR="00191466" w:rsidRPr="000B2C18" w:rsidRDefault="00191466" w:rsidP="00191466">
      <w:pPr>
        <w:ind w:left="284"/>
        <w:jc w:val="both"/>
        <w:rPr>
          <w:sz w:val="22"/>
          <w:szCs w:val="22"/>
        </w:rPr>
      </w:pPr>
    </w:p>
    <w:p w:rsidR="004834C2" w:rsidRPr="000B2C18" w:rsidRDefault="004834C2" w:rsidP="00191466">
      <w:pPr>
        <w:ind w:left="284"/>
        <w:jc w:val="both"/>
        <w:rPr>
          <w:sz w:val="22"/>
          <w:szCs w:val="22"/>
        </w:rPr>
      </w:pPr>
    </w:p>
    <w:p w:rsidR="004834C2" w:rsidRPr="000B2C18" w:rsidRDefault="004834C2" w:rsidP="00191466">
      <w:pPr>
        <w:ind w:left="284"/>
        <w:jc w:val="both"/>
        <w:rPr>
          <w:sz w:val="22"/>
          <w:szCs w:val="22"/>
        </w:rPr>
      </w:pPr>
    </w:p>
    <w:p w:rsidR="004834C2" w:rsidRPr="000B2C18" w:rsidRDefault="004834C2" w:rsidP="00191466">
      <w:pPr>
        <w:ind w:left="284"/>
        <w:jc w:val="both"/>
        <w:rPr>
          <w:sz w:val="22"/>
          <w:szCs w:val="22"/>
        </w:rPr>
      </w:pPr>
    </w:p>
    <w:tbl>
      <w:tblPr>
        <w:tblW w:w="9512" w:type="dxa"/>
        <w:jc w:val="center"/>
        <w:tblCellMar>
          <w:left w:w="28" w:type="dxa"/>
          <w:right w:w="28" w:type="dxa"/>
        </w:tblCellMar>
        <w:tblLook w:val="04A0"/>
      </w:tblPr>
      <w:tblGrid>
        <w:gridCol w:w="460"/>
        <w:gridCol w:w="3446"/>
        <w:gridCol w:w="2268"/>
        <w:gridCol w:w="729"/>
        <w:gridCol w:w="879"/>
        <w:gridCol w:w="851"/>
        <w:gridCol w:w="879"/>
      </w:tblGrid>
      <w:tr w:rsidR="003B55F6" w:rsidRPr="00632720" w:rsidTr="0026560A">
        <w:trPr>
          <w:trHeight w:val="395"/>
          <w:tblHeader/>
          <w:jc w:val="center"/>
        </w:trPr>
        <w:tc>
          <w:tcPr>
            <w:tcW w:w="9512" w:type="dxa"/>
            <w:gridSpan w:val="7"/>
            <w:vMerge w:val="restart"/>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rsidR="003B55F6" w:rsidRPr="00632720" w:rsidRDefault="003B55F6" w:rsidP="003C79F3">
            <w:pPr>
              <w:spacing w:before="120" w:after="120"/>
              <w:jc w:val="center"/>
              <w:rPr>
                <w:rFonts w:ascii="Arial Narrow" w:hAnsi="Arial Narrow"/>
                <w:b/>
                <w:bCs/>
                <w:color w:val="FFFFFF"/>
              </w:rPr>
            </w:pPr>
            <w:r w:rsidRPr="00632720">
              <w:rPr>
                <w:rFonts w:ascii="Arial Narrow" w:hAnsi="Arial Narrow"/>
                <w:b/>
                <w:bCs/>
                <w:color w:val="FFFFFF"/>
              </w:rPr>
              <w:lastRenderedPageBreak/>
              <w:t xml:space="preserve">Πίνακας </w:t>
            </w:r>
            <w:r w:rsidR="006676A8">
              <w:rPr>
                <w:rFonts w:ascii="Arial Narrow" w:hAnsi="Arial Narrow"/>
                <w:b/>
                <w:bCs/>
                <w:color w:val="FFFFFF"/>
              </w:rPr>
              <w:t>3.14</w:t>
            </w:r>
            <w:r w:rsidRPr="00632720">
              <w:rPr>
                <w:rFonts w:ascii="Arial Narrow" w:hAnsi="Arial Narrow"/>
                <w:b/>
                <w:bCs/>
                <w:color w:val="FFFFFF"/>
              </w:rPr>
              <w:t xml:space="preserve"> Ανώτατα όρια δαπανών Φορέων Κεντρικής Διοίκησης Κρατικού Προϋπολογισμού</w:t>
            </w:r>
            <w:r w:rsidRPr="00632720">
              <w:rPr>
                <w:rFonts w:ascii="Arial Narrow" w:hAnsi="Arial Narrow"/>
                <w:b/>
                <w:bCs/>
                <w:color w:val="FFFFFF"/>
              </w:rPr>
              <w:br/>
              <w:t>σε ταμειακή και δεδουλευμένη βάση σύμφωνα με τη</w:t>
            </w:r>
            <w:r>
              <w:rPr>
                <w:rFonts w:ascii="Arial Narrow" w:hAnsi="Arial Narrow"/>
                <w:b/>
                <w:bCs/>
                <w:color w:val="FFFFFF"/>
              </w:rPr>
              <w:t xml:space="preserve"> μεθοδολογία ESA για τα έτη 2020 και 2021*</w:t>
            </w:r>
            <w:r w:rsidRPr="00632720">
              <w:rPr>
                <w:rFonts w:ascii="Arial Narrow" w:hAnsi="Arial Narrow"/>
                <w:b/>
                <w:bCs/>
                <w:color w:val="FFFFFF"/>
              </w:rPr>
              <w:br/>
            </w:r>
            <w:r w:rsidRPr="00632720">
              <w:rPr>
                <w:rFonts w:ascii="Arial Narrow" w:hAnsi="Arial Narrow"/>
                <w:b/>
                <w:iCs/>
                <w:color w:val="FFFFFF"/>
              </w:rPr>
              <w:t>(σε εκατ. ευρώ)</w:t>
            </w:r>
          </w:p>
        </w:tc>
      </w:tr>
      <w:tr w:rsidR="003B55F6" w:rsidRPr="00632720" w:rsidTr="0026560A">
        <w:trPr>
          <w:trHeight w:val="276"/>
          <w:tblHeader/>
          <w:jc w:val="center"/>
        </w:trPr>
        <w:tc>
          <w:tcPr>
            <w:tcW w:w="9512" w:type="dxa"/>
            <w:gridSpan w:val="7"/>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rsidR="003B55F6" w:rsidRPr="00632720" w:rsidRDefault="003B55F6" w:rsidP="003C79F3">
            <w:pPr>
              <w:rPr>
                <w:rFonts w:ascii="Arial Narrow" w:hAnsi="Arial Narrow"/>
                <w:b/>
                <w:bCs/>
                <w:color w:val="FFFFFF"/>
              </w:rPr>
            </w:pPr>
          </w:p>
        </w:tc>
      </w:tr>
      <w:tr w:rsidR="003B55F6" w:rsidRPr="004834C2" w:rsidTr="0026560A">
        <w:trPr>
          <w:trHeight w:val="113"/>
          <w:tblHeader/>
          <w:jc w:val="center"/>
        </w:trPr>
        <w:tc>
          <w:tcPr>
            <w:tcW w:w="460" w:type="dxa"/>
            <w:tcBorders>
              <w:top w:val="nil"/>
              <w:left w:val="single" w:sz="4" w:space="0" w:color="auto"/>
              <w:bottom w:val="single" w:sz="4" w:space="0" w:color="auto"/>
              <w:right w:val="nil"/>
            </w:tcBorders>
            <w:shd w:val="clear" w:color="auto" w:fill="auto"/>
            <w:vAlign w:val="center"/>
            <w:hideMark/>
          </w:tcPr>
          <w:p w:rsidR="003B55F6" w:rsidRPr="004834C2" w:rsidRDefault="003B55F6" w:rsidP="003C79F3">
            <w:pPr>
              <w:jc w:val="center"/>
              <w:rPr>
                <w:rFonts w:ascii="Arial Narrow" w:hAnsi="Arial Narrow"/>
                <w:color w:val="000000"/>
                <w:sz w:val="14"/>
                <w:szCs w:val="16"/>
              </w:rPr>
            </w:pPr>
            <w:r w:rsidRPr="004834C2">
              <w:rPr>
                <w:rFonts w:ascii="Arial Narrow" w:hAnsi="Arial Narrow"/>
                <w:color w:val="000000"/>
                <w:sz w:val="14"/>
                <w:szCs w:val="16"/>
              </w:rPr>
              <w:t> </w:t>
            </w:r>
          </w:p>
        </w:tc>
        <w:tc>
          <w:tcPr>
            <w:tcW w:w="3446" w:type="dxa"/>
            <w:tcBorders>
              <w:top w:val="nil"/>
              <w:left w:val="nil"/>
              <w:bottom w:val="single" w:sz="4" w:space="0" w:color="auto"/>
              <w:right w:val="nil"/>
            </w:tcBorders>
            <w:shd w:val="clear" w:color="auto" w:fill="auto"/>
            <w:vAlign w:val="center"/>
            <w:hideMark/>
          </w:tcPr>
          <w:p w:rsidR="003B55F6" w:rsidRPr="004834C2" w:rsidRDefault="003B55F6" w:rsidP="003C79F3">
            <w:pPr>
              <w:jc w:val="center"/>
              <w:rPr>
                <w:rFonts w:ascii="Arial Narrow" w:hAnsi="Arial Narrow"/>
                <w:color w:val="000000"/>
                <w:sz w:val="14"/>
                <w:szCs w:val="16"/>
              </w:rPr>
            </w:pPr>
            <w:r w:rsidRPr="004834C2">
              <w:rPr>
                <w:rFonts w:ascii="Arial Narrow" w:hAnsi="Arial Narrow"/>
                <w:color w:val="000000"/>
                <w:sz w:val="14"/>
                <w:szCs w:val="16"/>
              </w:rPr>
              <w:t> </w:t>
            </w:r>
          </w:p>
        </w:tc>
        <w:tc>
          <w:tcPr>
            <w:tcW w:w="2268" w:type="dxa"/>
            <w:tcBorders>
              <w:top w:val="nil"/>
              <w:left w:val="nil"/>
              <w:bottom w:val="single" w:sz="4" w:space="0" w:color="auto"/>
              <w:right w:val="nil"/>
            </w:tcBorders>
            <w:shd w:val="clear" w:color="auto" w:fill="auto"/>
            <w:vAlign w:val="center"/>
            <w:hideMark/>
          </w:tcPr>
          <w:p w:rsidR="003B55F6" w:rsidRPr="004834C2" w:rsidRDefault="003B55F6" w:rsidP="003C79F3">
            <w:pPr>
              <w:jc w:val="center"/>
              <w:rPr>
                <w:rFonts w:ascii="Arial Narrow" w:hAnsi="Arial Narrow"/>
                <w:color w:val="000000"/>
                <w:sz w:val="14"/>
                <w:szCs w:val="16"/>
              </w:rPr>
            </w:pPr>
            <w:r w:rsidRPr="004834C2">
              <w:rPr>
                <w:rFonts w:ascii="Arial Narrow" w:hAnsi="Arial Narrow"/>
                <w:color w:val="000000"/>
                <w:sz w:val="14"/>
                <w:szCs w:val="16"/>
              </w:rPr>
              <w:t> </w:t>
            </w:r>
          </w:p>
        </w:tc>
        <w:tc>
          <w:tcPr>
            <w:tcW w:w="1608" w:type="dxa"/>
            <w:gridSpan w:val="2"/>
            <w:tcBorders>
              <w:top w:val="nil"/>
              <w:left w:val="nil"/>
              <w:bottom w:val="single" w:sz="4" w:space="0" w:color="auto"/>
              <w:right w:val="nil"/>
            </w:tcBorders>
            <w:shd w:val="clear" w:color="auto" w:fill="auto"/>
            <w:vAlign w:val="center"/>
            <w:hideMark/>
          </w:tcPr>
          <w:p w:rsidR="003B55F6" w:rsidRPr="004834C2" w:rsidRDefault="003B55F6" w:rsidP="003C79F3">
            <w:pPr>
              <w:jc w:val="center"/>
              <w:rPr>
                <w:rFonts w:ascii="Arial Narrow" w:hAnsi="Arial Narrow"/>
                <w:color w:val="000000"/>
                <w:sz w:val="14"/>
                <w:szCs w:val="16"/>
              </w:rPr>
            </w:pPr>
            <w:r w:rsidRPr="004834C2">
              <w:rPr>
                <w:rFonts w:ascii="Arial Narrow" w:hAnsi="Arial Narrow"/>
                <w:color w:val="000000"/>
                <w:sz w:val="14"/>
                <w:szCs w:val="16"/>
              </w:rPr>
              <w:t> </w:t>
            </w:r>
          </w:p>
        </w:tc>
        <w:tc>
          <w:tcPr>
            <w:tcW w:w="1730" w:type="dxa"/>
            <w:gridSpan w:val="2"/>
            <w:tcBorders>
              <w:top w:val="nil"/>
              <w:left w:val="nil"/>
              <w:bottom w:val="single" w:sz="4" w:space="0" w:color="auto"/>
              <w:right w:val="single" w:sz="4" w:space="0" w:color="auto"/>
            </w:tcBorders>
            <w:shd w:val="clear" w:color="auto" w:fill="auto"/>
            <w:vAlign w:val="center"/>
            <w:hideMark/>
          </w:tcPr>
          <w:p w:rsidR="003B55F6" w:rsidRPr="004834C2" w:rsidRDefault="003B55F6" w:rsidP="003C79F3">
            <w:pPr>
              <w:jc w:val="center"/>
              <w:rPr>
                <w:rFonts w:ascii="Arial Narrow" w:hAnsi="Arial Narrow"/>
                <w:color w:val="000000"/>
                <w:sz w:val="14"/>
                <w:szCs w:val="16"/>
              </w:rPr>
            </w:pPr>
            <w:r w:rsidRPr="004834C2">
              <w:rPr>
                <w:rFonts w:ascii="Arial Narrow" w:hAnsi="Arial Narrow"/>
                <w:color w:val="000000"/>
                <w:sz w:val="14"/>
                <w:szCs w:val="16"/>
              </w:rPr>
              <w:t> </w:t>
            </w:r>
          </w:p>
        </w:tc>
      </w:tr>
      <w:tr w:rsidR="002A4045" w:rsidRPr="00632720" w:rsidTr="0026560A">
        <w:trPr>
          <w:trHeight w:val="57"/>
          <w:tblHeader/>
          <w:jc w:val="center"/>
        </w:trPr>
        <w:tc>
          <w:tcPr>
            <w:tcW w:w="4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4045" w:rsidRPr="00632720" w:rsidRDefault="002A4045" w:rsidP="003C79F3">
            <w:pPr>
              <w:jc w:val="center"/>
              <w:rPr>
                <w:rFonts w:ascii="Arial Narrow" w:hAnsi="Arial Narrow"/>
                <w:b/>
                <w:bCs/>
                <w:color w:val="000000"/>
                <w:sz w:val="16"/>
                <w:szCs w:val="16"/>
              </w:rPr>
            </w:pPr>
            <w:r w:rsidRPr="00632720">
              <w:rPr>
                <w:rFonts w:ascii="Arial Narrow" w:hAnsi="Arial Narrow"/>
                <w:b/>
                <w:bCs/>
                <w:color w:val="000000"/>
                <w:sz w:val="16"/>
                <w:szCs w:val="16"/>
              </w:rPr>
              <w:t>α/α</w:t>
            </w:r>
          </w:p>
        </w:tc>
        <w:tc>
          <w:tcPr>
            <w:tcW w:w="344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4045" w:rsidRPr="00632720" w:rsidRDefault="002A4045" w:rsidP="003C79F3">
            <w:pPr>
              <w:jc w:val="center"/>
              <w:rPr>
                <w:rFonts w:ascii="Arial Narrow" w:hAnsi="Arial Narrow"/>
                <w:b/>
                <w:bCs/>
                <w:color w:val="000000"/>
                <w:sz w:val="16"/>
                <w:szCs w:val="16"/>
              </w:rPr>
            </w:pPr>
            <w:r w:rsidRPr="00632720">
              <w:rPr>
                <w:rFonts w:ascii="Arial Narrow" w:hAnsi="Arial Narrow"/>
                <w:b/>
                <w:bCs/>
                <w:color w:val="000000"/>
                <w:sz w:val="16"/>
                <w:szCs w:val="16"/>
              </w:rPr>
              <w:t>Φορέας Κεντρικής Διοίκησης</w:t>
            </w:r>
          </w:p>
        </w:tc>
        <w:tc>
          <w:tcPr>
            <w:tcW w:w="2268" w:type="dxa"/>
            <w:tcBorders>
              <w:top w:val="nil"/>
              <w:left w:val="single" w:sz="4" w:space="0" w:color="auto"/>
              <w:bottom w:val="nil"/>
              <w:right w:val="single" w:sz="4" w:space="0" w:color="auto"/>
            </w:tcBorders>
            <w:shd w:val="clear" w:color="auto" w:fill="FFFFFF" w:themeFill="background1"/>
            <w:noWrap/>
            <w:vAlign w:val="center"/>
            <w:hideMark/>
          </w:tcPr>
          <w:p w:rsidR="002A4045" w:rsidRPr="00632720" w:rsidRDefault="002A4045" w:rsidP="003C79F3">
            <w:pPr>
              <w:jc w:val="center"/>
              <w:rPr>
                <w:rFonts w:ascii="Arial Narrow" w:hAnsi="Arial Narrow"/>
                <w:b/>
                <w:bCs/>
                <w:color w:val="000000"/>
                <w:sz w:val="16"/>
                <w:szCs w:val="16"/>
              </w:rPr>
            </w:pPr>
            <w:r w:rsidRPr="00632720">
              <w:rPr>
                <w:rFonts w:ascii="Arial Narrow" w:hAnsi="Arial Narrow"/>
                <w:b/>
                <w:bCs/>
                <w:color w:val="000000"/>
                <w:sz w:val="16"/>
                <w:szCs w:val="16"/>
              </w:rPr>
              <w:t> </w:t>
            </w:r>
          </w:p>
        </w:tc>
        <w:tc>
          <w:tcPr>
            <w:tcW w:w="1608" w:type="dxa"/>
            <w:gridSpan w:val="2"/>
            <w:tcBorders>
              <w:top w:val="nil"/>
              <w:left w:val="nil"/>
              <w:bottom w:val="single" w:sz="4" w:space="0" w:color="auto"/>
              <w:right w:val="single" w:sz="4" w:space="0" w:color="auto"/>
            </w:tcBorders>
            <w:shd w:val="clear" w:color="auto" w:fill="FFFFFF" w:themeFill="background1"/>
            <w:noWrap/>
            <w:vAlign w:val="center"/>
            <w:hideMark/>
          </w:tcPr>
          <w:p w:rsidR="002A4045" w:rsidRPr="00632720" w:rsidRDefault="002A4045" w:rsidP="003C79F3">
            <w:pPr>
              <w:jc w:val="center"/>
              <w:rPr>
                <w:rFonts w:ascii="Arial Narrow" w:hAnsi="Arial Narrow"/>
                <w:b/>
                <w:bCs/>
                <w:color w:val="000000"/>
                <w:sz w:val="16"/>
                <w:szCs w:val="16"/>
              </w:rPr>
            </w:pPr>
            <w:r>
              <w:rPr>
                <w:rFonts w:ascii="Arial Narrow" w:hAnsi="Arial Narrow"/>
                <w:b/>
                <w:bCs/>
                <w:color w:val="000000"/>
                <w:sz w:val="16"/>
                <w:szCs w:val="16"/>
              </w:rPr>
              <w:t>2020</w:t>
            </w:r>
          </w:p>
        </w:tc>
        <w:tc>
          <w:tcPr>
            <w:tcW w:w="1730" w:type="dxa"/>
            <w:gridSpan w:val="2"/>
            <w:tcBorders>
              <w:top w:val="nil"/>
              <w:left w:val="nil"/>
              <w:bottom w:val="single" w:sz="4" w:space="0" w:color="auto"/>
              <w:right w:val="single" w:sz="4" w:space="0" w:color="auto"/>
            </w:tcBorders>
            <w:shd w:val="clear" w:color="auto" w:fill="FFFFFF" w:themeFill="background1"/>
            <w:noWrap/>
            <w:vAlign w:val="center"/>
            <w:hideMark/>
          </w:tcPr>
          <w:p w:rsidR="002A4045" w:rsidRPr="00632720" w:rsidRDefault="002A4045" w:rsidP="00324E75">
            <w:pPr>
              <w:jc w:val="center"/>
              <w:rPr>
                <w:rFonts w:ascii="Arial Narrow" w:hAnsi="Arial Narrow"/>
                <w:b/>
                <w:bCs/>
                <w:color w:val="000000"/>
                <w:sz w:val="16"/>
                <w:szCs w:val="16"/>
              </w:rPr>
            </w:pPr>
            <w:r>
              <w:rPr>
                <w:rFonts w:ascii="Arial Narrow" w:hAnsi="Arial Narrow"/>
                <w:b/>
                <w:bCs/>
                <w:color w:val="000000"/>
                <w:sz w:val="16"/>
                <w:szCs w:val="16"/>
              </w:rPr>
              <w:t>2021</w:t>
            </w:r>
          </w:p>
        </w:tc>
      </w:tr>
      <w:tr w:rsidR="00324E75" w:rsidRPr="00632720" w:rsidTr="0026560A">
        <w:trPr>
          <w:trHeight w:val="20"/>
          <w:tblHeader/>
          <w:jc w:val="center"/>
        </w:trPr>
        <w:tc>
          <w:tcPr>
            <w:tcW w:w="4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4E75" w:rsidRPr="00632720" w:rsidRDefault="00324E75" w:rsidP="003C79F3">
            <w:pPr>
              <w:rPr>
                <w:rFonts w:ascii="Arial Narrow" w:hAnsi="Arial Narrow"/>
                <w:b/>
                <w:bCs/>
                <w:color w:val="000000"/>
                <w:sz w:val="16"/>
                <w:szCs w:val="16"/>
              </w:rPr>
            </w:pPr>
          </w:p>
        </w:tc>
        <w:tc>
          <w:tcPr>
            <w:tcW w:w="34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4E75" w:rsidRPr="00632720" w:rsidRDefault="00324E75" w:rsidP="003C79F3">
            <w:pPr>
              <w:rPr>
                <w:rFonts w:ascii="Arial Narrow" w:hAnsi="Arial Narrow"/>
                <w:b/>
                <w:bCs/>
                <w:color w:val="000000"/>
                <w:sz w:val="16"/>
                <w:szCs w:val="16"/>
              </w:rPr>
            </w:pPr>
          </w:p>
        </w:tc>
        <w:tc>
          <w:tcPr>
            <w:tcW w:w="22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24E75" w:rsidRPr="00632720" w:rsidRDefault="00324E75" w:rsidP="003C79F3">
            <w:pPr>
              <w:jc w:val="center"/>
              <w:rPr>
                <w:rFonts w:ascii="Arial Narrow" w:hAnsi="Arial Narrow"/>
                <w:b/>
                <w:bCs/>
                <w:color w:val="000000"/>
                <w:sz w:val="16"/>
                <w:szCs w:val="16"/>
              </w:rPr>
            </w:pPr>
            <w:r w:rsidRPr="00632720">
              <w:rPr>
                <w:rFonts w:ascii="Arial Narrow" w:hAnsi="Arial Narrow"/>
                <w:b/>
                <w:bCs/>
                <w:color w:val="000000"/>
                <w:sz w:val="16"/>
                <w:szCs w:val="16"/>
              </w:rPr>
              <w:t> </w:t>
            </w:r>
          </w:p>
        </w:tc>
        <w:tc>
          <w:tcPr>
            <w:tcW w:w="729" w:type="dxa"/>
            <w:tcBorders>
              <w:top w:val="nil"/>
              <w:left w:val="nil"/>
              <w:bottom w:val="single" w:sz="4" w:space="0" w:color="auto"/>
              <w:right w:val="single" w:sz="4" w:space="0" w:color="auto"/>
            </w:tcBorders>
            <w:shd w:val="clear" w:color="auto" w:fill="FFFFFF" w:themeFill="background1"/>
            <w:noWrap/>
            <w:vAlign w:val="center"/>
            <w:hideMark/>
          </w:tcPr>
          <w:p w:rsidR="00324E75" w:rsidRPr="00632720" w:rsidRDefault="00324E75" w:rsidP="003C79F3">
            <w:pPr>
              <w:jc w:val="center"/>
              <w:rPr>
                <w:rFonts w:ascii="Arial Narrow" w:hAnsi="Arial Narrow"/>
                <w:b/>
                <w:bCs/>
                <w:color w:val="000000"/>
                <w:sz w:val="16"/>
                <w:szCs w:val="16"/>
              </w:rPr>
            </w:pPr>
            <w:r w:rsidRPr="00632720">
              <w:rPr>
                <w:rFonts w:ascii="Arial Narrow" w:hAnsi="Arial Narrow"/>
                <w:b/>
                <w:bCs/>
                <w:color w:val="000000"/>
                <w:sz w:val="16"/>
                <w:szCs w:val="16"/>
              </w:rPr>
              <w:t>Εκτιμήσεις</w:t>
            </w:r>
          </w:p>
        </w:tc>
        <w:tc>
          <w:tcPr>
            <w:tcW w:w="879" w:type="dxa"/>
            <w:tcBorders>
              <w:top w:val="nil"/>
              <w:left w:val="nil"/>
              <w:bottom w:val="single" w:sz="4" w:space="0" w:color="auto"/>
              <w:right w:val="single" w:sz="4" w:space="0" w:color="auto"/>
            </w:tcBorders>
            <w:shd w:val="clear" w:color="auto" w:fill="FFFFFF" w:themeFill="background1"/>
            <w:vAlign w:val="center"/>
          </w:tcPr>
          <w:p w:rsidR="00324E75" w:rsidRPr="008A31A6" w:rsidRDefault="008A31A6" w:rsidP="003C79F3">
            <w:pPr>
              <w:jc w:val="center"/>
              <w:rPr>
                <w:rFonts w:ascii="Arial Narrow" w:hAnsi="Arial Narrow"/>
                <w:b/>
                <w:bCs/>
                <w:color w:val="000000"/>
                <w:sz w:val="16"/>
                <w:szCs w:val="16"/>
              </w:rPr>
            </w:pPr>
            <w:r>
              <w:rPr>
                <w:rFonts w:ascii="Arial Narrow" w:hAnsi="Arial Narrow"/>
                <w:b/>
                <w:bCs/>
                <w:color w:val="000000"/>
                <w:sz w:val="16"/>
                <w:szCs w:val="16"/>
              </w:rPr>
              <w:t xml:space="preserve">εκ των </w:t>
            </w:r>
            <w:r>
              <w:rPr>
                <w:rFonts w:ascii="Arial Narrow" w:hAnsi="Arial Narrow"/>
                <w:b/>
                <w:bCs/>
                <w:color w:val="000000"/>
                <w:sz w:val="16"/>
                <w:szCs w:val="16"/>
              </w:rPr>
              <w:t>ο</w:t>
            </w:r>
            <w:r>
              <w:rPr>
                <w:rFonts w:ascii="Arial Narrow" w:hAnsi="Arial Narrow"/>
                <w:b/>
                <w:bCs/>
                <w:color w:val="000000"/>
                <w:sz w:val="16"/>
                <w:szCs w:val="16"/>
              </w:rPr>
              <w:t>ποίων π</w:t>
            </w:r>
            <w:r>
              <w:rPr>
                <w:rFonts w:ascii="Arial Narrow" w:hAnsi="Arial Narrow"/>
                <w:b/>
                <w:bCs/>
                <w:color w:val="000000"/>
                <w:sz w:val="16"/>
                <w:szCs w:val="16"/>
              </w:rPr>
              <w:t>α</w:t>
            </w:r>
            <w:r>
              <w:rPr>
                <w:rFonts w:ascii="Arial Narrow" w:hAnsi="Arial Narrow"/>
                <w:b/>
                <w:bCs/>
                <w:color w:val="000000"/>
                <w:sz w:val="16"/>
                <w:szCs w:val="16"/>
              </w:rPr>
              <w:t xml:space="preserve">ρεμβάσεις </w:t>
            </w:r>
            <w:r>
              <w:rPr>
                <w:rFonts w:ascii="Arial Narrow" w:hAnsi="Arial Narrow"/>
                <w:b/>
                <w:bCs/>
                <w:color w:val="000000"/>
                <w:sz w:val="16"/>
                <w:szCs w:val="16"/>
                <w:lang w:val="en-US"/>
              </w:rPr>
              <w:t>Covid</w:t>
            </w:r>
            <w:r w:rsidRPr="008A31A6">
              <w:rPr>
                <w:rFonts w:ascii="Arial Narrow" w:hAnsi="Arial Narrow"/>
                <w:b/>
                <w:bCs/>
                <w:color w:val="000000"/>
                <w:sz w:val="16"/>
                <w:szCs w:val="16"/>
              </w:rPr>
              <w:t>-19</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324E75" w:rsidRPr="00632720" w:rsidRDefault="00324E75" w:rsidP="003C79F3">
            <w:pPr>
              <w:jc w:val="center"/>
              <w:rPr>
                <w:rFonts w:ascii="Arial Narrow" w:hAnsi="Arial Narrow"/>
                <w:b/>
                <w:bCs/>
                <w:color w:val="000000"/>
                <w:sz w:val="16"/>
                <w:szCs w:val="16"/>
              </w:rPr>
            </w:pPr>
            <w:r w:rsidRPr="00632720">
              <w:rPr>
                <w:rFonts w:ascii="Arial Narrow" w:hAnsi="Arial Narrow"/>
                <w:b/>
                <w:bCs/>
                <w:color w:val="000000"/>
                <w:sz w:val="16"/>
                <w:szCs w:val="16"/>
              </w:rPr>
              <w:t>Προβλέψεις</w:t>
            </w:r>
          </w:p>
        </w:tc>
        <w:tc>
          <w:tcPr>
            <w:tcW w:w="879" w:type="dxa"/>
            <w:tcBorders>
              <w:top w:val="nil"/>
              <w:left w:val="nil"/>
              <w:bottom w:val="single" w:sz="4" w:space="0" w:color="auto"/>
              <w:right w:val="single" w:sz="4" w:space="0" w:color="auto"/>
            </w:tcBorders>
            <w:shd w:val="clear" w:color="auto" w:fill="FFFFFF" w:themeFill="background1"/>
            <w:vAlign w:val="center"/>
          </w:tcPr>
          <w:p w:rsidR="00324E75" w:rsidRPr="00632720" w:rsidRDefault="008A31A6" w:rsidP="003C79F3">
            <w:pPr>
              <w:jc w:val="center"/>
              <w:rPr>
                <w:rFonts w:ascii="Arial Narrow" w:hAnsi="Arial Narrow"/>
                <w:b/>
                <w:bCs/>
                <w:color w:val="000000"/>
                <w:sz w:val="16"/>
                <w:szCs w:val="16"/>
              </w:rPr>
            </w:pPr>
            <w:r>
              <w:rPr>
                <w:rFonts w:ascii="Arial Narrow" w:hAnsi="Arial Narrow"/>
                <w:b/>
                <w:bCs/>
                <w:color w:val="000000"/>
                <w:sz w:val="16"/>
                <w:szCs w:val="16"/>
              </w:rPr>
              <w:t xml:space="preserve">εκ των </w:t>
            </w:r>
            <w:r>
              <w:rPr>
                <w:rFonts w:ascii="Arial Narrow" w:hAnsi="Arial Narrow"/>
                <w:b/>
                <w:bCs/>
                <w:color w:val="000000"/>
                <w:sz w:val="16"/>
                <w:szCs w:val="16"/>
              </w:rPr>
              <w:t>ο</w:t>
            </w:r>
            <w:r>
              <w:rPr>
                <w:rFonts w:ascii="Arial Narrow" w:hAnsi="Arial Narrow"/>
                <w:b/>
                <w:bCs/>
                <w:color w:val="000000"/>
                <w:sz w:val="16"/>
                <w:szCs w:val="16"/>
              </w:rPr>
              <w:t>ποίων π</w:t>
            </w:r>
            <w:r>
              <w:rPr>
                <w:rFonts w:ascii="Arial Narrow" w:hAnsi="Arial Narrow"/>
                <w:b/>
                <w:bCs/>
                <w:color w:val="000000"/>
                <w:sz w:val="16"/>
                <w:szCs w:val="16"/>
              </w:rPr>
              <w:t>α</w:t>
            </w:r>
            <w:r>
              <w:rPr>
                <w:rFonts w:ascii="Arial Narrow" w:hAnsi="Arial Narrow"/>
                <w:b/>
                <w:bCs/>
                <w:color w:val="000000"/>
                <w:sz w:val="16"/>
                <w:szCs w:val="16"/>
              </w:rPr>
              <w:t xml:space="preserve">ρεμβάσεις </w:t>
            </w:r>
            <w:r>
              <w:rPr>
                <w:rFonts w:ascii="Arial Narrow" w:hAnsi="Arial Narrow"/>
                <w:b/>
                <w:bCs/>
                <w:color w:val="000000"/>
                <w:sz w:val="16"/>
                <w:szCs w:val="16"/>
                <w:lang w:val="en-US"/>
              </w:rPr>
              <w:t>Covid</w:t>
            </w:r>
            <w:r w:rsidRPr="008A31A6">
              <w:rPr>
                <w:rFonts w:ascii="Arial Narrow" w:hAnsi="Arial Narrow"/>
                <w:b/>
                <w:bCs/>
                <w:color w:val="000000"/>
                <w:sz w:val="16"/>
                <w:szCs w:val="16"/>
              </w:rPr>
              <w:t>-19</w:t>
            </w:r>
          </w:p>
        </w:tc>
      </w:tr>
      <w:tr w:rsidR="0026560A" w:rsidRPr="00632720" w:rsidTr="0026560A">
        <w:trPr>
          <w:trHeight w:val="20"/>
          <w:jc w:val="center"/>
        </w:trPr>
        <w:tc>
          <w:tcPr>
            <w:tcW w:w="460" w:type="dxa"/>
            <w:vMerge w:val="restart"/>
            <w:tcBorders>
              <w:top w:val="single" w:sz="4" w:space="0" w:color="auto"/>
              <w:left w:val="single" w:sz="4" w:space="0" w:color="auto"/>
              <w:right w:val="nil"/>
            </w:tcBorders>
            <w:shd w:val="clear" w:color="000000" w:fill="FFFFFF"/>
            <w:vAlign w:val="center"/>
            <w:hideMark/>
          </w:tcPr>
          <w:p w:rsidR="0026560A" w:rsidRPr="00632720" w:rsidRDefault="0026560A" w:rsidP="003C79F3">
            <w:pPr>
              <w:jc w:val="center"/>
              <w:rPr>
                <w:rFonts w:ascii="Arial Narrow" w:hAnsi="Arial Narrow"/>
                <w:b/>
                <w:bCs/>
                <w:color w:val="000000"/>
                <w:sz w:val="16"/>
                <w:szCs w:val="16"/>
              </w:rPr>
            </w:pPr>
            <w:r w:rsidRPr="00632720">
              <w:rPr>
                <w:rFonts w:ascii="Arial Narrow" w:hAnsi="Arial Narrow"/>
                <w:b/>
                <w:bCs/>
                <w:color w:val="000000"/>
                <w:sz w:val="16"/>
                <w:szCs w:val="16"/>
              </w:rPr>
              <w:t>1</w:t>
            </w:r>
          </w:p>
        </w:tc>
        <w:tc>
          <w:tcPr>
            <w:tcW w:w="3446" w:type="dxa"/>
            <w:vMerge w:val="restart"/>
            <w:tcBorders>
              <w:top w:val="single" w:sz="4" w:space="0" w:color="auto"/>
              <w:left w:val="nil"/>
              <w:right w:val="nil"/>
            </w:tcBorders>
            <w:shd w:val="clear" w:color="000000" w:fill="FFFFFF"/>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Προεδρία της Δημοκρατίας</w:t>
            </w:r>
          </w:p>
        </w:tc>
        <w:tc>
          <w:tcPr>
            <w:tcW w:w="2268" w:type="dxa"/>
            <w:tcBorders>
              <w:top w:val="single" w:sz="4" w:space="0" w:color="auto"/>
              <w:left w:val="nil"/>
            </w:tcBorders>
            <w:shd w:val="clear" w:color="000000" w:fill="D8D8D8"/>
            <w:noWrap/>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tcBorders>
              <w:top w:val="single" w:sz="4" w:space="0" w:color="auto"/>
            </w:tcBorders>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4</w:t>
            </w:r>
          </w:p>
        </w:tc>
        <w:tc>
          <w:tcPr>
            <w:tcW w:w="879" w:type="dxa"/>
            <w:tcBorders>
              <w:top w:val="single" w:sz="4" w:space="0" w:color="auto"/>
            </w:tcBorders>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c>
          <w:tcPr>
            <w:tcW w:w="851" w:type="dxa"/>
            <w:tcBorders>
              <w:top w:val="single" w:sz="4" w:space="0" w:color="auto"/>
            </w:tcBorders>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4</w:t>
            </w:r>
          </w:p>
        </w:tc>
        <w:tc>
          <w:tcPr>
            <w:tcW w:w="879" w:type="dxa"/>
            <w:tcBorders>
              <w:top w:val="single" w:sz="4" w:space="0" w:color="auto"/>
              <w:right w:val="single" w:sz="4" w:space="0" w:color="auto"/>
            </w:tcBorders>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4</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4</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val="restart"/>
            <w:tcBorders>
              <w:left w:val="single" w:sz="4" w:space="0" w:color="auto"/>
              <w:right w:val="nil"/>
            </w:tcBorders>
            <w:shd w:val="clear" w:color="000000" w:fill="FFFFFF"/>
            <w:vAlign w:val="center"/>
            <w:hideMark/>
          </w:tcPr>
          <w:p w:rsidR="0026560A" w:rsidRPr="00632720" w:rsidRDefault="0026560A" w:rsidP="003C79F3">
            <w:pPr>
              <w:jc w:val="center"/>
              <w:rPr>
                <w:rFonts w:ascii="Arial Narrow" w:hAnsi="Arial Narrow"/>
                <w:b/>
                <w:bCs/>
                <w:color w:val="000000"/>
                <w:sz w:val="16"/>
                <w:szCs w:val="16"/>
              </w:rPr>
            </w:pPr>
            <w:r w:rsidRPr="00632720">
              <w:rPr>
                <w:rFonts w:ascii="Arial Narrow" w:hAnsi="Arial Narrow"/>
                <w:b/>
                <w:bCs/>
                <w:color w:val="000000"/>
                <w:sz w:val="16"/>
                <w:szCs w:val="16"/>
              </w:rPr>
              <w:t>2</w:t>
            </w:r>
          </w:p>
        </w:tc>
        <w:tc>
          <w:tcPr>
            <w:tcW w:w="3446" w:type="dxa"/>
            <w:vMerge w:val="restart"/>
            <w:tcBorders>
              <w:left w:val="nil"/>
              <w:right w:val="nil"/>
            </w:tcBorders>
            <w:shd w:val="clear" w:color="000000" w:fill="FFFFFF"/>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Βουλή των Ελλήνων</w:t>
            </w:r>
          </w:p>
        </w:tc>
        <w:tc>
          <w:tcPr>
            <w:tcW w:w="2268" w:type="dxa"/>
            <w:tcBorders>
              <w:left w:val="nil"/>
            </w:tcBorders>
            <w:shd w:val="clear" w:color="000000" w:fill="D8D8D8"/>
            <w:noWrap/>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141</w:t>
            </w:r>
          </w:p>
        </w:tc>
        <w:tc>
          <w:tcPr>
            <w:tcW w:w="879" w:type="dxa"/>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c>
          <w:tcPr>
            <w:tcW w:w="851"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144</w:t>
            </w:r>
          </w:p>
        </w:tc>
        <w:tc>
          <w:tcPr>
            <w:tcW w:w="879" w:type="dxa"/>
            <w:tcBorders>
              <w:right w:val="single" w:sz="4" w:space="0" w:color="auto"/>
            </w:tcBorders>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140</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143</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1</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1</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val="restart"/>
            <w:tcBorders>
              <w:left w:val="single" w:sz="4" w:space="0" w:color="auto"/>
              <w:right w:val="nil"/>
            </w:tcBorders>
            <w:shd w:val="clear" w:color="000000" w:fill="FFFFFF"/>
            <w:vAlign w:val="center"/>
            <w:hideMark/>
          </w:tcPr>
          <w:p w:rsidR="0026560A" w:rsidRPr="00632720" w:rsidRDefault="0026560A" w:rsidP="003C79F3">
            <w:pPr>
              <w:jc w:val="center"/>
              <w:rPr>
                <w:rFonts w:ascii="Arial Narrow" w:hAnsi="Arial Narrow"/>
                <w:b/>
                <w:bCs/>
                <w:color w:val="000000"/>
                <w:sz w:val="16"/>
                <w:szCs w:val="16"/>
              </w:rPr>
            </w:pPr>
            <w:r w:rsidRPr="00632720">
              <w:rPr>
                <w:rFonts w:ascii="Arial Narrow" w:hAnsi="Arial Narrow"/>
                <w:b/>
                <w:bCs/>
                <w:color w:val="000000"/>
                <w:sz w:val="16"/>
                <w:szCs w:val="16"/>
              </w:rPr>
              <w:t>3</w:t>
            </w:r>
          </w:p>
        </w:tc>
        <w:tc>
          <w:tcPr>
            <w:tcW w:w="3446" w:type="dxa"/>
            <w:vMerge w:val="restart"/>
            <w:tcBorders>
              <w:left w:val="nil"/>
              <w:right w:val="nil"/>
            </w:tcBorders>
            <w:shd w:val="clear" w:color="000000" w:fill="FFFFFF"/>
            <w:vAlign w:val="center"/>
            <w:hideMark/>
          </w:tcPr>
          <w:p w:rsidR="0026560A" w:rsidRPr="00632720" w:rsidRDefault="0026560A" w:rsidP="003C79F3">
            <w:pPr>
              <w:rPr>
                <w:rFonts w:ascii="Arial Narrow" w:hAnsi="Arial Narrow"/>
                <w:b/>
                <w:bCs/>
                <w:color w:val="000000"/>
                <w:sz w:val="16"/>
                <w:szCs w:val="16"/>
              </w:rPr>
            </w:pPr>
            <w:r>
              <w:rPr>
                <w:rFonts w:ascii="Arial Narrow" w:hAnsi="Arial Narrow"/>
                <w:b/>
                <w:bCs/>
                <w:color w:val="000000"/>
                <w:sz w:val="16"/>
                <w:szCs w:val="16"/>
              </w:rPr>
              <w:t>Προεδρία της Κυβέρνησης</w:t>
            </w:r>
          </w:p>
        </w:tc>
        <w:tc>
          <w:tcPr>
            <w:tcW w:w="2268" w:type="dxa"/>
            <w:tcBorders>
              <w:left w:val="nil"/>
            </w:tcBorders>
            <w:shd w:val="clear" w:color="000000" w:fill="D8D8D8"/>
            <w:noWrap/>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c>
          <w:tcPr>
            <w:tcW w:w="879" w:type="dxa"/>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c>
          <w:tcPr>
            <w:tcW w:w="851"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34</w:t>
            </w:r>
          </w:p>
        </w:tc>
        <w:tc>
          <w:tcPr>
            <w:tcW w:w="879" w:type="dxa"/>
            <w:tcBorders>
              <w:right w:val="single" w:sz="4" w:space="0" w:color="auto"/>
            </w:tcBorders>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31</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3</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val="restart"/>
            <w:tcBorders>
              <w:left w:val="single" w:sz="4" w:space="0" w:color="auto"/>
              <w:right w:val="nil"/>
            </w:tcBorders>
            <w:shd w:val="clear" w:color="000000" w:fill="FFFFFF"/>
            <w:vAlign w:val="center"/>
            <w:hideMark/>
          </w:tcPr>
          <w:p w:rsidR="0026560A" w:rsidRPr="00632720" w:rsidRDefault="0026560A" w:rsidP="003C79F3">
            <w:pPr>
              <w:jc w:val="center"/>
              <w:rPr>
                <w:rFonts w:ascii="Arial Narrow" w:hAnsi="Arial Narrow"/>
                <w:b/>
                <w:bCs/>
                <w:color w:val="000000"/>
                <w:sz w:val="16"/>
                <w:szCs w:val="16"/>
              </w:rPr>
            </w:pPr>
            <w:r>
              <w:rPr>
                <w:rFonts w:ascii="Arial Narrow" w:hAnsi="Arial Narrow"/>
                <w:b/>
                <w:bCs/>
                <w:color w:val="000000"/>
                <w:sz w:val="16"/>
                <w:szCs w:val="16"/>
              </w:rPr>
              <w:t>4</w:t>
            </w:r>
          </w:p>
        </w:tc>
        <w:tc>
          <w:tcPr>
            <w:tcW w:w="3446" w:type="dxa"/>
            <w:vMerge w:val="restart"/>
            <w:tcBorders>
              <w:left w:val="nil"/>
              <w:right w:val="nil"/>
            </w:tcBorders>
            <w:shd w:val="clear" w:color="000000" w:fill="FFFFFF"/>
            <w:vAlign w:val="center"/>
            <w:hideMark/>
          </w:tcPr>
          <w:p w:rsidR="0026560A" w:rsidRPr="00E96C6F" w:rsidRDefault="0026560A" w:rsidP="003C79F3">
            <w:pPr>
              <w:rPr>
                <w:rFonts w:ascii="Arial Narrow" w:hAnsi="Arial Narrow"/>
                <w:b/>
                <w:bCs/>
                <w:color w:val="000000"/>
                <w:sz w:val="16"/>
                <w:szCs w:val="16"/>
                <w:vertAlign w:val="superscript"/>
                <w:lang w:val="en-US"/>
              </w:rPr>
            </w:pPr>
            <w:r w:rsidRPr="00632720">
              <w:rPr>
                <w:rFonts w:ascii="Arial Narrow" w:hAnsi="Arial Narrow"/>
                <w:b/>
                <w:bCs/>
                <w:color w:val="000000"/>
                <w:sz w:val="16"/>
                <w:szCs w:val="16"/>
              </w:rPr>
              <w:t>Υπουργείο Εσωτερικών</w:t>
            </w:r>
            <w:r w:rsidR="00E96C6F">
              <w:rPr>
                <w:rFonts w:ascii="Arial Narrow" w:hAnsi="Arial Narrow"/>
                <w:b/>
                <w:bCs/>
                <w:color w:val="000000"/>
                <w:sz w:val="16"/>
                <w:szCs w:val="16"/>
                <w:vertAlign w:val="superscript"/>
                <w:lang w:val="en-US"/>
              </w:rPr>
              <w:t>1</w:t>
            </w:r>
          </w:p>
        </w:tc>
        <w:tc>
          <w:tcPr>
            <w:tcW w:w="2268" w:type="dxa"/>
            <w:tcBorders>
              <w:left w:val="nil"/>
            </w:tcBorders>
            <w:shd w:val="clear" w:color="000000" w:fill="D8D8D8"/>
            <w:noWrap/>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3.200</w:t>
            </w:r>
          </w:p>
        </w:tc>
        <w:tc>
          <w:tcPr>
            <w:tcW w:w="879" w:type="dxa"/>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111</w:t>
            </w:r>
          </w:p>
        </w:tc>
        <w:tc>
          <w:tcPr>
            <w:tcW w:w="851"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2.987</w:t>
            </w:r>
          </w:p>
        </w:tc>
        <w:tc>
          <w:tcPr>
            <w:tcW w:w="879" w:type="dxa"/>
            <w:tcBorders>
              <w:right w:val="single" w:sz="4" w:space="0" w:color="auto"/>
            </w:tcBorders>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3.046</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111</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2.815</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154</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172</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val="restart"/>
            <w:tcBorders>
              <w:left w:val="single" w:sz="4" w:space="0" w:color="auto"/>
              <w:right w:val="nil"/>
            </w:tcBorders>
            <w:shd w:val="clear" w:color="000000" w:fill="FFFFFF"/>
            <w:vAlign w:val="center"/>
            <w:hideMark/>
          </w:tcPr>
          <w:p w:rsidR="0026560A" w:rsidRPr="00632720" w:rsidRDefault="0026560A" w:rsidP="003C79F3">
            <w:pPr>
              <w:jc w:val="center"/>
              <w:rPr>
                <w:rFonts w:ascii="Arial Narrow" w:hAnsi="Arial Narrow"/>
                <w:b/>
                <w:bCs/>
                <w:color w:val="000000"/>
                <w:sz w:val="16"/>
                <w:szCs w:val="16"/>
              </w:rPr>
            </w:pPr>
            <w:r>
              <w:rPr>
                <w:rFonts w:ascii="Arial Narrow" w:hAnsi="Arial Narrow"/>
                <w:b/>
                <w:bCs/>
                <w:color w:val="000000"/>
                <w:sz w:val="16"/>
                <w:szCs w:val="16"/>
              </w:rPr>
              <w:t>5</w:t>
            </w:r>
          </w:p>
        </w:tc>
        <w:tc>
          <w:tcPr>
            <w:tcW w:w="3446" w:type="dxa"/>
            <w:vMerge w:val="restart"/>
            <w:tcBorders>
              <w:left w:val="nil"/>
              <w:right w:val="nil"/>
            </w:tcBorders>
            <w:shd w:val="clear" w:color="000000" w:fill="FFFFFF"/>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Υπουργείο Εξωτερικών</w:t>
            </w:r>
          </w:p>
        </w:tc>
        <w:tc>
          <w:tcPr>
            <w:tcW w:w="2268" w:type="dxa"/>
            <w:tcBorders>
              <w:left w:val="nil"/>
            </w:tcBorders>
            <w:shd w:val="clear" w:color="000000" w:fill="D8D8D8"/>
            <w:noWrap/>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295</w:t>
            </w:r>
          </w:p>
        </w:tc>
        <w:tc>
          <w:tcPr>
            <w:tcW w:w="879" w:type="dxa"/>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c>
          <w:tcPr>
            <w:tcW w:w="851"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276</w:t>
            </w:r>
          </w:p>
        </w:tc>
        <w:tc>
          <w:tcPr>
            <w:tcW w:w="879" w:type="dxa"/>
            <w:tcBorders>
              <w:right w:val="single" w:sz="4" w:space="0" w:color="auto"/>
            </w:tcBorders>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283</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262</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12</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14</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val="restart"/>
            <w:tcBorders>
              <w:left w:val="single" w:sz="4" w:space="0" w:color="auto"/>
              <w:right w:val="nil"/>
            </w:tcBorders>
            <w:shd w:val="clear" w:color="000000" w:fill="FFFFFF"/>
            <w:vAlign w:val="center"/>
            <w:hideMark/>
          </w:tcPr>
          <w:p w:rsidR="0026560A" w:rsidRPr="00632720" w:rsidRDefault="0026560A" w:rsidP="003C79F3">
            <w:pPr>
              <w:jc w:val="center"/>
              <w:rPr>
                <w:rFonts w:ascii="Arial Narrow" w:hAnsi="Arial Narrow"/>
                <w:b/>
                <w:bCs/>
                <w:color w:val="000000"/>
                <w:sz w:val="16"/>
                <w:szCs w:val="16"/>
              </w:rPr>
            </w:pPr>
            <w:r>
              <w:rPr>
                <w:rFonts w:ascii="Arial Narrow" w:hAnsi="Arial Narrow"/>
                <w:b/>
                <w:bCs/>
                <w:color w:val="000000"/>
                <w:sz w:val="16"/>
                <w:szCs w:val="16"/>
              </w:rPr>
              <w:t>6</w:t>
            </w:r>
          </w:p>
        </w:tc>
        <w:tc>
          <w:tcPr>
            <w:tcW w:w="3446" w:type="dxa"/>
            <w:vMerge w:val="restart"/>
            <w:tcBorders>
              <w:left w:val="nil"/>
              <w:right w:val="nil"/>
            </w:tcBorders>
            <w:shd w:val="clear" w:color="000000" w:fill="FFFFFF"/>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Υπουργείο Εθνικής Άμυνας</w:t>
            </w:r>
          </w:p>
        </w:tc>
        <w:tc>
          <w:tcPr>
            <w:tcW w:w="2268" w:type="dxa"/>
            <w:tcBorders>
              <w:left w:val="nil"/>
            </w:tcBorders>
            <w:shd w:val="clear" w:color="000000" w:fill="D8D8D8"/>
            <w:noWrap/>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3.921</w:t>
            </w:r>
          </w:p>
        </w:tc>
        <w:tc>
          <w:tcPr>
            <w:tcW w:w="879" w:type="dxa"/>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28</w:t>
            </w:r>
          </w:p>
        </w:tc>
        <w:tc>
          <w:tcPr>
            <w:tcW w:w="851"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5.496</w:t>
            </w:r>
          </w:p>
        </w:tc>
        <w:tc>
          <w:tcPr>
            <w:tcW w:w="879" w:type="dxa"/>
            <w:tcBorders>
              <w:right w:val="single" w:sz="4" w:space="0" w:color="auto"/>
            </w:tcBorders>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3.811</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28</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5.482</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110</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14</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val="restart"/>
            <w:tcBorders>
              <w:left w:val="single" w:sz="4" w:space="0" w:color="auto"/>
              <w:right w:val="nil"/>
            </w:tcBorders>
            <w:shd w:val="clear" w:color="000000" w:fill="FFFFFF"/>
            <w:vAlign w:val="center"/>
            <w:hideMark/>
          </w:tcPr>
          <w:p w:rsidR="0026560A" w:rsidRPr="00632720" w:rsidRDefault="0026560A" w:rsidP="003C79F3">
            <w:pPr>
              <w:jc w:val="center"/>
              <w:rPr>
                <w:rFonts w:ascii="Arial Narrow" w:hAnsi="Arial Narrow"/>
                <w:b/>
                <w:bCs/>
                <w:color w:val="000000"/>
                <w:sz w:val="16"/>
                <w:szCs w:val="16"/>
              </w:rPr>
            </w:pPr>
            <w:r>
              <w:rPr>
                <w:rFonts w:ascii="Arial Narrow" w:hAnsi="Arial Narrow"/>
                <w:b/>
                <w:bCs/>
                <w:color w:val="000000"/>
                <w:sz w:val="16"/>
                <w:szCs w:val="16"/>
              </w:rPr>
              <w:t>7</w:t>
            </w:r>
          </w:p>
        </w:tc>
        <w:tc>
          <w:tcPr>
            <w:tcW w:w="3446" w:type="dxa"/>
            <w:vMerge w:val="restart"/>
            <w:tcBorders>
              <w:left w:val="nil"/>
              <w:right w:val="nil"/>
            </w:tcBorders>
            <w:shd w:val="clear" w:color="000000" w:fill="FFFFFF"/>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Υπουργείο Υγείας</w:t>
            </w:r>
            <w:r w:rsidR="00EA3E96" w:rsidRPr="00EA3E96">
              <w:rPr>
                <w:rFonts w:ascii="Arial Narrow" w:hAnsi="Arial Narrow"/>
                <w:bCs/>
                <w:color w:val="000000"/>
                <w:sz w:val="16"/>
                <w:szCs w:val="16"/>
                <w:vertAlign w:val="superscript"/>
              </w:rPr>
              <w:t>2</w:t>
            </w:r>
          </w:p>
        </w:tc>
        <w:tc>
          <w:tcPr>
            <w:tcW w:w="2268" w:type="dxa"/>
            <w:tcBorders>
              <w:left w:val="nil"/>
            </w:tcBorders>
            <w:shd w:val="clear" w:color="000000" w:fill="D8D8D8"/>
            <w:noWrap/>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4.829</w:t>
            </w:r>
          </w:p>
        </w:tc>
        <w:tc>
          <w:tcPr>
            <w:tcW w:w="879" w:type="dxa"/>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523</w:t>
            </w:r>
          </w:p>
        </w:tc>
        <w:tc>
          <w:tcPr>
            <w:tcW w:w="851"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4.257</w:t>
            </w:r>
          </w:p>
        </w:tc>
        <w:tc>
          <w:tcPr>
            <w:tcW w:w="879" w:type="dxa"/>
            <w:tcBorders>
              <w:right w:val="single" w:sz="4" w:space="0" w:color="auto"/>
            </w:tcBorders>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131</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4.759</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523</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4.197</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131</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70</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60</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val="restart"/>
            <w:tcBorders>
              <w:left w:val="single" w:sz="4" w:space="0" w:color="auto"/>
              <w:right w:val="nil"/>
            </w:tcBorders>
            <w:shd w:val="clear" w:color="000000" w:fill="FFFFFF"/>
            <w:vAlign w:val="center"/>
            <w:hideMark/>
          </w:tcPr>
          <w:p w:rsidR="0026560A" w:rsidRPr="00632720" w:rsidRDefault="0026560A" w:rsidP="003C79F3">
            <w:pPr>
              <w:jc w:val="center"/>
              <w:rPr>
                <w:rFonts w:ascii="Arial Narrow" w:hAnsi="Arial Narrow"/>
                <w:b/>
                <w:bCs/>
                <w:color w:val="000000"/>
                <w:sz w:val="16"/>
                <w:szCs w:val="16"/>
              </w:rPr>
            </w:pPr>
            <w:r>
              <w:rPr>
                <w:rFonts w:ascii="Arial Narrow" w:hAnsi="Arial Narrow"/>
                <w:b/>
                <w:bCs/>
                <w:color w:val="000000"/>
                <w:sz w:val="16"/>
                <w:szCs w:val="16"/>
              </w:rPr>
              <w:t>8</w:t>
            </w:r>
          </w:p>
        </w:tc>
        <w:tc>
          <w:tcPr>
            <w:tcW w:w="3446" w:type="dxa"/>
            <w:vMerge w:val="restart"/>
            <w:tcBorders>
              <w:left w:val="nil"/>
              <w:right w:val="nil"/>
            </w:tcBorders>
            <w:shd w:val="clear" w:color="000000" w:fill="FFFFFF"/>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Υπουργείο Δικαιοσύνης</w:t>
            </w:r>
          </w:p>
        </w:tc>
        <w:tc>
          <w:tcPr>
            <w:tcW w:w="2268" w:type="dxa"/>
            <w:tcBorders>
              <w:left w:val="nil"/>
            </w:tcBorders>
            <w:shd w:val="clear" w:color="000000" w:fill="D8D8D8"/>
            <w:noWrap/>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537</w:t>
            </w:r>
          </w:p>
        </w:tc>
        <w:tc>
          <w:tcPr>
            <w:tcW w:w="879" w:type="dxa"/>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1</w:t>
            </w:r>
          </w:p>
        </w:tc>
        <w:tc>
          <w:tcPr>
            <w:tcW w:w="851"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533</w:t>
            </w:r>
          </w:p>
        </w:tc>
        <w:tc>
          <w:tcPr>
            <w:tcW w:w="879" w:type="dxa"/>
            <w:tcBorders>
              <w:right w:val="single" w:sz="4" w:space="0" w:color="auto"/>
            </w:tcBorders>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529</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1</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510</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8</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23</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val="restart"/>
            <w:tcBorders>
              <w:left w:val="single" w:sz="4" w:space="0" w:color="auto"/>
              <w:right w:val="nil"/>
            </w:tcBorders>
            <w:shd w:val="clear" w:color="000000" w:fill="FFFFFF"/>
            <w:vAlign w:val="center"/>
            <w:hideMark/>
          </w:tcPr>
          <w:p w:rsidR="0026560A" w:rsidRPr="00632720" w:rsidRDefault="0026560A" w:rsidP="003C79F3">
            <w:pPr>
              <w:jc w:val="center"/>
              <w:rPr>
                <w:rFonts w:ascii="Arial Narrow" w:hAnsi="Arial Narrow"/>
                <w:b/>
                <w:bCs/>
                <w:color w:val="000000"/>
                <w:sz w:val="16"/>
                <w:szCs w:val="16"/>
              </w:rPr>
            </w:pPr>
            <w:r>
              <w:rPr>
                <w:rFonts w:ascii="Arial Narrow" w:hAnsi="Arial Narrow"/>
                <w:b/>
                <w:bCs/>
                <w:color w:val="000000"/>
                <w:sz w:val="16"/>
                <w:szCs w:val="16"/>
              </w:rPr>
              <w:t>9</w:t>
            </w:r>
          </w:p>
        </w:tc>
        <w:tc>
          <w:tcPr>
            <w:tcW w:w="3446" w:type="dxa"/>
            <w:vMerge w:val="restart"/>
            <w:tcBorders>
              <w:left w:val="nil"/>
              <w:right w:val="nil"/>
            </w:tcBorders>
            <w:shd w:val="clear" w:color="000000" w:fill="FFFFFF"/>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Υπουργείο Παιδείας και Θρησκευμάτων</w:t>
            </w:r>
          </w:p>
        </w:tc>
        <w:tc>
          <w:tcPr>
            <w:tcW w:w="2268" w:type="dxa"/>
            <w:tcBorders>
              <w:left w:val="nil"/>
            </w:tcBorders>
            <w:shd w:val="clear" w:color="000000" w:fill="D8D8D8"/>
            <w:noWrap/>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5.568</w:t>
            </w:r>
          </w:p>
        </w:tc>
        <w:tc>
          <w:tcPr>
            <w:tcW w:w="879" w:type="dxa"/>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7</w:t>
            </w:r>
          </w:p>
        </w:tc>
        <w:tc>
          <w:tcPr>
            <w:tcW w:w="851"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5.605</w:t>
            </w:r>
          </w:p>
        </w:tc>
        <w:tc>
          <w:tcPr>
            <w:tcW w:w="879" w:type="dxa"/>
            <w:tcBorders>
              <w:right w:val="single" w:sz="4" w:space="0" w:color="auto"/>
            </w:tcBorders>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4.828</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7</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4.895</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740</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710</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val="restart"/>
            <w:tcBorders>
              <w:left w:val="single" w:sz="4" w:space="0" w:color="auto"/>
              <w:right w:val="nil"/>
            </w:tcBorders>
            <w:shd w:val="clear" w:color="000000" w:fill="FFFFFF"/>
            <w:vAlign w:val="center"/>
            <w:hideMark/>
          </w:tcPr>
          <w:p w:rsidR="0026560A" w:rsidRPr="00632720" w:rsidRDefault="0026560A" w:rsidP="003C79F3">
            <w:pPr>
              <w:jc w:val="center"/>
              <w:rPr>
                <w:rFonts w:ascii="Arial Narrow" w:hAnsi="Arial Narrow"/>
                <w:b/>
                <w:bCs/>
                <w:color w:val="000000"/>
                <w:sz w:val="16"/>
                <w:szCs w:val="16"/>
              </w:rPr>
            </w:pPr>
            <w:r>
              <w:rPr>
                <w:rFonts w:ascii="Arial Narrow" w:hAnsi="Arial Narrow"/>
                <w:b/>
                <w:bCs/>
                <w:color w:val="000000"/>
                <w:sz w:val="16"/>
                <w:szCs w:val="16"/>
              </w:rPr>
              <w:t>10</w:t>
            </w:r>
          </w:p>
        </w:tc>
        <w:tc>
          <w:tcPr>
            <w:tcW w:w="3446" w:type="dxa"/>
            <w:vMerge w:val="restart"/>
            <w:tcBorders>
              <w:left w:val="nil"/>
              <w:right w:val="nil"/>
            </w:tcBorders>
            <w:shd w:val="clear" w:color="000000" w:fill="FFFFFF"/>
            <w:vAlign w:val="center"/>
            <w:hideMark/>
          </w:tcPr>
          <w:p w:rsidR="0026560A" w:rsidRPr="00EA3E96" w:rsidRDefault="0026560A" w:rsidP="003C79F3">
            <w:pPr>
              <w:rPr>
                <w:rFonts w:ascii="Arial Narrow" w:hAnsi="Arial Narrow"/>
                <w:b/>
                <w:bCs/>
                <w:color w:val="000000"/>
                <w:sz w:val="16"/>
                <w:szCs w:val="16"/>
                <w:vertAlign w:val="superscript"/>
              </w:rPr>
            </w:pPr>
            <w:r w:rsidRPr="00632720">
              <w:rPr>
                <w:rFonts w:ascii="Arial Narrow" w:hAnsi="Arial Narrow"/>
                <w:b/>
                <w:bCs/>
                <w:color w:val="000000"/>
                <w:sz w:val="16"/>
                <w:szCs w:val="16"/>
              </w:rPr>
              <w:t>Υπουργείο Πολιτισμού και Αθλητισμού</w:t>
            </w:r>
            <w:r w:rsidR="00EA3E96">
              <w:rPr>
                <w:rFonts w:ascii="Arial Narrow" w:hAnsi="Arial Narrow"/>
                <w:b/>
                <w:bCs/>
                <w:color w:val="000000"/>
                <w:sz w:val="16"/>
                <w:szCs w:val="16"/>
                <w:vertAlign w:val="superscript"/>
              </w:rPr>
              <w:t>3</w:t>
            </w:r>
          </w:p>
        </w:tc>
        <w:tc>
          <w:tcPr>
            <w:tcW w:w="2268" w:type="dxa"/>
            <w:tcBorders>
              <w:left w:val="nil"/>
            </w:tcBorders>
            <w:shd w:val="clear" w:color="000000" w:fill="D8D8D8"/>
            <w:noWrap/>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372</w:t>
            </w:r>
          </w:p>
        </w:tc>
        <w:tc>
          <w:tcPr>
            <w:tcW w:w="879" w:type="dxa"/>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12</w:t>
            </w:r>
          </w:p>
        </w:tc>
        <w:tc>
          <w:tcPr>
            <w:tcW w:w="851"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359</w:t>
            </w:r>
          </w:p>
        </w:tc>
        <w:tc>
          <w:tcPr>
            <w:tcW w:w="879" w:type="dxa"/>
            <w:tcBorders>
              <w:right w:val="single" w:sz="4" w:space="0" w:color="auto"/>
            </w:tcBorders>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345</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12</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324</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27</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35</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val="restart"/>
            <w:tcBorders>
              <w:left w:val="single" w:sz="4" w:space="0" w:color="auto"/>
              <w:right w:val="nil"/>
            </w:tcBorders>
            <w:shd w:val="clear" w:color="000000" w:fill="FFFFFF"/>
            <w:vAlign w:val="center"/>
            <w:hideMark/>
          </w:tcPr>
          <w:p w:rsidR="0026560A" w:rsidRPr="00632720" w:rsidRDefault="0026560A" w:rsidP="003C79F3">
            <w:pPr>
              <w:jc w:val="center"/>
              <w:rPr>
                <w:rFonts w:ascii="Arial Narrow" w:hAnsi="Arial Narrow"/>
                <w:b/>
                <w:bCs/>
                <w:color w:val="000000"/>
                <w:sz w:val="16"/>
                <w:szCs w:val="16"/>
              </w:rPr>
            </w:pPr>
            <w:r>
              <w:rPr>
                <w:rFonts w:ascii="Arial Narrow" w:hAnsi="Arial Narrow"/>
                <w:b/>
                <w:bCs/>
                <w:color w:val="000000"/>
                <w:sz w:val="16"/>
                <w:szCs w:val="16"/>
              </w:rPr>
              <w:t>11</w:t>
            </w:r>
          </w:p>
        </w:tc>
        <w:tc>
          <w:tcPr>
            <w:tcW w:w="3446" w:type="dxa"/>
            <w:vMerge w:val="restart"/>
            <w:tcBorders>
              <w:left w:val="nil"/>
              <w:right w:val="nil"/>
            </w:tcBorders>
            <w:shd w:val="clear" w:color="000000" w:fill="FFFFFF"/>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Υπουργείο Οικονομικών</w:t>
            </w:r>
          </w:p>
        </w:tc>
        <w:tc>
          <w:tcPr>
            <w:tcW w:w="2268" w:type="dxa"/>
            <w:tcBorders>
              <w:left w:val="nil"/>
            </w:tcBorders>
            <w:shd w:val="clear" w:color="000000" w:fill="D8D8D8"/>
            <w:noWrap/>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2.255</w:t>
            </w:r>
          </w:p>
        </w:tc>
        <w:tc>
          <w:tcPr>
            <w:tcW w:w="879" w:type="dxa"/>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1.518</w:t>
            </w:r>
          </w:p>
        </w:tc>
        <w:tc>
          <w:tcPr>
            <w:tcW w:w="851"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800</w:t>
            </w:r>
          </w:p>
        </w:tc>
        <w:tc>
          <w:tcPr>
            <w:tcW w:w="879" w:type="dxa"/>
            <w:tcBorders>
              <w:right w:val="single" w:sz="4" w:space="0" w:color="auto"/>
            </w:tcBorders>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760</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23</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777</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1.495</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1.495</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23</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val="restart"/>
            <w:tcBorders>
              <w:left w:val="single" w:sz="4" w:space="0" w:color="auto"/>
              <w:bottom w:val="single" w:sz="4" w:space="0" w:color="auto"/>
              <w:right w:val="nil"/>
            </w:tcBorders>
            <w:shd w:val="clear" w:color="000000" w:fill="FFFFFF"/>
            <w:vAlign w:val="center"/>
            <w:hideMark/>
          </w:tcPr>
          <w:p w:rsidR="0026560A" w:rsidRPr="00632720" w:rsidRDefault="0026560A" w:rsidP="003C79F3">
            <w:pPr>
              <w:jc w:val="center"/>
              <w:rPr>
                <w:rFonts w:ascii="Arial Narrow" w:hAnsi="Arial Narrow"/>
                <w:b/>
                <w:bCs/>
                <w:color w:val="000000"/>
                <w:sz w:val="16"/>
                <w:szCs w:val="16"/>
              </w:rPr>
            </w:pPr>
            <w:r>
              <w:rPr>
                <w:rFonts w:ascii="Arial Narrow" w:hAnsi="Arial Narrow"/>
                <w:b/>
                <w:bCs/>
                <w:color w:val="000000"/>
                <w:sz w:val="16"/>
                <w:szCs w:val="16"/>
              </w:rPr>
              <w:t>12</w:t>
            </w:r>
          </w:p>
        </w:tc>
        <w:tc>
          <w:tcPr>
            <w:tcW w:w="3446" w:type="dxa"/>
            <w:vMerge w:val="restart"/>
            <w:tcBorders>
              <w:left w:val="nil"/>
              <w:bottom w:val="single" w:sz="4" w:space="0" w:color="auto"/>
              <w:right w:val="nil"/>
            </w:tcBorders>
            <w:shd w:val="clear" w:color="000000" w:fill="FFFFFF"/>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Υπουργείο Οικονομικών - Γενικές Κρατικές Δαπάνες</w:t>
            </w:r>
          </w:p>
        </w:tc>
        <w:tc>
          <w:tcPr>
            <w:tcW w:w="2268" w:type="dxa"/>
            <w:tcBorders>
              <w:left w:val="nil"/>
            </w:tcBorders>
            <w:shd w:val="clear" w:color="000000" w:fill="D8D8D8"/>
            <w:noWrap/>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12.749</w:t>
            </w:r>
          </w:p>
        </w:tc>
        <w:tc>
          <w:tcPr>
            <w:tcW w:w="879" w:type="dxa"/>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4.491</w:t>
            </w:r>
          </w:p>
        </w:tc>
        <w:tc>
          <w:tcPr>
            <w:tcW w:w="851"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12.300</w:t>
            </w:r>
          </w:p>
        </w:tc>
        <w:tc>
          <w:tcPr>
            <w:tcW w:w="879" w:type="dxa"/>
            <w:tcBorders>
              <w:right w:val="single" w:sz="4" w:space="0" w:color="auto"/>
            </w:tcBorders>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3.000</w:t>
            </w:r>
          </w:p>
        </w:tc>
      </w:tr>
      <w:tr w:rsidR="0026560A" w:rsidRPr="00632720" w:rsidTr="0026560A">
        <w:trPr>
          <w:trHeight w:val="20"/>
          <w:jc w:val="center"/>
        </w:trPr>
        <w:tc>
          <w:tcPr>
            <w:tcW w:w="460" w:type="dxa"/>
            <w:vMerge/>
            <w:tcBorders>
              <w:top w:val="single" w:sz="4" w:space="0" w:color="auto"/>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top w:val="single" w:sz="4" w:space="0" w:color="auto"/>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12.749</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4.491</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12.300</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3.000</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val="restart"/>
            <w:tcBorders>
              <w:left w:val="single" w:sz="4" w:space="0" w:color="auto"/>
              <w:right w:val="nil"/>
            </w:tcBorders>
            <w:shd w:val="clear" w:color="000000" w:fill="FFFFFF"/>
            <w:vAlign w:val="center"/>
            <w:hideMark/>
          </w:tcPr>
          <w:p w:rsidR="0026560A" w:rsidRPr="00632720" w:rsidRDefault="0026560A" w:rsidP="003C79F3">
            <w:pPr>
              <w:jc w:val="center"/>
              <w:rPr>
                <w:rFonts w:ascii="Arial Narrow" w:hAnsi="Arial Narrow"/>
                <w:b/>
                <w:bCs/>
                <w:color w:val="000000"/>
                <w:sz w:val="16"/>
                <w:szCs w:val="16"/>
              </w:rPr>
            </w:pPr>
            <w:r>
              <w:rPr>
                <w:rFonts w:ascii="Arial Narrow" w:hAnsi="Arial Narrow"/>
                <w:b/>
                <w:bCs/>
                <w:color w:val="000000"/>
                <w:sz w:val="16"/>
                <w:szCs w:val="16"/>
              </w:rPr>
              <w:t>13</w:t>
            </w:r>
          </w:p>
        </w:tc>
        <w:tc>
          <w:tcPr>
            <w:tcW w:w="3446" w:type="dxa"/>
            <w:vMerge w:val="restart"/>
            <w:tcBorders>
              <w:left w:val="nil"/>
              <w:right w:val="nil"/>
            </w:tcBorders>
            <w:shd w:val="clear" w:color="000000" w:fill="FFFFFF"/>
            <w:vAlign w:val="center"/>
            <w:hideMark/>
          </w:tcPr>
          <w:p w:rsidR="0026560A" w:rsidRPr="00E96C6F" w:rsidRDefault="0026560A" w:rsidP="003C79F3">
            <w:pPr>
              <w:rPr>
                <w:rFonts w:ascii="Arial Narrow" w:hAnsi="Arial Narrow"/>
                <w:b/>
                <w:bCs/>
                <w:color w:val="000000"/>
                <w:sz w:val="16"/>
                <w:szCs w:val="16"/>
                <w:vertAlign w:val="superscript"/>
              </w:rPr>
            </w:pPr>
            <w:r w:rsidRPr="00632720">
              <w:rPr>
                <w:rFonts w:ascii="Arial Narrow" w:hAnsi="Arial Narrow"/>
                <w:b/>
                <w:bCs/>
                <w:color w:val="000000"/>
                <w:sz w:val="16"/>
                <w:szCs w:val="16"/>
              </w:rPr>
              <w:t>Υπουργείο Αγροτικής Ανάπτυξης και Τροφίμων</w:t>
            </w:r>
            <w:r w:rsidR="00EA3E96">
              <w:rPr>
                <w:rFonts w:ascii="Arial Narrow" w:hAnsi="Arial Narrow"/>
                <w:b/>
                <w:bCs/>
                <w:color w:val="000000"/>
                <w:sz w:val="16"/>
                <w:szCs w:val="16"/>
                <w:vertAlign w:val="superscript"/>
              </w:rPr>
              <w:t>4</w:t>
            </w:r>
          </w:p>
        </w:tc>
        <w:tc>
          <w:tcPr>
            <w:tcW w:w="2268" w:type="dxa"/>
            <w:tcBorders>
              <w:left w:val="nil"/>
            </w:tcBorders>
            <w:shd w:val="clear" w:color="000000" w:fill="D8D8D8"/>
            <w:noWrap/>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1.074</w:t>
            </w:r>
          </w:p>
        </w:tc>
        <w:tc>
          <w:tcPr>
            <w:tcW w:w="879" w:type="dxa"/>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78</w:t>
            </w:r>
          </w:p>
        </w:tc>
        <w:tc>
          <w:tcPr>
            <w:tcW w:w="851"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1.199</w:t>
            </w:r>
          </w:p>
        </w:tc>
        <w:tc>
          <w:tcPr>
            <w:tcW w:w="879" w:type="dxa"/>
            <w:tcBorders>
              <w:right w:val="single" w:sz="4" w:space="0" w:color="auto"/>
            </w:tcBorders>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373</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78</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297</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701</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902</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val="restart"/>
            <w:tcBorders>
              <w:left w:val="single" w:sz="4" w:space="0" w:color="auto"/>
              <w:right w:val="nil"/>
            </w:tcBorders>
            <w:shd w:val="clear" w:color="000000" w:fill="FFFFFF"/>
            <w:vAlign w:val="center"/>
            <w:hideMark/>
          </w:tcPr>
          <w:p w:rsidR="0026560A" w:rsidRPr="00632720" w:rsidRDefault="0026560A" w:rsidP="003C79F3">
            <w:pPr>
              <w:jc w:val="center"/>
              <w:rPr>
                <w:rFonts w:ascii="Arial Narrow" w:hAnsi="Arial Narrow"/>
                <w:b/>
                <w:bCs/>
                <w:color w:val="000000"/>
                <w:sz w:val="16"/>
                <w:szCs w:val="16"/>
              </w:rPr>
            </w:pPr>
            <w:r>
              <w:rPr>
                <w:rFonts w:ascii="Arial Narrow" w:hAnsi="Arial Narrow"/>
                <w:b/>
                <w:bCs/>
                <w:color w:val="000000"/>
                <w:sz w:val="16"/>
                <w:szCs w:val="16"/>
              </w:rPr>
              <w:t>14</w:t>
            </w:r>
          </w:p>
        </w:tc>
        <w:tc>
          <w:tcPr>
            <w:tcW w:w="3446" w:type="dxa"/>
            <w:vMerge w:val="restart"/>
            <w:tcBorders>
              <w:left w:val="nil"/>
              <w:right w:val="nil"/>
            </w:tcBorders>
            <w:shd w:val="clear" w:color="000000" w:fill="FFFFFF"/>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Υπουργείο Περιβάλλοντος και Ενέργειας</w:t>
            </w:r>
          </w:p>
        </w:tc>
        <w:tc>
          <w:tcPr>
            <w:tcW w:w="2268" w:type="dxa"/>
            <w:tcBorders>
              <w:left w:val="nil"/>
            </w:tcBorders>
            <w:shd w:val="clear" w:color="000000" w:fill="D8D8D8"/>
            <w:noWrap/>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417</w:t>
            </w:r>
          </w:p>
        </w:tc>
        <w:tc>
          <w:tcPr>
            <w:tcW w:w="879" w:type="dxa"/>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c>
          <w:tcPr>
            <w:tcW w:w="851"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762</w:t>
            </w:r>
          </w:p>
        </w:tc>
        <w:tc>
          <w:tcPr>
            <w:tcW w:w="879" w:type="dxa"/>
            <w:tcBorders>
              <w:right w:val="single" w:sz="4" w:space="0" w:color="auto"/>
            </w:tcBorders>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132</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92</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285</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670</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val="restart"/>
            <w:tcBorders>
              <w:left w:val="single" w:sz="4" w:space="0" w:color="auto"/>
              <w:right w:val="nil"/>
            </w:tcBorders>
            <w:shd w:val="clear" w:color="000000" w:fill="FFFFFF"/>
            <w:vAlign w:val="center"/>
            <w:hideMark/>
          </w:tcPr>
          <w:p w:rsidR="0026560A" w:rsidRPr="00632720" w:rsidRDefault="0026560A" w:rsidP="003C79F3">
            <w:pPr>
              <w:jc w:val="center"/>
              <w:rPr>
                <w:rFonts w:ascii="Arial Narrow" w:hAnsi="Arial Narrow"/>
                <w:b/>
                <w:bCs/>
                <w:color w:val="000000"/>
                <w:sz w:val="16"/>
                <w:szCs w:val="16"/>
              </w:rPr>
            </w:pPr>
            <w:r w:rsidRPr="00632720">
              <w:rPr>
                <w:rFonts w:ascii="Arial Narrow" w:hAnsi="Arial Narrow"/>
                <w:b/>
                <w:bCs/>
                <w:color w:val="000000"/>
                <w:sz w:val="16"/>
                <w:szCs w:val="16"/>
              </w:rPr>
              <w:t>1</w:t>
            </w:r>
            <w:r>
              <w:rPr>
                <w:rFonts w:ascii="Arial Narrow" w:hAnsi="Arial Narrow"/>
                <w:b/>
                <w:bCs/>
                <w:color w:val="000000"/>
                <w:sz w:val="16"/>
                <w:szCs w:val="16"/>
              </w:rPr>
              <w:t>5</w:t>
            </w:r>
          </w:p>
        </w:tc>
        <w:tc>
          <w:tcPr>
            <w:tcW w:w="3446" w:type="dxa"/>
            <w:vMerge w:val="restart"/>
            <w:tcBorders>
              <w:left w:val="nil"/>
              <w:right w:val="nil"/>
            </w:tcBorders>
            <w:shd w:val="clear" w:color="000000" w:fill="FFFFFF"/>
            <w:vAlign w:val="center"/>
            <w:hideMark/>
          </w:tcPr>
          <w:p w:rsidR="0026560A" w:rsidRPr="00632720" w:rsidRDefault="0026560A" w:rsidP="003C79F3">
            <w:pPr>
              <w:rPr>
                <w:rFonts w:ascii="Arial Narrow" w:hAnsi="Arial Narrow"/>
                <w:b/>
                <w:bCs/>
                <w:color w:val="000000"/>
                <w:sz w:val="16"/>
                <w:szCs w:val="16"/>
              </w:rPr>
            </w:pPr>
            <w:r>
              <w:rPr>
                <w:rFonts w:ascii="Arial Narrow" w:hAnsi="Arial Narrow"/>
                <w:b/>
                <w:bCs/>
                <w:color w:val="000000"/>
                <w:sz w:val="16"/>
                <w:szCs w:val="16"/>
              </w:rPr>
              <w:t>Υπουργείο Εργασίας κ</w:t>
            </w:r>
            <w:r w:rsidRPr="00632720">
              <w:rPr>
                <w:rFonts w:ascii="Arial Narrow" w:hAnsi="Arial Narrow"/>
                <w:b/>
                <w:bCs/>
                <w:color w:val="000000"/>
                <w:sz w:val="16"/>
                <w:szCs w:val="16"/>
              </w:rPr>
              <w:t>αι Κοινωνικών Υποθέσεων</w:t>
            </w:r>
          </w:p>
        </w:tc>
        <w:tc>
          <w:tcPr>
            <w:tcW w:w="2268" w:type="dxa"/>
            <w:tcBorders>
              <w:left w:val="nil"/>
            </w:tcBorders>
            <w:shd w:val="clear" w:color="000000" w:fill="D8D8D8"/>
            <w:noWrap/>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24.719</w:t>
            </w:r>
          </w:p>
        </w:tc>
        <w:tc>
          <w:tcPr>
            <w:tcW w:w="879" w:type="dxa"/>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3.615</w:t>
            </w:r>
          </w:p>
        </w:tc>
        <w:tc>
          <w:tcPr>
            <w:tcW w:w="851"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22.689</w:t>
            </w:r>
          </w:p>
        </w:tc>
        <w:tc>
          <w:tcPr>
            <w:tcW w:w="879" w:type="dxa"/>
            <w:tcBorders>
              <w:right w:val="single" w:sz="4" w:space="0" w:color="auto"/>
            </w:tcBorders>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2.452</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24.549</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3.615</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22.269</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2.452</w:t>
            </w:r>
          </w:p>
        </w:tc>
      </w:tr>
      <w:tr w:rsidR="0026560A" w:rsidRPr="00632720" w:rsidTr="004834C2">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170</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420</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val="restart"/>
            <w:tcBorders>
              <w:left w:val="single" w:sz="4" w:space="0" w:color="auto"/>
              <w:right w:val="nil"/>
            </w:tcBorders>
            <w:shd w:val="clear" w:color="000000" w:fill="FFFFFF"/>
            <w:vAlign w:val="center"/>
            <w:hideMark/>
          </w:tcPr>
          <w:p w:rsidR="0026560A" w:rsidRPr="00632720" w:rsidRDefault="0026560A" w:rsidP="003C79F3">
            <w:pPr>
              <w:jc w:val="center"/>
              <w:rPr>
                <w:rFonts w:ascii="Arial Narrow" w:hAnsi="Arial Narrow"/>
                <w:b/>
                <w:bCs/>
                <w:color w:val="000000"/>
                <w:sz w:val="16"/>
                <w:szCs w:val="16"/>
              </w:rPr>
            </w:pPr>
            <w:r>
              <w:rPr>
                <w:rFonts w:ascii="Arial Narrow" w:hAnsi="Arial Narrow"/>
                <w:b/>
                <w:bCs/>
                <w:color w:val="000000"/>
                <w:sz w:val="16"/>
                <w:szCs w:val="16"/>
              </w:rPr>
              <w:t>16</w:t>
            </w:r>
          </w:p>
        </w:tc>
        <w:tc>
          <w:tcPr>
            <w:tcW w:w="3446" w:type="dxa"/>
            <w:vMerge w:val="restart"/>
            <w:tcBorders>
              <w:left w:val="nil"/>
              <w:right w:val="nil"/>
            </w:tcBorders>
            <w:shd w:val="clear" w:color="000000" w:fill="FFFFFF"/>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Υπουργείο Ανάπτυξης και Επενδύσεων</w:t>
            </w:r>
          </w:p>
        </w:tc>
        <w:tc>
          <w:tcPr>
            <w:tcW w:w="2268" w:type="dxa"/>
            <w:tcBorders>
              <w:left w:val="nil"/>
            </w:tcBorders>
            <w:shd w:val="clear" w:color="000000" w:fill="D8D8D8"/>
            <w:noWrap/>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5.778</w:t>
            </w:r>
          </w:p>
        </w:tc>
        <w:tc>
          <w:tcPr>
            <w:tcW w:w="879" w:type="dxa"/>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2.727</w:t>
            </w:r>
          </w:p>
        </w:tc>
        <w:tc>
          <w:tcPr>
            <w:tcW w:w="851"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5.301</w:t>
            </w:r>
          </w:p>
        </w:tc>
        <w:tc>
          <w:tcPr>
            <w:tcW w:w="879" w:type="dxa"/>
            <w:tcBorders>
              <w:right w:val="single" w:sz="4" w:space="0" w:color="auto"/>
            </w:tcBorders>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880</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167</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186</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4834C2">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5.611</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2.727</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2.480</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880</w:t>
            </w:r>
          </w:p>
        </w:tc>
      </w:tr>
      <w:tr w:rsidR="0026560A" w:rsidRPr="00632720" w:rsidTr="004834C2">
        <w:trPr>
          <w:trHeight w:val="20"/>
          <w:jc w:val="center"/>
        </w:trPr>
        <w:tc>
          <w:tcPr>
            <w:tcW w:w="460" w:type="dxa"/>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Pr>
                <w:rFonts w:ascii="Arial Narrow" w:hAnsi="Arial Narrow"/>
                <w:color w:val="000000"/>
                <w:sz w:val="16"/>
                <w:szCs w:val="16"/>
              </w:rPr>
              <w:t>Ταμείο Ανάκαμψης και Σταθερότητας</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2.635</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val="restart"/>
            <w:tcBorders>
              <w:left w:val="single" w:sz="4" w:space="0" w:color="auto"/>
              <w:right w:val="nil"/>
            </w:tcBorders>
            <w:shd w:val="clear" w:color="000000" w:fill="FFFFFF"/>
            <w:vAlign w:val="center"/>
            <w:hideMark/>
          </w:tcPr>
          <w:p w:rsidR="0026560A" w:rsidRPr="00632720" w:rsidRDefault="0026560A" w:rsidP="003C79F3">
            <w:pPr>
              <w:jc w:val="center"/>
              <w:rPr>
                <w:rFonts w:ascii="Arial Narrow" w:hAnsi="Arial Narrow"/>
                <w:b/>
                <w:bCs/>
                <w:color w:val="000000"/>
                <w:sz w:val="16"/>
                <w:szCs w:val="16"/>
              </w:rPr>
            </w:pPr>
            <w:r w:rsidRPr="00632720">
              <w:rPr>
                <w:rFonts w:ascii="Arial Narrow" w:hAnsi="Arial Narrow"/>
                <w:b/>
                <w:bCs/>
                <w:color w:val="000000"/>
                <w:sz w:val="16"/>
                <w:szCs w:val="16"/>
              </w:rPr>
              <w:t>1</w:t>
            </w:r>
            <w:r>
              <w:rPr>
                <w:rFonts w:ascii="Arial Narrow" w:hAnsi="Arial Narrow"/>
                <w:b/>
                <w:bCs/>
                <w:color w:val="000000"/>
                <w:sz w:val="16"/>
                <w:szCs w:val="16"/>
              </w:rPr>
              <w:t>7</w:t>
            </w:r>
          </w:p>
        </w:tc>
        <w:tc>
          <w:tcPr>
            <w:tcW w:w="3446" w:type="dxa"/>
            <w:vMerge w:val="restart"/>
            <w:tcBorders>
              <w:left w:val="nil"/>
              <w:right w:val="nil"/>
            </w:tcBorders>
            <w:shd w:val="clear" w:color="000000" w:fill="FFFFFF"/>
            <w:vAlign w:val="center"/>
            <w:hideMark/>
          </w:tcPr>
          <w:p w:rsidR="0026560A" w:rsidRPr="00EA3E96" w:rsidRDefault="0026560A" w:rsidP="003C79F3">
            <w:pPr>
              <w:rPr>
                <w:rFonts w:ascii="Arial Narrow" w:hAnsi="Arial Narrow"/>
                <w:b/>
                <w:bCs/>
                <w:color w:val="000000"/>
                <w:sz w:val="16"/>
                <w:szCs w:val="16"/>
                <w:vertAlign w:val="superscript"/>
              </w:rPr>
            </w:pPr>
            <w:r w:rsidRPr="00632720">
              <w:rPr>
                <w:rFonts w:ascii="Arial Narrow" w:hAnsi="Arial Narrow"/>
                <w:b/>
                <w:bCs/>
                <w:color w:val="000000"/>
                <w:sz w:val="16"/>
                <w:szCs w:val="16"/>
              </w:rPr>
              <w:t>Υπουργείο Υποδομών και Μεταφορών</w:t>
            </w:r>
            <w:r w:rsidR="00EA3E96">
              <w:rPr>
                <w:rFonts w:ascii="Arial Narrow" w:hAnsi="Arial Narrow"/>
                <w:b/>
                <w:bCs/>
                <w:color w:val="000000"/>
                <w:sz w:val="16"/>
                <w:szCs w:val="16"/>
                <w:vertAlign w:val="superscript"/>
              </w:rPr>
              <w:t>5</w:t>
            </w:r>
          </w:p>
        </w:tc>
        <w:tc>
          <w:tcPr>
            <w:tcW w:w="2268" w:type="dxa"/>
            <w:tcBorders>
              <w:left w:val="nil"/>
            </w:tcBorders>
            <w:shd w:val="clear" w:color="000000" w:fill="D8D8D8"/>
            <w:noWrap/>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1.347</w:t>
            </w:r>
          </w:p>
        </w:tc>
        <w:tc>
          <w:tcPr>
            <w:tcW w:w="879" w:type="dxa"/>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6</w:t>
            </w:r>
          </w:p>
        </w:tc>
        <w:tc>
          <w:tcPr>
            <w:tcW w:w="851"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1.585</w:t>
            </w:r>
          </w:p>
        </w:tc>
        <w:tc>
          <w:tcPr>
            <w:tcW w:w="879" w:type="dxa"/>
            <w:tcBorders>
              <w:right w:val="single" w:sz="4" w:space="0" w:color="auto"/>
            </w:tcBorders>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50</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727</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6</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718</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50</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620</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867</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val="restart"/>
            <w:tcBorders>
              <w:left w:val="single" w:sz="4" w:space="0" w:color="auto"/>
              <w:right w:val="nil"/>
            </w:tcBorders>
            <w:shd w:val="clear" w:color="000000" w:fill="FFFFFF"/>
            <w:vAlign w:val="center"/>
            <w:hideMark/>
          </w:tcPr>
          <w:p w:rsidR="0026560A" w:rsidRPr="00632720" w:rsidRDefault="0026560A" w:rsidP="003C79F3">
            <w:pPr>
              <w:jc w:val="center"/>
              <w:rPr>
                <w:rFonts w:ascii="Arial Narrow" w:hAnsi="Arial Narrow"/>
                <w:b/>
                <w:bCs/>
                <w:color w:val="000000"/>
                <w:sz w:val="16"/>
                <w:szCs w:val="16"/>
              </w:rPr>
            </w:pPr>
            <w:r>
              <w:rPr>
                <w:rFonts w:ascii="Arial Narrow" w:hAnsi="Arial Narrow"/>
                <w:b/>
                <w:bCs/>
                <w:color w:val="000000"/>
                <w:sz w:val="16"/>
                <w:szCs w:val="16"/>
              </w:rPr>
              <w:t>18</w:t>
            </w:r>
          </w:p>
        </w:tc>
        <w:tc>
          <w:tcPr>
            <w:tcW w:w="3446" w:type="dxa"/>
            <w:vMerge w:val="restart"/>
            <w:tcBorders>
              <w:left w:val="nil"/>
              <w:right w:val="nil"/>
            </w:tcBorders>
            <w:shd w:val="clear" w:color="000000" w:fill="FFFFFF"/>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Υπουργείο Ναυτιλίας και Νησι</w:t>
            </w:r>
            <w:r>
              <w:rPr>
                <w:rFonts w:ascii="Arial Narrow" w:hAnsi="Arial Narrow"/>
                <w:b/>
                <w:bCs/>
                <w:color w:val="000000"/>
                <w:sz w:val="16"/>
                <w:szCs w:val="16"/>
              </w:rPr>
              <w:t>ωτικής Πολιτικής</w:t>
            </w:r>
          </w:p>
        </w:tc>
        <w:tc>
          <w:tcPr>
            <w:tcW w:w="2268" w:type="dxa"/>
            <w:tcBorders>
              <w:left w:val="nil"/>
            </w:tcBorders>
            <w:shd w:val="clear" w:color="000000" w:fill="D8D8D8"/>
            <w:noWrap/>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455</w:t>
            </w:r>
          </w:p>
        </w:tc>
        <w:tc>
          <w:tcPr>
            <w:tcW w:w="879" w:type="dxa"/>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39</w:t>
            </w:r>
          </w:p>
        </w:tc>
        <w:tc>
          <w:tcPr>
            <w:tcW w:w="851"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409</w:t>
            </w:r>
          </w:p>
        </w:tc>
        <w:tc>
          <w:tcPr>
            <w:tcW w:w="879" w:type="dxa"/>
            <w:tcBorders>
              <w:right w:val="single" w:sz="4" w:space="0" w:color="auto"/>
            </w:tcBorders>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290</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6</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269</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165</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33</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140</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val="restart"/>
            <w:tcBorders>
              <w:left w:val="single" w:sz="4" w:space="0" w:color="auto"/>
              <w:right w:val="nil"/>
            </w:tcBorders>
            <w:shd w:val="clear" w:color="000000" w:fill="FFFFFF"/>
            <w:vAlign w:val="center"/>
            <w:hideMark/>
          </w:tcPr>
          <w:p w:rsidR="0026560A" w:rsidRPr="00632720" w:rsidRDefault="0026560A" w:rsidP="003C79F3">
            <w:pPr>
              <w:jc w:val="center"/>
              <w:rPr>
                <w:rFonts w:ascii="Arial Narrow" w:hAnsi="Arial Narrow"/>
                <w:b/>
                <w:bCs/>
                <w:color w:val="000000"/>
                <w:sz w:val="16"/>
                <w:szCs w:val="16"/>
              </w:rPr>
            </w:pPr>
            <w:r>
              <w:rPr>
                <w:rFonts w:ascii="Arial Narrow" w:hAnsi="Arial Narrow"/>
                <w:b/>
                <w:bCs/>
                <w:color w:val="000000"/>
                <w:sz w:val="16"/>
                <w:szCs w:val="16"/>
              </w:rPr>
              <w:t>19</w:t>
            </w:r>
          </w:p>
        </w:tc>
        <w:tc>
          <w:tcPr>
            <w:tcW w:w="3446" w:type="dxa"/>
            <w:vMerge w:val="restart"/>
            <w:tcBorders>
              <w:left w:val="nil"/>
              <w:right w:val="nil"/>
            </w:tcBorders>
            <w:shd w:val="clear" w:color="000000" w:fill="FFFFFF"/>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Υπουργείο Τουρισμού</w:t>
            </w:r>
          </w:p>
        </w:tc>
        <w:tc>
          <w:tcPr>
            <w:tcW w:w="2268" w:type="dxa"/>
            <w:tcBorders>
              <w:left w:val="nil"/>
            </w:tcBorders>
            <w:shd w:val="clear" w:color="000000" w:fill="D8D8D8"/>
            <w:noWrap/>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89</w:t>
            </w:r>
          </w:p>
        </w:tc>
        <w:tc>
          <w:tcPr>
            <w:tcW w:w="879" w:type="dxa"/>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49</w:t>
            </w:r>
          </w:p>
        </w:tc>
        <w:tc>
          <w:tcPr>
            <w:tcW w:w="851"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57</w:t>
            </w:r>
          </w:p>
        </w:tc>
        <w:tc>
          <w:tcPr>
            <w:tcW w:w="879" w:type="dxa"/>
            <w:tcBorders>
              <w:right w:val="single" w:sz="4" w:space="0" w:color="auto"/>
            </w:tcBorders>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43</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6</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36</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46</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43</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21</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val="restart"/>
            <w:tcBorders>
              <w:left w:val="single" w:sz="4" w:space="0" w:color="auto"/>
              <w:right w:val="nil"/>
            </w:tcBorders>
            <w:shd w:val="clear" w:color="000000" w:fill="FFFFFF"/>
            <w:vAlign w:val="center"/>
            <w:hideMark/>
          </w:tcPr>
          <w:p w:rsidR="0026560A" w:rsidRPr="00632720" w:rsidRDefault="0026560A" w:rsidP="003C79F3">
            <w:pPr>
              <w:jc w:val="center"/>
              <w:rPr>
                <w:rFonts w:ascii="Arial Narrow" w:hAnsi="Arial Narrow"/>
                <w:b/>
                <w:bCs/>
                <w:color w:val="000000"/>
                <w:sz w:val="16"/>
                <w:szCs w:val="16"/>
              </w:rPr>
            </w:pPr>
            <w:r>
              <w:rPr>
                <w:rFonts w:ascii="Arial Narrow" w:hAnsi="Arial Narrow"/>
                <w:b/>
                <w:bCs/>
                <w:color w:val="000000"/>
                <w:sz w:val="16"/>
                <w:szCs w:val="16"/>
              </w:rPr>
              <w:t>20</w:t>
            </w:r>
          </w:p>
        </w:tc>
        <w:tc>
          <w:tcPr>
            <w:tcW w:w="3446" w:type="dxa"/>
            <w:vMerge w:val="restart"/>
            <w:tcBorders>
              <w:left w:val="nil"/>
              <w:right w:val="nil"/>
            </w:tcBorders>
            <w:shd w:val="clear" w:color="000000" w:fill="FFFFFF"/>
            <w:vAlign w:val="center"/>
            <w:hideMark/>
          </w:tcPr>
          <w:p w:rsidR="0026560A" w:rsidRPr="00EA3E96" w:rsidRDefault="0026560A" w:rsidP="003C79F3">
            <w:pPr>
              <w:rPr>
                <w:rFonts w:ascii="Arial Narrow" w:hAnsi="Arial Narrow"/>
                <w:b/>
                <w:bCs/>
                <w:color w:val="000000"/>
                <w:sz w:val="16"/>
                <w:szCs w:val="16"/>
                <w:vertAlign w:val="superscript"/>
              </w:rPr>
            </w:pPr>
            <w:r w:rsidRPr="00632720">
              <w:rPr>
                <w:rFonts w:ascii="Arial Narrow" w:hAnsi="Arial Narrow"/>
                <w:b/>
                <w:bCs/>
                <w:color w:val="000000"/>
                <w:sz w:val="16"/>
                <w:szCs w:val="16"/>
              </w:rPr>
              <w:t>Υπουργείο Προστασίας του Πολίτη</w:t>
            </w:r>
            <w:r w:rsidR="00EA3E96">
              <w:rPr>
                <w:rFonts w:ascii="Arial Narrow" w:hAnsi="Arial Narrow"/>
                <w:b/>
                <w:bCs/>
                <w:color w:val="000000"/>
                <w:sz w:val="16"/>
                <w:szCs w:val="16"/>
                <w:vertAlign w:val="superscript"/>
              </w:rPr>
              <w:t>6</w:t>
            </w:r>
          </w:p>
        </w:tc>
        <w:tc>
          <w:tcPr>
            <w:tcW w:w="2268" w:type="dxa"/>
            <w:tcBorders>
              <w:left w:val="nil"/>
            </w:tcBorders>
            <w:shd w:val="clear" w:color="000000" w:fill="D8D8D8"/>
            <w:noWrap/>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2.567</w:t>
            </w:r>
          </w:p>
        </w:tc>
        <w:tc>
          <w:tcPr>
            <w:tcW w:w="879" w:type="dxa"/>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63</w:t>
            </w:r>
          </w:p>
        </w:tc>
        <w:tc>
          <w:tcPr>
            <w:tcW w:w="851"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2.488</w:t>
            </w:r>
          </w:p>
        </w:tc>
        <w:tc>
          <w:tcPr>
            <w:tcW w:w="879" w:type="dxa"/>
            <w:tcBorders>
              <w:right w:val="single" w:sz="4" w:space="0" w:color="auto"/>
            </w:tcBorders>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2.498</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63</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2.414</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4834C2">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69</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74</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val="restart"/>
            <w:tcBorders>
              <w:left w:val="single" w:sz="4" w:space="0" w:color="auto"/>
              <w:right w:val="nil"/>
            </w:tcBorders>
            <w:shd w:val="clear" w:color="000000" w:fill="FFFFFF"/>
            <w:vAlign w:val="center"/>
            <w:hideMark/>
          </w:tcPr>
          <w:p w:rsidR="0026560A" w:rsidRPr="00632720" w:rsidRDefault="0026560A" w:rsidP="003C79F3">
            <w:pPr>
              <w:jc w:val="center"/>
              <w:rPr>
                <w:rFonts w:ascii="Arial Narrow" w:hAnsi="Arial Narrow"/>
                <w:b/>
                <w:bCs/>
                <w:color w:val="000000"/>
                <w:sz w:val="16"/>
                <w:szCs w:val="16"/>
              </w:rPr>
            </w:pPr>
            <w:r>
              <w:rPr>
                <w:rFonts w:ascii="Arial Narrow" w:hAnsi="Arial Narrow"/>
                <w:b/>
                <w:bCs/>
                <w:color w:val="000000"/>
                <w:sz w:val="16"/>
                <w:szCs w:val="16"/>
              </w:rPr>
              <w:t>21</w:t>
            </w:r>
          </w:p>
        </w:tc>
        <w:tc>
          <w:tcPr>
            <w:tcW w:w="3446" w:type="dxa"/>
            <w:vMerge w:val="restart"/>
            <w:tcBorders>
              <w:left w:val="nil"/>
              <w:right w:val="nil"/>
            </w:tcBorders>
            <w:shd w:val="clear" w:color="000000" w:fill="FFFFFF"/>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Υπουργείο Ψηφιακής Διακυβέρνησης</w:t>
            </w:r>
          </w:p>
        </w:tc>
        <w:tc>
          <w:tcPr>
            <w:tcW w:w="2268" w:type="dxa"/>
            <w:tcBorders>
              <w:left w:val="nil"/>
            </w:tcBorders>
            <w:shd w:val="clear" w:color="000000" w:fill="D8D8D8"/>
            <w:noWrap/>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173</w:t>
            </w:r>
          </w:p>
        </w:tc>
        <w:tc>
          <w:tcPr>
            <w:tcW w:w="879" w:type="dxa"/>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11</w:t>
            </w:r>
          </w:p>
        </w:tc>
        <w:tc>
          <w:tcPr>
            <w:tcW w:w="851"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236</w:t>
            </w:r>
          </w:p>
        </w:tc>
        <w:tc>
          <w:tcPr>
            <w:tcW w:w="879" w:type="dxa"/>
            <w:tcBorders>
              <w:right w:val="single" w:sz="4" w:space="0" w:color="auto"/>
            </w:tcBorders>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93</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11</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146</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4834C2">
        <w:trPr>
          <w:trHeight w:val="20"/>
          <w:jc w:val="center"/>
        </w:trPr>
        <w:tc>
          <w:tcPr>
            <w:tcW w:w="460" w:type="dxa"/>
            <w:vMerge/>
            <w:tcBorders>
              <w:left w:val="single" w:sz="4" w:space="0" w:color="auto"/>
              <w:bottom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bottom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bottom w:val="single" w:sz="4" w:space="0" w:color="auto"/>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ΠΔΕ</w:t>
            </w:r>
          </w:p>
        </w:tc>
        <w:tc>
          <w:tcPr>
            <w:tcW w:w="729" w:type="dxa"/>
            <w:tcBorders>
              <w:bottom w:val="single" w:sz="4" w:space="0" w:color="auto"/>
            </w:tcBorders>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80</w:t>
            </w:r>
          </w:p>
        </w:tc>
        <w:tc>
          <w:tcPr>
            <w:tcW w:w="879" w:type="dxa"/>
            <w:tcBorders>
              <w:bottom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tcBorders>
              <w:bottom w:val="single" w:sz="4" w:space="0" w:color="auto"/>
            </w:tcBorders>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90</w:t>
            </w:r>
          </w:p>
        </w:tc>
        <w:tc>
          <w:tcPr>
            <w:tcW w:w="879" w:type="dxa"/>
            <w:tcBorders>
              <w:bottom w:val="single" w:sz="4" w:space="0" w:color="auto"/>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4834C2">
        <w:trPr>
          <w:trHeight w:val="20"/>
          <w:jc w:val="center"/>
        </w:trPr>
        <w:tc>
          <w:tcPr>
            <w:tcW w:w="460" w:type="dxa"/>
            <w:vMerge w:val="restart"/>
            <w:tcBorders>
              <w:top w:val="single" w:sz="4" w:space="0" w:color="auto"/>
              <w:left w:val="single" w:sz="4" w:space="0" w:color="auto"/>
              <w:right w:val="nil"/>
            </w:tcBorders>
            <w:shd w:val="clear" w:color="000000" w:fill="FFFFFF"/>
            <w:vAlign w:val="center"/>
            <w:hideMark/>
          </w:tcPr>
          <w:p w:rsidR="0026560A" w:rsidRPr="00632720" w:rsidRDefault="0026560A" w:rsidP="003C79F3">
            <w:pPr>
              <w:jc w:val="center"/>
              <w:rPr>
                <w:rFonts w:ascii="Arial Narrow" w:hAnsi="Arial Narrow"/>
                <w:b/>
                <w:bCs/>
                <w:color w:val="000000"/>
                <w:sz w:val="16"/>
                <w:szCs w:val="16"/>
              </w:rPr>
            </w:pPr>
            <w:r>
              <w:rPr>
                <w:rFonts w:ascii="Arial Narrow" w:hAnsi="Arial Narrow"/>
                <w:b/>
                <w:bCs/>
                <w:color w:val="000000"/>
                <w:sz w:val="16"/>
                <w:szCs w:val="16"/>
              </w:rPr>
              <w:lastRenderedPageBreak/>
              <w:t>22</w:t>
            </w:r>
          </w:p>
        </w:tc>
        <w:tc>
          <w:tcPr>
            <w:tcW w:w="3446" w:type="dxa"/>
            <w:vMerge w:val="restart"/>
            <w:tcBorders>
              <w:top w:val="single" w:sz="4" w:space="0" w:color="auto"/>
              <w:left w:val="nil"/>
              <w:right w:val="nil"/>
            </w:tcBorders>
            <w:shd w:val="clear" w:color="000000" w:fill="FFFFFF"/>
            <w:vAlign w:val="center"/>
            <w:hideMark/>
          </w:tcPr>
          <w:p w:rsidR="0026560A" w:rsidRPr="00632720" w:rsidRDefault="0026560A" w:rsidP="003B55F6">
            <w:pPr>
              <w:rPr>
                <w:rFonts w:ascii="Arial Narrow" w:hAnsi="Arial Narrow"/>
                <w:b/>
                <w:bCs/>
                <w:color w:val="000000"/>
                <w:sz w:val="16"/>
                <w:szCs w:val="16"/>
              </w:rPr>
            </w:pPr>
            <w:r w:rsidRPr="00632720">
              <w:rPr>
                <w:rFonts w:ascii="Arial Narrow" w:hAnsi="Arial Narrow"/>
                <w:b/>
                <w:bCs/>
                <w:color w:val="000000"/>
                <w:sz w:val="16"/>
                <w:szCs w:val="16"/>
              </w:rPr>
              <w:t xml:space="preserve">Υπουργείο </w:t>
            </w:r>
            <w:r>
              <w:rPr>
                <w:rFonts w:ascii="Arial Narrow" w:hAnsi="Arial Narrow"/>
                <w:b/>
                <w:bCs/>
                <w:color w:val="000000"/>
                <w:sz w:val="16"/>
                <w:szCs w:val="16"/>
              </w:rPr>
              <w:t>Μετανάστευσης και Ασύλου</w:t>
            </w:r>
          </w:p>
        </w:tc>
        <w:tc>
          <w:tcPr>
            <w:tcW w:w="2268" w:type="dxa"/>
            <w:tcBorders>
              <w:top w:val="single" w:sz="4" w:space="0" w:color="auto"/>
              <w:left w:val="nil"/>
            </w:tcBorders>
            <w:shd w:val="clear" w:color="000000" w:fill="D8D8D8"/>
            <w:noWrap/>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tcBorders>
              <w:top w:val="single" w:sz="4" w:space="0" w:color="auto"/>
            </w:tcBorders>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110</w:t>
            </w:r>
          </w:p>
        </w:tc>
        <w:tc>
          <w:tcPr>
            <w:tcW w:w="879" w:type="dxa"/>
            <w:tcBorders>
              <w:top w:val="single" w:sz="4" w:space="0" w:color="auto"/>
            </w:tcBorders>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c>
          <w:tcPr>
            <w:tcW w:w="851" w:type="dxa"/>
            <w:tcBorders>
              <w:top w:val="single" w:sz="4" w:space="0" w:color="auto"/>
            </w:tcBorders>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128</w:t>
            </w:r>
          </w:p>
        </w:tc>
        <w:tc>
          <w:tcPr>
            <w:tcW w:w="879" w:type="dxa"/>
            <w:tcBorders>
              <w:top w:val="single" w:sz="4" w:space="0" w:color="auto"/>
              <w:right w:val="single" w:sz="4" w:space="0" w:color="auto"/>
            </w:tcBorders>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53</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97</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57</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31</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val="restart"/>
            <w:tcBorders>
              <w:left w:val="single" w:sz="4" w:space="0" w:color="auto"/>
              <w:right w:val="nil"/>
            </w:tcBorders>
            <w:shd w:val="clear" w:color="000000" w:fill="FFFFFF"/>
            <w:vAlign w:val="center"/>
            <w:hideMark/>
          </w:tcPr>
          <w:p w:rsidR="0026560A" w:rsidRPr="00632720" w:rsidRDefault="0026560A" w:rsidP="003C79F3">
            <w:pPr>
              <w:jc w:val="center"/>
              <w:rPr>
                <w:rFonts w:ascii="Arial Narrow" w:hAnsi="Arial Narrow"/>
                <w:b/>
                <w:bCs/>
                <w:color w:val="000000"/>
                <w:sz w:val="16"/>
                <w:szCs w:val="16"/>
              </w:rPr>
            </w:pPr>
            <w:r>
              <w:rPr>
                <w:rFonts w:ascii="Arial Narrow" w:hAnsi="Arial Narrow"/>
                <w:b/>
                <w:bCs/>
                <w:color w:val="000000"/>
                <w:sz w:val="16"/>
                <w:szCs w:val="16"/>
              </w:rPr>
              <w:t>23</w:t>
            </w:r>
          </w:p>
        </w:tc>
        <w:tc>
          <w:tcPr>
            <w:tcW w:w="3446" w:type="dxa"/>
            <w:vMerge w:val="restart"/>
            <w:tcBorders>
              <w:left w:val="nil"/>
              <w:right w:val="nil"/>
            </w:tcBorders>
            <w:shd w:val="clear" w:color="000000" w:fill="FFFFFF"/>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Αποκεντρωμένη Διοίκηση Αττικής</w:t>
            </w:r>
          </w:p>
        </w:tc>
        <w:tc>
          <w:tcPr>
            <w:tcW w:w="2268" w:type="dxa"/>
            <w:tcBorders>
              <w:left w:val="nil"/>
            </w:tcBorders>
            <w:shd w:val="clear" w:color="000000" w:fill="D8D8D8"/>
            <w:noWrap/>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21</w:t>
            </w:r>
          </w:p>
        </w:tc>
        <w:tc>
          <w:tcPr>
            <w:tcW w:w="879" w:type="dxa"/>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c>
          <w:tcPr>
            <w:tcW w:w="851"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19</w:t>
            </w:r>
          </w:p>
        </w:tc>
        <w:tc>
          <w:tcPr>
            <w:tcW w:w="879" w:type="dxa"/>
            <w:tcBorders>
              <w:right w:val="single" w:sz="4" w:space="0" w:color="auto"/>
            </w:tcBorders>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21</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19</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val="restart"/>
            <w:tcBorders>
              <w:left w:val="single" w:sz="4" w:space="0" w:color="auto"/>
              <w:right w:val="nil"/>
            </w:tcBorders>
            <w:shd w:val="clear" w:color="000000" w:fill="FFFFFF"/>
            <w:vAlign w:val="center"/>
            <w:hideMark/>
          </w:tcPr>
          <w:p w:rsidR="0026560A" w:rsidRPr="00632720" w:rsidRDefault="0026560A" w:rsidP="003C79F3">
            <w:pPr>
              <w:jc w:val="center"/>
              <w:rPr>
                <w:rFonts w:ascii="Arial Narrow" w:hAnsi="Arial Narrow"/>
                <w:b/>
                <w:bCs/>
                <w:color w:val="000000"/>
                <w:sz w:val="16"/>
                <w:szCs w:val="16"/>
              </w:rPr>
            </w:pPr>
            <w:r>
              <w:rPr>
                <w:rFonts w:ascii="Arial Narrow" w:hAnsi="Arial Narrow"/>
                <w:b/>
                <w:bCs/>
                <w:color w:val="000000"/>
                <w:sz w:val="16"/>
                <w:szCs w:val="16"/>
              </w:rPr>
              <w:t>24</w:t>
            </w:r>
          </w:p>
        </w:tc>
        <w:tc>
          <w:tcPr>
            <w:tcW w:w="3446" w:type="dxa"/>
            <w:vMerge w:val="restart"/>
            <w:tcBorders>
              <w:left w:val="nil"/>
              <w:right w:val="nil"/>
            </w:tcBorders>
            <w:shd w:val="clear" w:color="000000" w:fill="FFFFFF"/>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Αποκεντρω</w:t>
            </w:r>
            <w:r>
              <w:rPr>
                <w:rFonts w:ascii="Arial Narrow" w:hAnsi="Arial Narrow"/>
                <w:b/>
                <w:bCs/>
                <w:color w:val="000000"/>
                <w:sz w:val="16"/>
                <w:szCs w:val="16"/>
              </w:rPr>
              <w:t>μένη Διοίκηση Θεσσαλίας - Στερεά</w:t>
            </w:r>
            <w:r w:rsidRPr="00632720">
              <w:rPr>
                <w:rFonts w:ascii="Arial Narrow" w:hAnsi="Arial Narrow"/>
                <w:b/>
                <w:bCs/>
                <w:color w:val="000000"/>
                <w:sz w:val="16"/>
                <w:szCs w:val="16"/>
              </w:rPr>
              <w:t>ς Ε</w:t>
            </w:r>
            <w:r w:rsidRPr="00632720">
              <w:rPr>
                <w:rFonts w:ascii="Arial Narrow" w:hAnsi="Arial Narrow"/>
                <w:b/>
                <w:bCs/>
                <w:color w:val="000000"/>
                <w:sz w:val="16"/>
                <w:szCs w:val="16"/>
              </w:rPr>
              <w:t>λ</w:t>
            </w:r>
            <w:r w:rsidRPr="00632720">
              <w:rPr>
                <w:rFonts w:ascii="Arial Narrow" w:hAnsi="Arial Narrow"/>
                <w:b/>
                <w:bCs/>
                <w:color w:val="000000"/>
                <w:sz w:val="16"/>
                <w:szCs w:val="16"/>
              </w:rPr>
              <w:t>λάδας</w:t>
            </w:r>
          </w:p>
        </w:tc>
        <w:tc>
          <w:tcPr>
            <w:tcW w:w="2268" w:type="dxa"/>
            <w:tcBorders>
              <w:left w:val="nil"/>
            </w:tcBorders>
            <w:shd w:val="clear" w:color="000000" w:fill="D8D8D8"/>
            <w:noWrap/>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29</w:t>
            </w:r>
          </w:p>
        </w:tc>
        <w:tc>
          <w:tcPr>
            <w:tcW w:w="879" w:type="dxa"/>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c>
          <w:tcPr>
            <w:tcW w:w="851"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27</w:t>
            </w:r>
          </w:p>
        </w:tc>
        <w:tc>
          <w:tcPr>
            <w:tcW w:w="879" w:type="dxa"/>
            <w:tcBorders>
              <w:right w:val="single" w:sz="4" w:space="0" w:color="auto"/>
            </w:tcBorders>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29</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27</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val="restart"/>
            <w:tcBorders>
              <w:left w:val="single" w:sz="4" w:space="0" w:color="auto"/>
              <w:right w:val="nil"/>
            </w:tcBorders>
            <w:shd w:val="clear" w:color="000000" w:fill="FFFFFF"/>
            <w:vAlign w:val="center"/>
            <w:hideMark/>
          </w:tcPr>
          <w:p w:rsidR="0026560A" w:rsidRPr="00632720" w:rsidRDefault="0026560A" w:rsidP="003C79F3">
            <w:pPr>
              <w:jc w:val="center"/>
              <w:rPr>
                <w:rFonts w:ascii="Arial Narrow" w:hAnsi="Arial Narrow"/>
                <w:b/>
                <w:bCs/>
                <w:color w:val="000000"/>
                <w:sz w:val="16"/>
                <w:szCs w:val="16"/>
              </w:rPr>
            </w:pPr>
            <w:r>
              <w:rPr>
                <w:rFonts w:ascii="Arial Narrow" w:hAnsi="Arial Narrow"/>
                <w:b/>
                <w:bCs/>
                <w:color w:val="000000"/>
                <w:sz w:val="16"/>
                <w:szCs w:val="16"/>
              </w:rPr>
              <w:t>25</w:t>
            </w:r>
          </w:p>
        </w:tc>
        <w:tc>
          <w:tcPr>
            <w:tcW w:w="3446" w:type="dxa"/>
            <w:vMerge w:val="restart"/>
            <w:tcBorders>
              <w:left w:val="nil"/>
              <w:right w:val="nil"/>
            </w:tcBorders>
            <w:shd w:val="clear" w:color="000000" w:fill="FFFFFF"/>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Αποκεντρωμένη Διοίκηση Ηπείρου - Δυτικής Μακ</w:t>
            </w:r>
            <w:r w:rsidRPr="00632720">
              <w:rPr>
                <w:rFonts w:ascii="Arial Narrow" w:hAnsi="Arial Narrow"/>
                <w:b/>
                <w:bCs/>
                <w:color w:val="000000"/>
                <w:sz w:val="16"/>
                <w:szCs w:val="16"/>
              </w:rPr>
              <w:t>ε</w:t>
            </w:r>
            <w:r w:rsidRPr="00632720">
              <w:rPr>
                <w:rFonts w:ascii="Arial Narrow" w:hAnsi="Arial Narrow"/>
                <w:b/>
                <w:bCs/>
                <w:color w:val="000000"/>
                <w:sz w:val="16"/>
                <w:szCs w:val="16"/>
              </w:rPr>
              <w:t>δονίας</w:t>
            </w:r>
          </w:p>
        </w:tc>
        <w:tc>
          <w:tcPr>
            <w:tcW w:w="2268" w:type="dxa"/>
            <w:tcBorders>
              <w:left w:val="nil"/>
            </w:tcBorders>
            <w:shd w:val="clear" w:color="000000" w:fill="D8D8D8"/>
            <w:noWrap/>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20</w:t>
            </w:r>
          </w:p>
        </w:tc>
        <w:tc>
          <w:tcPr>
            <w:tcW w:w="879" w:type="dxa"/>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c>
          <w:tcPr>
            <w:tcW w:w="851"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19</w:t>
            </w:r>
          </w:p>
        </w:tc>
        <w:tc>
          <w:tcPr>
            <w:tcW w:w="879" w:type="dxa"/>
            <w:tcBorders>
              <w:right w:val="single" w:sz="4" w:space="0" w:color="auto"/>
            </w:tcBorders>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20</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19</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val="restart"/>
            <w:tcBorders>
              <w:left w:val="single" w:sz="4" w:space="0" w:color="auto"/>
              <w:right w:val="nil"/>
            </w:tcBorders>
            <w:shd w:val="clear" w:color="000000" w:fill="FFFFFF"/>
            <w:vAlign w:val="center"/>
            <w:hideMark/>
          </w:tcPr>
          <w:p w:rsidR="0026560A" w:rsidRPr="00632720" w:rsidRDefault="0026560A" w:rsidP="003C79F3">
            <w:pPr>
              <w:jc w:val="center"/>
              <w:rPr>
                <w:rFonts w:ascii="Arial Narrow" w:hAnsi="Arial Narrow"/>
                <w:b/>
                <w:bCs/>
                <w:color w:val="000000"/>
                <w:sz w:val="16"/>
                <w:szCs w:val="16"/>
              </w:rPr>
            </w:pPr>
            <w:r>
              <w:rPr>
                <w:rFonts w:ascii="Arial Narrow" w:hAnsi="Arial Narrow"/>
                <w:b/>
                <w:bCs/>
                <w:color w:val="000000"/>
                <w:sz w:val="16"/>
                <w:szCs w:val="16"/>
              </w:rPr>
              <w:t>26</w:t>
            </w:r>
          </w:p>
        </w:tc>
        <w:tc>
          <w:tcPr>
            <w:tcW w:w="3446" w:type="dxa"/>
            <w:vMerge w:val="restart"/>
            <w:tcBorders>
              <w:left w:val="nil"/>
              <w:right w:val="nil"/>
            </w:tcBorders>
            <w:shd w:val="clear" w:color="000000" w:fill="FFFFFF"/>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Αποκεντρωμένη Διοίκηση Πελοποννήσου - Δυτικής Ελλάδας και Ιονίου</w:t>
            </w:r>
          </w:p>
        </w:tc>
        <w:tc>
          <w:tcPr>
            <w:tcW w:w="2268" w:type="dxa"/>
            <w:tcBorders>
              <w:left w:val="nil"/>
            </w:tcBorders>
            <w:shd w:val="clear" w:color="000000" w:fill="D8D8D8"/>
            <w:noWrap/>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34</w:t>
            </w:r>
          </w:p>
        </w:tc>
        <w:tc>
          <w:tcPr>
            <w:tcW w:w="879" w:type="dxa"/>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c>
          <w:tcPr>
            <w:tcW w:w="851"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33</w:t>
            </w:r>
          </w:p>
        </w:tc>
        <w:tc>
          <w:tcPr>
            <w:tcW w:w="879" w:type="dxa"/>
            <w:tcBorders>
              <w:right w:val="single" w:sz="4" w:space="0" w:color="auto"/>
            </w:tcBorders>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34</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33</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val="restart"/>
            <w:tcBorders>
              <w:left w:val="single" w:sz="4" w:space="0" w:color="auto"/>
              <w:right w:val="nil"/>
            </w:tcBorders>
            <w:shd w:val="clear" w:color="000000" w:fill="FFFFFF"/>
            <w:vAlign w:val="center"/>
            <w:hideMark/>
          </w:tcPr>
          <w:p w:rsidR="0026560A" w:rsidRPr="00632720" w:rsidRDefault="0026560A" w:rsidP="003C79F3">
            <w:pPr>
              <w:jc w:val="center"/>
              <w:rPr>
                <w:rFonts w:ascii="Arial Narrow" w:hAnsi="Arial Narrow"/>
                <w:b/>
                <w:bCs/>
                <w:color w:val="000000"/>
                <w:sz w:val="16"/>
                <w:szCs w:val="16"/>
              </w:rPr>
            </w:pPr>
            <w:r>
              <w:rPr>
                <w:rFonts w:ascii="Arial Narrow" w:hAnsi="Arial Narrow"/>
                <w:b/>
                <w:bCs/>
                <w:color w:val="000000"/>
                <w:sz w:val="16"/>
                <w:szCs w:val="16"/>
              </w:rPr>
              <w:t>27</w:t>
            </w:r>
          </w:p>
        </w:tc>
        <w:tc>
          <w:tcPr>
            <w:tcW w:w="3446" w:type="dxa"/>
            <w:vMerge w:val="restart"/>
            <w:tcBorders>
              <w:left w:val="nil"/>
              <w:right w:val="nil"/>
            </w:tcBorders>
            <w:shd w:val="clear" w:color="000000" w:fill="FFFFFF"/>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Αποκεντρωμένη Διοίκηση Αιγαίου</w:t>
            </w:r>
          </w:p>
        </w:tc>
        <w:tc>
          <w:tcPr>
            <w:tcW w:w="2268" w:type="dxa"/>
            <w:tcBorders>
              <w:left w:val="nil"/>
            </w:tcBorders>
            <w:shd w:val="clear" w:color="000000" w:fill="D8D8D8"/>
            <w:noWrap/>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11</w:t>
            </w:r>
          </w:p>
        </w:tc>
        <w:tc>
          <w:tcPr>
            <w:tcW w:w="879" w:type="dxa"/>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c>
          <w:tcPr>
            <w:tcW w:w="851"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10</w:t>
            </w:r>
          </w:p>
        </w:tc>
        <w:tc>
          <w:tcPr>
            <w:tcW w:w="879" w:type="dxa"/>
            <w:tcBorders>
              <w:right w:val="single" w:sz="4" w:space="0" w:color="auto"/>
            </w:tcBorders>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11</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10</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val="restart"/>
            <w:tcBorders>
              <w:left w:val="single" w:sz="4" w:space="0" w:color="auto"/>
              <w:right w:val="nil"/>
            </w:tcBorders>
            <w:shd w:val="clear" w:color="000000" w:fill="FFFFFF"/>
            <w:vAlign w:val="center"/>
            <w:hideMark/>
          </w:tcPr>
          <w:p w:rsidR="0026560A" w:rsidRPr="00632720" w:rsidRDefault="0026560A" w:rsidP="003C79F3">
            <w:pPr>
              <w:jc w:val="center"/>
              <w:rPr>
                <w:rFonts w:ascii="Arial Narrow" w:hAnsi="Arial Narrow"/>
                <w:b/>
                <w:bCs/>
                <w:color w:val="000000"/>
                <w:sz w:val="16"/>
                <w:szCs w:val="16"/>
              </w:rPr>
            </w:pPr>
            <w:r>
              <w:rPr>
                <w:rFonts w:ascii="Arial Narrow" w:hAnsi="Arial Narrow"/>
                <w:b/>
                <w:bCs/>
                <w:color w:val="000000"/>
                <w:sz w:val="16"/>
                <w:szCs w:val="16"/>
              </w:rPr>
              <w:t>28</w:t>
            </w:r>
          </w:p>
        </w:tc>
        <w:tc>
          <w:tcPr>
            <w:tcW w:w="3446" w:type="dxa"/>
            <w:vMerge w:val="restart"/>
            <w:tcBorders>
              <w:left w:val="nil"/>
              <w:right w:val="nil"/>
            </w:tcBorders>
            <w:shd w:val="clear" w:color="000000" w:fill="FFFFFF"/>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Αποκεντρωμένη Διοίκηση Κρήτης</w:t>
            </w:r>
          </w:p>
        </w:tc>
        <w:tc>
          <w:tcPr>
            <w:tcW w:w="2268" w:type="dxa"/>
            <w:tcBorders>
              <w:left w:val="nil"/>
            </w:tcBorders>
            <w:shd w:val="clear" w:color="000000" w:fill="D8D8D8"/>
            <w:noWrap/>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12</w:t>
            </w:r>
          </w:p>
        </w:tc>
        <w:tc>
          <w:tcPr>
            <w:tcW w:w="879" w:type="dxa"/>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c>
          <w:tcPr>
            <w:tcW w:w="851"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11</w:t>
            </w:r>
          </w:p>
        </w:tc>
        <w:tc>
          <w:tcPr>
            <w:tcW w:w="879" w:type="dxa"/>
            <w:tcBorders>
              <w:right w:val="single" w:sz="4" w:space="0" w:color="auto"/>
            </w:tcBorders>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12</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11</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val="restart"/>
            <w:tcBorders>
              <w:left w:val="single" w:sz="4" w:space="0" w:color="auto"/>
              <w:right w:val="nil"/>
            </w:tcBorders>
            <w:shd w:val="clear" w:color="000000" w:fill="FFFFFF"/>
            <w:vAlign w:val="center"/>
            <w:hideMark/>
          </w:tcPr>
          <w:p w:rsidR="0026560A" w:rsidRPr="00632720" w:rsidRDefault="0026560A" w:rsidP="003C79F3">
            <w:pPr>
              <w:jc w:val="center"/>
              <w:rPr>
                <w:rFonts w:ascii="Arial Narrow" w:hAnsi="Arial Narrow"/>
                <w:b/>
                <w:bCs/>
                <w:color w:val="000000"/>
                <w:sz w:val="16"/>
                <w:szCs w:val="16"/>
              </w:rPr>
            </w:pPr>
            <w:r>
              <w:rPr>
                <w:rFonts w:ascii="Arial Narrow" w:hAnsi="Arial Narrow"/>
                <w:b/>
                <w:bCs/>
                <w:color w:val="000000"/>
                <w:sz w:val="16"/>
                <w:szCs w:val="16"/>
              </w:rPr>
              <w:t>29</w:t>
            </w:r>
          </w:p>
        </w:tc>
        <w:tc>
          <w:tcPr>
            <w:tcW w:w="3446" w:type="dxa"/>
            <w:vMerge w:val="restart"/>
            <w:tcBorders>
              <w:left w:val="nil"/>
              <w:right w:val="nil"/>
            </w:tcBorders>
            <w:shd w:val="clear" w:color="000000" w:fill="FFFFFF"/>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Αποκεντρωμένη Διοίκηση Μακεδονίας - Θράκης</w:t>
            </w:r>
          </w:p>
        </w:tc>
        <w:tc>
          <w:tcPr>
            <w:tcW w:w="2268" w:type="dxa"/>
            <w:tcBorders>
              <w:left w:val="nil"/>
            </w:tcBorders>
            <w:shd w:val="clear" w:color="000000" w:fill="D8D8D8"/>
            <w:noWrap/>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Ταμειακό Σύνολο</w:t>
            </w:r>
          </w:p>
        </w:tc>
        <w:tc>
          <w:tcPr>
            <w:tcW w:w="729"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45</w:t>
            </w:r>
          </w:p>
        </w:tc>
        <w:tc>
          <w:tcPr>
            <w:tcW w:w="879" w:type="dxa"/>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c>
          <w:tcPr>
            <w:tcW w:w="851"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41</w:t>
            </w:r>
          </w:p>
        </w:tc>
        <w:tc>
          <w:tcPr>
            <w:tcW w:w="879" w:type="dxa"/>
            <w:tcBorders>
              <w:right w:val="single" w:sz="4" w:space="0" w:color="auto"/>
            </w:tcBorders>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0</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Τακτικός Προϋπολογισμός</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45</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41</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vMerge/>
            <w:tcBorders>
              <w:left w:val="single" w:sz="4" w:space="0" w:color="auto"/>
              <w:right w:val="nil"/>
            </w:tcBorders>
            <w:vAlign w:val="center"/>
            <w:hideMark/>
          </w:tcPr>
          <w:p w:rsidR="0026560A" w:rsidRPr="00632720" w:rsidRDefault="0026560A" w:rsidP="003C79F3">
            <w:pPr>
              <w:rPr>
                <w:rFonts w:ascii="Arial Narrow" w:hAnsi="Arial Narrow"/>
                <w:b/>
                <w:bCs/>
                <w:color w:val="000000"/>
                <w:sz w:val="16"/>
                <w:szCs w:val="16"/>
              </w:rPr>
            </w:pPr>
          </w:p>
        </w:tc>
        <w:tc>
          <w:tcPr>
            <w:tcW w:w="3446" w:type="dxa"/>
            <w:vMerge/>
            <w:tcBorders>
              <w:left w:val="nil"/>
              <w:right w:val="nil"/>
            </w:tcBorders>
            <w:vAlign w:val="center"/>
            <w:hideMark/>
          </w:tcPr>
          <w:p w:rsidR="0026560A" w:rsidRPr="00632720" w:rsidRDefault="0026560A" w:rsidP="003C79F3">
            <w:pPr>
              <w:rPr>
                <w:rFonts w:ascii="Arial Narrow" w:hAnsi="Arial Narrow"/>
                <w:b/>
                <w:bCs/>
                <w:color w:val="000000"/>
                <w:sz w:val="16"/>
                <w:szCs w:val="16"/>
              </w:rPr>
            </w:pPr>
          </w:p>
        </w:tc>
        <w:tc>
          <w:tcPr>
            <w:tcW w:w="2268" w:type="dxa"/>
            <w:tcBorders>
              <w:left w:val="nil"/>
            </w:tcBorders>
            <w:shd w:val="clear" w:color="000000" w:fill="FFFFFF"/>
            <w:noWrap/>
            <w:vAlign w:val="center"/>
            <w:hideMark/>
          </w:tcPr>
          <w:p w:rsidR="0026560A" w:rsidRPr="00632720" w:rsidRDefault="0026560A" w:rsidP="003C79F3">
            <w:pPr>
              <w:rPr>
                <w:rFonts w:ascii="Arial Narrow" w:hAnsi="Arial Narrow"/>
                <w:color w:val="000000"/>
                <w:sz w:val="16"/>
                <w:szCs w:val="16"/>
              </w:rPr>
            </w:pPr>
            <w:r w:rsidRPr="00632720">
              <w:rPr>
                <w:rFonts w:ascii="Arial Narrow" w:hAnsi="Arial Narrow"/>
                <w:color w:val="000000"/>
                <w:sz w:val="16"/>
                <w:szCs w:val="16"/>
              </w:rPr>
              <w:t>ΠΔΕ</w:t>
            </w:r>
          </w:p>
        </w:tc>
        <w:tc>
          <w:tcPr>
            <w:tcW w:w="729"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0</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color w:val="000000"/>
                <w:sz w:val="16"/>
                <w:szCs w:val="16"/>
              </w:rPr>
            </w:pPr>
            <w:r w:rsidRPr="00A6696F">
              <w:rPr>
                <w:rFonts w:ascii="Arial Narrow" w:hAnsi="Arial Narrow"/>
                <w:color w:val="000000"/>
                <w:sz w:val="16"/>
                <w:szCs w:val="16"/>
              </w:rPr>
              <w:t> </w:t>
            </w:r>
          </w:p>
        </w:tc>
      </w:tr>
      <w:tr w:rsidR="0026560A" w:rsidRPr="00632720" w:rsidTr="0026560A">
        <w:trPr>
          <w:trHeight w:val="20"/>
          <w:jc w:val="center"/>
        </w:trPr>
        <w:tc>
          <w:tcPr>
            <w:tcW w:w="460" w:type="dxa"/>
            <w:tcBorders>
              <w:left w:val="single" w:sz="4" w:space="0" w:color="auto"/>
              <w:right w:val="nil"/>
            </w:tcBorders>
            <w:shd w:val="clear" w:color="000000" w:fill="BFBFBF"/>
            <w:vAlign w:val="center"/>
            <w:hideMark/>
          </w:tcPr>
          <w:p w:rsidR="0026560A" w:rsidRPr="00632720" w:rsidRDefault="0026560A" w:rsidP="003C79F3">
            <w:pPr>
              <w:jc w:val="center"/>
              <w:rPr>
                <w:rFonts w:ascii="Arial Narrow" w:hAnsi="Arial Narrow"/>
                <w:b/>
                <w:bCs/>
                <w:color w:val="000000"/>
                <w:sz w:val="16"/>
                <w:szCs w:val="16"/>
              </w:rPr>
            </w:pPr>
            <w:r w:rsidRPr="00632720">
              <w:rPr>
                <w:rFonts w:ascii="Arial Narrow" w:hAnsi="Arial Narrow"/>
                <w:b/>
                <w:bCs/>
                <w:color w:val="000000"/>
                <w:sz w:val="16"/>
                <w:szCs w:val="16"/>
              </w:rPr>
              <w:t>Ι</w:t>
            </w:r>
          </w:p>
        </w:tc>
        <w:tc>
          <w:tcPr>
            <w:tcW w:w="5714" w:type="dxa"/>
            <w:gridSpan w:val="2"/>
            <w:tcBorders>
              <w:left w:val="nil"/>
            </w:tcBorders>
            <w:shd w:val="clear" w:color="000000" w:fill="BFBFBF"/>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Ταμειακό Σύνολο μη χρηματοοικονομικών δαπανών Κρατικού Προϋπολογισμού</w:t>
            </w:r>
          </w:p>
        </w:tc>
        <w:tc>
          <w:tcPr>
            <w:tcW w:w="729" w:type="dxa"/>
            <w:shd w:val="clear" w:color="000000" w:fill="BFBFBF"/>
            <w:noWrap/>
            <w:vAlign w:val="bottom"/>
            <w:hideMark/>
          </w:tcPr>
          <w:p w:rsidR="0026560A" w:rsidRPr="0026560A" w:rsidRDefault="0026560A" w:rsidP="00324E75">
            <w:pPr>
              <w:jc w:val="right"/>
              <w:rPr>
                <w:rFonts w:ascii="Arial Narrow" w:hAnsi="Arial Narrow"/>
                <w:b/>
                <w:bCs/>
                <w:color w:val="000000"/>
                <w:sz w:val="16"/>
                <w:szCs w:val="16"/>
                <w:lang w:val="en-US"/>
              </w:rPr>
            </w:pPr>
            <w:r>
              <w:rPr>
                <w:rFonts w:ascii="Arial Narrow" w:hAnsi="Arial Narrow"/>
                <w:b/>
                <w:bCs/>
                <w:color w:val="000000"/>
                <w:sz w:val="16"/>
                <w:szCs w:val="16"/>
                <w:lang w:val="en-US"/>
              </w:rPr>
              <w:t>70.774</w:t>
            </w:r>
          </w:p>
        </w:tc>
        <w:tc>
          <w:tcPr>
            <w:tcW w:w="879" w:type="dxa"/>
            <w:shd w:val="clear" w:color="000000" w:fill="BFBFBF"/>
            <w:vAlign w:val="bottom"/>
          </w:tcPr>
          <w:p w:rsidR="0026560A" w:rsidRPr="0026560A" w:rsidRDefault="0026560A" w:rsidP="00422D0C">
            <w:pPr>
              <w:jc w:val="right"/>
              <w:rPr>
                <w:rFonts w:ascii="Arial Narrow" w:hAnsi="Arial Narrow"/>
                <w:b/>
                <w:bCs/>
                <w:color w:val="000000"/>
                <w:sz w:val="16"/>
                <w:szCs w:val="16"/>
                <w:lang w:val="en-US"/>
              </w:rPr>
            </w:pPr>
            <w:r>
              <w:rPr>
                <w:rFonts w:ascii="Arial Narrow" w:hAnsi="Arial Narrow"/>
                <w:b/>
                <w:bCs/>
                <w:color w:val="000000"/>
                <w:sz w:val="16"/>
                <w:szCs w:val="16"/>
                <w:lang w:val="en-US"/>
              </w:rPr>
              <w:t>13.279</w:t>
            </w:r>
          </w:p>
        </w:tc>
        <w:tc>
          <w:tcPr>
            <w:tcW w:w="851" w:type="dxa"/>
            <w:shd w:val="clear" w:color="000000" w:fill="BFBFBF"/>
            <w:noWrap/>
            <w:vAlign w:val="bottom"/>
            <w:hideMark/>
          </w:tcPr>
          <w:p w:rsidR="0026560A" w:rsidRPr="0026560A" w:rsidRDefault="0026560A" w:rsidP="00422D0C">
            <w:pPr>
              <w:jc w:val="right"/>
              <w:rPr>
                <w:rFonts w:ascii="Arial Narrow" w:hAnsi="Arial Narrow"/>
                <w:b/>
                <w:bCs/>
                <w:color w:val="000000"/>
                <w:sz w:val="16"/>
                <w:szCs w:val="16"/>
                <w:lang w:val="en-US"/>
              </w:rPr>
            </w:pPr>
            <w:r>
              <w:rPr>
                <w:rFonts w:ascii="Arial Narrow" w:hAnsi="Arial Narrow"/>
                <w:b/>
                <w:bCs/>
                <w:color w:val="000000"/>
                <w:sz w:val="16"/>
                <w:szCs w:val="16"/>
                <w:lang w:val="en-US"/>
              </w:rPr>
              <w:t>67.811</w:t>
            </w:r>
          </w:p>
        </w:tc>
        <w:tc>
          <w:tcPr>
            <w:tcW w:w="879" w:type="dxa"/>
            <w:tcBorders>
              <w:right w:val="single" w:sz="4" w:space="0" w:color="auto"/>
            </w:tcBorders>
            <w:shd w:val="clear" w:color="000000" w:fill="BFBFBF"/>
            <w:vAlign w:val="bottom"/>
          </w:tcPr>
          <w:p w:rsidR="0026560A" w:rsidRPr="0026560A" w:rsidRDefault="0026560A" w:rsidP="00422D0C">
            <w:pPr>
              <w:jc w:val="right"/>
              <w:rPr>
                <w:rFonts w:ascii="Arial Narrow" w:hAnsi="Arial Narrow"/>
                <w:b/>
                <w:bCs/>
                <w:color w:val="000000"/>
                <w:sz w:val="16"/>
                <w:szCs w:val="16"/>
                <w:lang w:val="en-US"/>
              </w:rPr>
            </w:pPr>
            <w:r>
              <w:rPr>
                <w:rFonts w:ascii="Arial Narrow" w:hAnsi="Arial Narrow"/>
                <w:b/>
                <w:bCs/>
                <w:color w:val="000000"/>
                <w:sz w:val="16"/>
                <w:szCs w:val="16"/>
                <w:lang w:val="en-US"/>
              </w:rPr>
              <w:t>6.513</w:t>
            </w:r>
          </w:p>
        </w:tc>
      </w:tr>
      <w:tr w:rsidR="0026560A" w:rsidRPr="0089538F" w:rsidTr="0026560A">
        <w:trPr>
          <w:trHeight w:val="20"/>
          <w:jc w:val="center"/>
        </w:trPr>
        <w:tc>
          <w:tcPr>
            <w:tcW w:w="460" w:type="dxa"/>
            <w:tcBorders>
              <w:left w:val="single" w:sz="4" w:space="0" w:color="auto"/>
              <w:right w:val="nil"/>
            </w:tcBorders>
            <w:shd w:val="clear" w:color="000000" w:fill="FFFFFF"/>
            <w:vAlign w:val="center"/>
            <w:hideMark/>
          </w:tcPr>
          <w:p w:rsidR="0026560A" w:rsidRPr="0089538F" w:rsidRDefault="0026560A" w:rsidP="003C79F3">
            <w:pPr>
              <w:jc w:val="center"/>
              <w:rPr>
                <w:rFonts w:ascii="Arial Narrow" w:hAnsi="Arial Narrow"/>
                <w:b/>
                <w:bCs/>
                <w:color w:val="000000"/>
                <w:sz w:val="12"/>
                <w:szCs w:val="16"/>
              </w:rPr>
            </w:pPr>
            <w:r w:rsidRPr="0089538F">
              <w:rPr>
                <w:rFonts w:ascii="Arial Narrow" w:hAnsi="Arial Narrow"/>
                <w:b/>
                <w:bCs/>
                <w:color w:val="000000"/>
                <w:sz w:val="12"/>
                <w:szCs w:val="16"/>
              </w:rPr>
              <w:t> </w:t>
            </w:r>
          </w:p>
        </w:tc>
        <w:tc>
          <w:tcPr>
            <w:tcW w:w="3446" w:type="dxa"/>
            <w:tcBorders>
              <w:left w:val="nil"/>
              <w:right w:val="nil"/>
            </w:tcBorders>
            <w:shd w:val="clear" w:color="000000" w:fill="FFFFFF"/>
            <w:vAlign w:val="center"/>
            <w:hideMark/>
          </w:tcPr>
          <w:p w:rsidR="0026560A" w:rsidRPr="0089538F" w:rsidRDefault="0026560A" w:rsidP="003C79F3">
            <w:pPr>
              <w:rPr>
                <w:rFonts w:ascii="Arial Narrow" w:hAnsi="Arial Narrow"/>
                <w:b/>
                <w:bCs/>
                <w:color w:val="000000"/>
                <w:sz w:val="12"/>
                <w:szCs w:val="16"/>
              </w:rPr>
            </w:pPr>
            <w:r w:rsidRPr="0089538F">
              <w:rPr>
                <w:rFonts w:ascii="Arial Narrow" w:hAnsi="Arial Narrow"/>
                <w:b/>
                <w:bCs/>
                <w:color w:val="000000"/>
                <w:sz w:val="12"/>
                <w:szCs w:val="16"/>
              </w:rPr>
              <w:t> </w:t>
            </w:r>
          </w:p>
        </w:tc>
        <w:tc>
          <w:tcPr>
            <w:tcW w:w="2268" w:type="dxa"/>
            <w:tcBorders>
              <w:left w:val="nil"/>
              <w:right w:val="nil"/>
            </w:tcBorders>
            <w:shd w:val="clear" w:color="000000" w:fill="FFFFFF"/>
            <w:vAlign w:val="bottom"/>
            <w:hideMark/>
          </w:tcPr>
          <w:p w:rsidR="0026560A" w:rsidRDefault="0026560A" w:rsidP="00324E75">
            <w:pPr>
              <w:rPr>
                <w:rFonts w:ascii="Arial Narrow" w:hAnsi="Arial Narrow"/>
                <w:b/>
                <w:bCs/>
                <w:color w:val="000000"/>
                <w:sz w:val="16"/>
                <w:szCs w:val="16"/>
              </w:rPr>
            </w:pPr>
          </w:p>
        </w:tc>
        <w:tc>
          <w:tcPr>
            <w:tcW w:w="729" w:type="dxa"/>
            <w:tcBorders>
              <w:left w:val="nil"/>
            </w:tcBorders>
            <w:shd w:val="clear" w:color="000000" w:fill="FFFFFF"/>
            <w:noWrap/>
            <w:vAlign w:val="bottom"/>
            <w:hideMark/>
          </w:tcPr>
          <w:p w:rsidR="0026560A" w:rsidRPr="00A6696F" w:rsidRDefault="0026560A" w:rsidP="00422D0C">
            <w:pPr>
              <w:rPr>
                <w:rFonts w:ascii="Arial Narrow" w:hAnsi="Arial Narrow"/>
                <w:b/>
                <w:bCs/>
                <w:color w:val="000000"/>
                <w:sz w:val="16"/>
                <w:szCs w:val="16"/>
              </w:rPr>
            </w:pPr>
          </w:p>
        </w:tc>
        <w:tc>
          <w:tcPr>
            <w:tcW w:w="879" w:type="dxa"/>
            <w:shd w:val="clear" w:color="000000" w:fill="FFFFFF"/>
            <w:vAlign w:val="bottom"/>
          </w:tcPr>
          <w:p w:rsidR="0026560A" w:rsidRPr="00A6696F" w:rsidRDefault="0026560A" w:rsidP="00422D0C">
            <w:pPr>
              <w:rPr>
                <w:rFonts w:ascii="Arial Narrow" w:hAnsi="Arial Narrow"/>
                <w:b/>
                <w:bCs/>
                <w:color w:val="000000"/>
                <w:sz w:val="16"/>
                <w:szCs w:val="16"/>
              </w:rPr>
            </w:pPr>
          </w:p>
        </w:tc>
        <w:tc>
          <w:tcPr>
            <w:tcW w:w="851" w:type="dxa"/>
            <w:shd w:val="clear" w:color="000000" w:fill="FFFFFF"/>
            <w:noWrap/>
            <w:vAlign w:val="bottom"/>
            <w:hideMark/>
          </w:tcPr>
          <w:p w:rsidR="0026560A" w:rsidRPr="00A6696F" w:rsidRDefault="0026560A" w:rsidP="00422D0C">
            <w:pPr>
              <w:rPr>
                <w:rFonts w:ascii="Arial Narrow" w:hAnsi="Arial Narrow"/>
                <w:b/>
                <w:bCs/>
                <w:color w:val="000000"/>
                <w:sz w:val="16"/>
                <w:szCs w:val="16"/>
              </w:rPr>
            </w:pPr>
          </w:p>
        </w:tc>
        <w:tc>
          <w:tcPr>
            <w:tcW w:w="879" w:type="dxa"/>
            <w:tcBorders>
              <w:right w:val="single" w:sz="4" w:space="0" w:color="auto"/>
            </w:tcBorders>
            <w:shd w:val="clear" w:color="000000" w:fill="FFFFFF"/>
            <w:vAlign w:val="bottom"/>
          </w:tcPr>
          <w:p w:rsidR="0026560A" w:rsidRPr="00A6696F" w:rsidRDefault="0026560A" w:rsidP="00422D0C">
            <w:pPr>
              <w:rPr>
                <w:rFonts w:ascii="Arial Narrow" w:hAnsi="Arial Narrow"/>
                <w:b/>
                <w:bCs/>
                <w:color w:val="000000"/>
                <w:sz w:val="16"/>
                <w:szCs w:val="16"/>
              </w:rPr>
            </w:pPr>
          </w:p>
        </w:tc>
      </w:tr>
      <w:tr w:rsidR="0026560A" w:rsidRPr="00632720" w:rsidTr="0026560A">
        <w:trPr>
          <w:trHeight w:val="20"/>
          <w:jc w:val="center"/>
        </w:trPr>
        <w:tc>
          <w:tcPr>
            <w:tcW w:w="460" w:type="dxa"/>
            <w:tcBorders>
              <w:left w:val="single" w:sz="4" w:space="0" w:color="auto"/>
              <w:right w:val="nil"/>
            </w:tcBorders>
            <w:shd w:val="clear" w:color="000000" w:fill="D8D8D8"/>
            <w:noWrap/>
            <w:vAlign w:val="bottom"/>
            <w:hideMark/>
          </w:tcPr>
          <w:p w:rsidR="0026560A" w:rsidRPr="00632720" w:rsidRDefault="0026560A" w:rsidP="003C79F3">
            <w:pPr>
              <w:jc w:val="center"/>
              <w:rPr>
                <w:rFonts w:ascii="Arial Narrow" w:hAnsi="Arial Narrow"/>
                <w:b/>
                <w:bCs/>
                <w:color w:val="000000"/>
                <w:sz w:val="16"/>
                <w:szCs w:val="16"/>
              </w:rPr>
            </w:pPr>
            <w:r w:rsidRPr="00632720">
              <w:rPr>
                <w:rFonts w:ascii="Arial Narrow" w:hAnsi="Arial Narrow"/>
                <w:b/>
                <w:bCs/>
                <w:color w:val="000000"/>
                <w:sz w:val="16"/>
                <w:szCs w:val="16"/>
              </w:rPr>
              <w:t>Α</w:t>
            </w:r>
          </w:p>
        </w:tc>
        <w:tc>
          <w:tcPr>
            <w:tcW w:w="5714" w:type="dxa"/>
            <w:gridSpan w:val="2"/>
            <w:tcBorders>
              <w:left w:val="nil"/>
            </w:tcBorders>
            <w:shd w:val="clear" w:color="000000" w:fill="D8D8D8"/>
            <w:noWrap/>
            <w:vAlign w:val="bottom"/>
            <w:hideMark/>
          </w:tcPr>
          <w:p w:rsidR="0026560A" w:rsidRPr="00EA3E96" w:rsidRDefault="0026560A" w:rsidP="003C79F3">
            <w:pPr>
              <w:rPr>
                <w:rFonts w:ascii="Arial Narrow" w:hAnsi="Arial Narrow"/>
                <w:b/>
                <w:bCs/>
                <w:color w:val="000000"/>
                <w:sz w:val="16"/>
                <w:szCs w:val="16"/>
                <w:vertAlign w:val="superscript"/>
              </w:rPr>
            </w:pPr>
            <w:r w:rsidRPr="00632720">
              <w:rPr>
                <w:rFonts w:ascii="Arial Narrow" w:hAnsi="Arial Narrow"/>
                <w:b/>
                <w:bCs/>
                <w:color w:val="000000"/>
                <w:sz w:val="16"/>
                <w:szCs w:val="16"/>
              </w:rPr>
              <w:t>Σύνολο δαπανών Τακτικού Προϋπολογισμού</w:t>
            </w:r>
            <w:r w:rsidR="00EA3E96">
              <w:rPr>
                <w:rFonts w:ascii="Arial Narrow" w:hAnsi="Arial Narrow"/>
                <w:b/>
                <w:bCs/>
                <w:color w:val="000000"/>
                <w:sz w:val="16"/>
                <w:szCs w:val="16"/>
                <w:vertAlign w:val="superscript"/>
              </w:rPr>
              <w:t>7</w:t>
            </w:r>
          </w:p>
        </w:tc>
        <w:tc>
          <w:tcPr>
            <w:tcW w:w="729"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60.353</w:t>
            </w:r>
          </w:p>
        </w:tc>
        <w:tc>
          <w:tcPr>
            <w:tcW w:w="879" w:type="dxa"/>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8.981</w:t>
            </w:r>
          </w:p>
        </w:tc>
        <w:tc>
          <w:tcPr>
            <w:tcW w:w="851" w:type="dxa"/>
            <w:shd w:val="clear" w:color="000000" w:fill="D8D8D8"/>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58.426</w:t>
            </w:r>
          </w:p>
        </w:tc>
        <w:tc>
          <w:tcPr>
            <w:tcW w:w="879" w:type="dxa"/>
            <w:tcBorders>
              <w:right w:val="single" w:sz="4" w:space="0" w:color="auto"/>
            </w:tcBorders>
            <w:shd w:val="clear" w:color="000000" w:fill="D8D8D8"/>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5.633</w:t>
            </w:r>
          </w:p>
        </w:tc>
      </w:tr>
      <w:tr w:rsidR="0026560A" w:rsidRPr="00632720" w:rsidTr="0026560A">
        <w:trPr>
          <w:trHeight w:val="20"/>
          <w:jc w:val="center"/>
        </w:trPr>
        <w:tc>
          <w:tcPr>
            <w:tcW w:w="460" w:type="dxa"/>
            <w:tcBorders>
              <w:left w:val="single" w:sz="4" w:space="0" w:color="auto"/>
              <w:right w:val="nil"/>
            </w:tcBorders>
            <w:shd w:val="clear" w:color="000000" w:fill="FFFFFF"/>
            <w:vAlign w:val="bottom"/>
            <w:hideMark/>
          </w:tcPr>
          <w:p w:rsidR="0026560A" w:rsidRPr="00632720" w:rsidRDefault="0026560A" w:rsidP="003C79F3">
            <w:pPr>
              <w:jc w:val="center"/>
              <w:rPr>
                <w:rFonts w:ascii="Arial Narrow" w:hAnsi="Arial Narrow"/>
                <w:b/>
                <w:bCs/>
                <w:color w:val="000000"/>
                <w:sz w:val="16"/>
                <w:szCs w:val="16"/>
              </w:rPr>
            </w:pPr>
            <w:r w:rsidRPr="00632720">
              <w:rPr>
                <w:rFonts w:ascii="Arial Narrow" w:hAnsi="Arial Narrow"/>
                <w:b/>
                <w:bCs/>
                <w:color w:val="000000"/>
                <w:sz w:val="16"/>
                <w:szCs w:val="16"/>
              </w:rPr>
              <w:t>Ι</w:t>
            </w:r>
          </w:p>
        </w:tc>
        <w:tc>
          <w:tcPr>
            <w:tcW w:w="5714" w:type="dxa"/>
            <w:gridSpan w:val="2"/>
            <w:tcBorders>
              <w:left w:val="nil"/>
            </w:tcBorders>
            <w:shd w:val="clear" w:color="000000" w:fill="FFFFFF"/>
            <w:noWrap/>
            <w:vAlign w:val="bottom"/>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Πρωτογενείς δαπάνες</w:t>
            </w:r>
          </w:p>
        </w:tc>
        <w:tc>
          <w:tcPr>
            <w:tcW w:w="729" w:type="dxa"/>
            <w:shd w:val="clear" w:color="000000" w:fill="FFFFFF"/>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55.658</w:t>
            </w:r>
          </w:p>
        </w:tc>
        <w:tc>
          <w:tcPr>
            <w:tcW w:w="879" w:type="dxa"/>
            <w:shd w:val="clear" w:color="000000" w:fill="FFFFFF"/>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 </w:t>
            </w:r>
          </w:p>
        </w:tc>
        <w:tc>
          <w:tcPr>
            <w:tcW w:w="851" w:type="dxa"/>
            <w:shd w:val="clear" w:color="000000" w:fill="FFFFFF"/>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53.916</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 </w:t>
            </w:r>
          </w:p>
        </w:tc>
      </w:tr>
      <w:tr w:rsidR="0026560A" w:rsidRPr="007B0026" w:rsidTr="0026560A">
        <w:trPr>
          <w:trHeight w:val="20"/>
          <w:jc w:val="center"/>
        </w:trPr>
        <w:tc>
          <w:tcPr>
            <w:tcW w:w="460" w:type="dxa"/>
            <w:tcBorders>
              <w:left w:val="single" w:sz="4" w:space="0" w:color="auto"/>
              <w:right w:val="nil"/>
            </w:tcBorders>
            <w:shd w:val="clear" w:color="000000" w:fill="FFFFFF"/>
            <w:vAlign w:val="bottom"/>
            <w:hideMark/>
          </w:tcPr>
          <w:p w:rsidR="0026560A" w:rsidRPr="007B0026" w:rsidRDefault="0026560A" w:rsidP="003C79F3">
            <w:pPr>
              <w:jc w:val="center"/>
              <w:rPr>
                <w:rFonts w:ascii="Arial Narrow" w:hAnsi="Arial Narrow"/>
                <w:i/>
                <w:iCs/>
                <w:color w:val="000000"/>
                <w:sz w:val="16"/>
                <w:szCs w:val="16"/>
              </w:rPr>
            </w:pPr>
            <w:r w:rsidRPr="007B0026">
              <w:rPr>
                <w:rFonts w:ascii="Arial Narrow" w:hAnsi="Arial Narrow"/>
                <w:i/>
                <w:iCs/>
                <w:color w:val="000000"/>
                <w:sz w:val="16"/>
                <w:szCs w:val="16"/>
              </w:rPr>
              <w:t> </w:t>
            </w:r>
          </w:p>
        </w:tc>
        <w:tc>
          <w:tcPr>
            <w:tcW w:w="5714" w:type="dxa"/>
            <w:gridSpan w:val="2"/>
            <w:tcBorders>
              <w:left w:val="nil"/>
            </w:tcBorders>
            <w:shd w:val="clear" w:color="000000" w:fill="FFFFFF"/>
            <w:noWrap/>
            <w:vAlign w:val="bottom"/>
            <w:hideMark/>
          </w:tcPr>
          <w:p w:rsidR="0026560A" w:rsidRPr="007B0026" w:rsidRDefault="0026560A" w:rsidP="003C79F3">
            <w:pPr>
              <w:rPr>
                <w:rFonts w:ascii="Arial Narrow" w:hAnsi="Arial Narrow"/>
                <w:i/>
                <w:iCs/>
                <w:color w:val="000000"/>
                <w:sz w:val="16"/>
                <w:szCs w:val="16"/>
                <w:u w:val="single"/>
              </w:rPr>
            </w:pPr>
            <w:r w:rsidRPr="007B0026">
              <w:rPr>
                <w:rFonts w:ascii="Arial Narrow" w:hAnsi="Arial Narrow"/>
                <w:i/>
                <w:iCs/>
                <w:color w:val="000000"/>
                <w:sz w:val="16"/>
                <w:szCs w:val="16"/>
                <w:u w:val="single"/>
              </w:rPr>
              <w:t>εκ των οποίων:</w:t>
            </w:r>
          </w:p>
        </w:tc>
        <w:tc>
          <w:tcPr>
            <w:tcW w:w="729" w:type="dxa"/>
            <w:shd w:val="clear" w:color="000000" w:fill="FFFFFF"/>
            <w:noWrap/>
            <w:vAlign w:val="bottom"/>
            <w:hideMark/>
          </w:tcPr>
          <w:p w:rsidR="0026560A" w:rsidRPr="00A6696F" w:rsidRDefault="0026560A" w:rsidP="00422D0C">
            <w:pPr>
              <w:rPr>
                <w:rFonts w:ascii="Arial Narrow" w:hAnsi="Arial Narrow"/>
                <w:color w:val="000000"/>
                <w:sz w:val="16"/>
                <w:szCs w:val="16"/>
              </w:rPr>
            </w:pPr>
            <w:r w:rsidRPr="00A6696F">
              <w:rPr>
                <w:rFonts w:ascii="Arial Narrow" w:hAnsi="Arial Narrow"/>
                <w:color w:val="000000"/>
                <w:sz w:val="16"/>
                <w:szCs w:val="16"/>
              </w:rPr>
              <w:t> </w:t>
            </w:r>
          </w:p>
        </w:tc>
        <w:tc>
          <w:tcPr>
            <w:tcW w:w="879" w:type="dxa"/>
            <w:shd w:val="clear" w:color="000000" w:fill="FFFFFF"/>
            <w:vAlign w:val="bottom"/>
          </w:tcPr>
          <w:p w:rsidR="0026560A" w:rsidRPr="00A6696F" w:rsidRDefault="0026560A" w:rsidP="00422D0C">
            <w:pPr>
              <w:rPr>
                <w:rFonts w:ascii="Arial Narrow" w:hAnsi="Arial Narrow"/>
                <w:color w:val="000000"/>
                <w:sz w:val="16"/>
                <w:szCs w:val="16"/>
              </w:rPr>
            </w:pPr>
            <w:r w:rsidRPr="00A6696F">
              <w:rPr>
                <w:rFonts w:ascii="Arial Narrow" w:hAnsi="Arial Narrow"/>
                <w:color w:val="000000"/>
                <w:sz w:val="16"/>
                <w:szCs w:val="16"/>
              </w:rPr>
              <w:t> </w:t>
            </w:r>
          </w:p>
        </w:tc>
        <w:tc>
          <w:tcPr>
            <w:tcW w:w="851" w:type="dxa"/>
            <w:shd w:val="clear" w:color="000000" w:fill="FFFFFF"/>
            <w:noWrap/>
            <w:vAlign w:val="bottom"/>
            <w:hideMark/>
          </w:tcPr>
          <w:p w:rsidR="0026560A" w:rsidRPr="00A6696F" w:rsidRDefault="0026560A" w:rsidP="00422D0C">
            <w:pPr>
              <w:rPr>
                <w:rFonts w:ascii="Arial Narrow" w:hAnsi="Arial Narrow"/>
                <w:color w:val="000000"/>
                <w:sz w:val="16"/>
                <w:szCs w:val="16"/>
              </w:rPr>
            </w:pPr>
            <w:r w:rsidRPr="00A6696F">
              <w:rPr>
                <w:rFonts w:ascii="Arial Narrow" w:hAnsi="Arial Narrow"/>
                <w:color w:val="000000"/>
                <w:sz w:val="16"/>
                <w:szCs w:val="16"/>
              </w:rPr>
              <w:t> </w:t>
            </w:r>
          </w:p>
        </w:tc>
        <w:tc>
          <w:tcPr>
            <w:tcW w:w="879" w:type="dxa"/>
            <w:tcBorders>
              <w:right w:val="single" w:sz="4" w:space="0" w:color="auto"/>
            </w:tcBorders>
            <w:shd w:val="clear" w:color="000000" w:fill="FFFFFF"/>
            <w:vAlign w:val="bottom"/>
          </w:tcPr>
          <w:p w:rsidR="0026560A" w:rsidRPr="00A6696F" w:rsidRDefault="0026560A" w:rsidP="00422D0C">
            <w:pPr>
              <w:rPr>
                <w:rFonts w:ascii="Arial Narrow" w:hAnsi="Arial Narrow"/>
                <w:color w:val="000000"/>
                <w:sz w:val="16"/>
                <w:szCs w:val="16"/>
              </w:rPr>
            </w:pPr>
            <w:r w:rsidRPr="00A6696F">
              <w:rPr>
                <w:rFonts w:ascii="Arial Narrow" w:hAnsi="Arial Narrow"/>
                <w:color w:val="000000"/>
                <w:sz w:val="16"/>
                <w:szCs w:val="16"/>
              </w:rPr>
              <w:t> </w:t>
            </w:r>
          </w:p>
        </w:tc>
      </w:tr>
      <w:tr w:rsidR="0026560A" w:rsidRPr="007B0026" w:rsidTr="0026560A">
        <w:trPr>
          <w:trHeight w:val="20"/>
          <w:jc w:val="center"/>
        </w:trPr>
        <w:tc>
          <w:tcPr>
            <w:tcW w:w="460" w:type="dxa"/>
            <w:tcBorders>
              <w:left w:val="single" w:sz="4" w:space="0" w:color="auto"/>
              <w:right w:val="nil"/>
            </w:tcBorders>
            <w:shd w:val="clear" w:color="000000" w:fill="FFFFFF"/>
            <w:vAlign w:val="center"/>
            <w:hideMark/>
          </w:tcPr>
          <w:p w:rsidR="0026560A" w:rsidRPr="007B0026" w:rsidRDefault="0026560A" w:rsidP="003C79F3">
            <w:pPr>
              <w:jc w:val="center"/>
              <w:rPr>
                <w:rFonts w:ascii="Arial Narrow" w:hAnsi="Arial Narrow"/>
                <w:i/>
                <w:iCs/>
                <w:color w:val="000000"/>
                <w:sz w:val="16"/>
                <w:szCs w:val="16"/>
              </w:rPr>
            </w:pPr>
            <w:r w:rsidRPr="007B0026">
              <w:rPr>
                <w:rFonts w:ascii="Arial Narrow" w:hAnsi="Arial Narrow"/>
                <w:i/>
                <w:iCs/>
                <w:color w:val="000000"/>
                <w:sz w:val="16"/>
                <w:szCs w:val="16"/>
              </w:rPr>
              <w:t> </w:t>
            </w:r>
          </w:p>
        </w:tc>
        <w:tc>
          <w:tcPr>
            <w:tcW w:w="5714" w:type="dxa"/>
            <w:gridSpan w:val="2"/>
            <w:tcBorders>
              <w:left w:val="nil"/>
            </w:tcBorders>
            <w:shd w:val="clear" w:color="000000" w:fill="FFFFFF"/>
            <w:vAlign w:val="center"/>
            <w:hideMark/>
          </w:tcPr>
          <w:p w:rsidR="0026560A" w:rsidRPr="007B0026" w:rsidRDefault="0026560A" w:rsidP="003C79F3">
            <w:pPr>
              <w:rPr>
                <w:rFonts w:ascii="Arial Narrow" w:hAnsi="Arial Narrow"/>
                <w:i/>
                <w:iCs/>
                <w:color w:val="000000"/>
                <w:sz w:val="16"/>
                <w:szCs w:val="16"/>
              </w:rPr>
            </w:pPr>
            <w:r w:rsidRPr="007B0026">
              <w:rPr>
                <w:rFonts w:ascii="Arial Narrow" w:hAnsi="Arial Narrow"/>
                <w:i/>
                <w:iCs/>
                <w:color w:val="000000"/>
                <w:sz w:val="16"/>
                <w:szCs w:val="16"/>
              </w:rPr>
              <w:t>Δαπάνες ανάληψης δανείων από τον Ευρωπαϊκό Μηχανισμό Στήριξης (ΕΜΣ) και παράλληλες δαπάνες Δημοσίου Χρέους</w:t>
            </w:r>
          </w:p>
        </w:tc>
        <w:tc>
          <w:tcPr>
            <w:tcW w:w="729" w:type="dxa"/>
            <w:shd w:val="clear" w:color="000000" w:fill="FFFFFF"/>
            <w:noWrap/>
            <w:vAlign w:val="bottom"/>
            <w:hideMark/>
          </w:tcPr>
          <w:p w:rsidR="0026560A" w:rsidRPr="00A6696F" w:rsidRDefault="0026560A" w:rsidP="00422D0C">
            <w:pPr>
              <w:jc w:val="right"/>
              <w:rPr>
                <w:rFonts w:ascii="Arial Narrow" w:hAnsi="Arial Narrow"/>
                <w:i/>
                <w:iCs/>
                <w:color w:val="000000"/>
                <w:sz w:val="16"/>
                <w:szCs w:val="16"/>
              </w:rPr>
            </w:pPr>
            <w:r w:rsidRPr="00A6696F">
              <w:rPr>
                <w:rFonts w:ascii="Arial Narrow" w:hAnsi="Arial Narrow"/>
                <w:i/>
                <w:iCs/>
                <w:color w:val="000000"/>
                <w:sz w:val="16"/>
                <w:szCs w:val="16"/>
              </w:rPr>
              <w:t>43</w:t>
            </w:r>
          </w:p>
        </w:tc>
        <w:tc>
          <w:tcPr>
            <w:tcW w:w="879" w:type="dxa"/>
            <w:shd w:val="clear" w:color="000000" w:fill="FFFFFF"/>
            <w:vAlign w:val="bottom"/>
          </w:tcPr>
          <w:p w:rsidR="0026560A" w:rsidRPr="00A6696F" w:rsidRDefault="0026560A" w:rsidP="00422D0C">
            <w:pPr>
              <w:jc w:val="right"/>
              <w:rPr>
                <w:rFonts w:ascii="Arial Narrow" w:hAnsi="Arial Narrow"/>
                <w:i/>
                <w:iCs/>
                <w:color w:val="000000"/>
                <w:sz w:val="16"/>
                <w:szCs w:val="16"/>
              </w:rPr>
            </w:pPr>
            <w:r w:rsidRPr="00A6696F">
              <w:rPr>
                <w:rFonts w:ascii="Arial Narrow" w:hAnsi="Arial Narrow"/>
                <w:i/>
                <w:iCs/>
                <w:color w:val="000000"/>
                <w:sz w:val="16"/>
                <w:szCs w:val="16"/>
              </w:rPr>
              <w:t> </w:t>
            </w:r>
          </w:p>
        </w:tc>
        <w:tc>
          <w:tcPr>
            <w:tcW w:w="851" w:type="dxa"/>
            <w:shd w:val="clear" w:color="000000" w:fill="FFFFFF"/>
            <w:noWrap/>
            <w:vAlign w:val="bottom"/>
            <w:hideMark/>
          </w:tcPr>
          <w:p w:rsidR="0026560A" w:rsidRPr="00A6696F" w:rsidRDefault="0026560A" w:rsidP="00422D0C">
            <w:pPr>
              <w:jc w:val="right"/>
              <w:rPr>
                <w:rFonts w:ascii="Arial Narrow" w:hAnsi="Arial Narrow"/>
                <w:i/>
                <w:iCs/>
                <w:color w:val="000000"/>
                <w:sz w:val="16"/>
                <w:szCs w:val="16"/>
              </w:rPr>
            </w:pPr>
            <w:r w:rsidRPr="00A6696F">
              <w:rPr>
                <w:rFonts w:ascii="Arial Narrow" w:hAnsi="Arial Narrow"/>
                <w:i/>
                <w:iCs/>
                <w:color w:val="000000"/>
                <w:sz w:val="16"/>
                <w:szCs w:val="16"/>
              </w:rPr>
              <w:t>40</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i/>
                <w:iCs/>
                <w:color w:val="000000"/>
                <w:sz w:val="16"/>
                <w:szCs w:val="16"/>
              </w:rPr>
            </w:pPr>
            <w:r w:rsidRPr="00A6696F">
              <w:rPr>
                <w:rFonts w:ascii="Arial Narrow" w:hAnsi="Arial Narrow"/>
                <w:i/>
                <w:iCs/>
                <w:color w:val="000000"/>
                <w:sz w:val="16"/>
                <w:szCs w:val="16"/>
              </w:rPr>
              <w:t> </w:t>
            </w:r>
          </w:p>
        </w:tc>
      </w:tr>
      <w:tr w:rsidR="0026560A" w:rsidRPr="007B0026" w:rsidTr="0026560A">
        <w:trPr>
          <w:trHeight w:val="20"/>
          <w:jc w:val="center"/>
        </w:trPr>
        <w:tc>
          <w:tcPr>
            <w:tcW w:w="460" w:type="dxa"/>
            <w:tcBorders>
              <w:left w:val="single" w:sz="4" w:space="0" w:color="auto"/>
              <w:right w:val="nil"/>
            </w:tcBorders>
            <w:shd w:val="clear" w:color="000000" w:fill="FFFFFF"/>
            <w:vAlign w:val="center"/>
            <w:hideMark/>
          </w:tcPr>
          <w:p w:rsidR="0026560A" w:rsidRPr="007B0026" w:rsidRDefault="0026560A" w:rsidP="003C79F3">
            <w:pPr>
              <w:jc w:val="center"/>
              <w:rPr>
                <w:rFonts w:ascii="Arial Narrow" w:hAnsi="Arial Narrow"/>
                <w:i/>
                <w:iCs/>
                <w:color w:val="000000"/>
                <w:sz w:val="16"/>
                <w:szCs w:val="16"/>
              </w:rPr>
            </w:pPr>
            <w:r w:rsidRPr="007B0026">
              <w:rPr>
                <w:rFonts w:ascii="Arial Narrow" w:hAnsi="Arial Narrow"/>
                <w:i/>
                <w:iCs/>
                <w:color w:val="000000"/>
                <w:sz w:val="16"/>
                <w:szCs w:val="16"/>
              </w:rPr>
              <w:t> </w:t>
            </w:r>
          </w:p>
        </w:tc>
        <w:tc>
          <w:tcPr>
            <w:tcW w:w="5714" w:type="dxa"/>
            <w:gridSpan w:val="2"/>
            <w:tcBorders>
              <w:left w:val="nil"/>
            </w:tcBorders>
            <w:shd w:val="clear" w:color="000000" w:fill="FFFFFF"/>
            <w:vAlign w:val="center"/>
            <w:hideMark/>
          </w:tcPr>
          <w:p w:rsidR="0026560A" w:rsidRPr="007B0026" w:rsidRDefault="0026560A" w:rsidP="003C79F3">
            <w:pPr>
              <w:rPr>
                <w:rFonts w:ascii="Arial Narrow" w:hAnsi="Arial Narrow"/>
                <w:i/>
                <w:iCs/>
                <w:color w:val="000000"/>
                <w:sz w:val="16"/>
                <w:szCs w:val="16"/>
              </w:rPr>
            </w:pPr>
            <w:r w:rsidRPr="007B0026">
              <w:rPr>
                <w:rFonts w:ascii="Arial Narrow" w:hAnsi="Arial Narrow"/>
                <w:i/>
                <w:iCs/>
                <w:color w:val="000000"/>
                <w:sz w:val="16"/>
                <w:szCs w:val="16"/>
              </w:rPr>
              <w:t xml:space="preserve">Αγορές οπλικών συστημάτων από εξοπλιστικά προγράμματα </w:t>
            </w:r>
          </w:p>
        </w:tc>
        <w:tc>
          <w:tcPr>
            <w:tcW w:w="729" w:type="dxa"/>
            <w:shd w:val="clear" w:color="000000" w:fill="FFFFFF"/>
            <w:noWrap/>
            <w:vAlign w:val="bottom"/>
            <w:hideMark/>
          </w:tcPr>
          <w:p w:rsidR="0026560A" w:rsidRPr="00A6696F" w:rsidRDefault="0026560A" w:rsidP="00422D0C">
            <w:pPr>
              <w:jc w:val="right"/>
              <w:rPr>
                <w:rFonts w:ascii="Arial Narrow" w:hAnsi="Arial Narrow"/>
                <w:i/>
                <w:iCs/>
                <w:color w:val="000000"/>
                <w:sz w:val="16"/>
                <w:szCs w:val="16"/>
              </w:rPr>
            </w:pPr>
            <w:r w:rsidRPr="00A6696F">
              <w:rPr>
                <w:rFonts w:ascii="Arial Narrow" w:hAnsi="Arial Narrow"/>
                <w:i/>
                <w:iCs/>
                <w:color w:val="000000"/>
                <w:sz w:val="16"/>
                <w:szCs w:val="16"/>
              </w:rPr>
              <w:t>515</w:t>
            </w:r>
          </w:p>
        </w:tc>
        <w:tc>
          <w:tcPr>
            <w:tcW w:w="879" w:type="dxa"/>
            <w:shd w:val="clear" w:color="000000" w:fill="FFFFFF"/>
            <w:vAlign w:val="bottom"/>
          </w:tcPr>
          <w:p w:rsidR="0026560A" w:rsidRPr="00A6696F" w:rsidRDefault="0026560A" w:rsidP="00422D0C">
            <w:pPr>
              <w:jc w:val="right"/>
              <w:rPr>
                <w:rFonts w:ascii="Arial Narrow" w:hAnsi="Arial Narrow"/>
                <w:i/>
                <w:iCs/>
                <w:color w:val="000000"/>
                <w:sz w:val="16"/>
                <w:szCs w:val="16"/>
              </w:rPr>
            </w:pPr>
            <w:r w:rsidRPr="00A6696F">
              <w:rPr>
                <w:rFonts w:ascii="Arial Narrow" w:hAnsi="Arial Narrow"/>
                <w:i/>
                <w:iCs/>
                <w:color w:val="000000"/>
                <w:sz w:val="16"/>
                <w:szCs w:val="16"/>
              </w:rPr>
              <w:t> </w:t>
            </w:r>
          </w:p>
        </w:tc>
        <w:tc>
          <w:tcPr>
            <w:tcW w:w="851" w:type="dxa"/>
            <w:shd w:val="clear" w:color="000000" w:fill="FFFFFF"/>
            <w:noWrap/>
            <w:vAlign w:val="bottom"/>
            <w:hideMark/>
          </w:tcPr>
          <w:p w:rsidR="0026560A" w:rsidRPr="00A6696F" w:rsidRDefault="0026560A" w:rsidP="00422D0C">
            <w:pPr>
              <w:jc w:val="right"/>
              <w:rPr>
                <w:rFonts w:ascii="Arial Narrow" w:hAnsi="Arial Narrow"/>
                <w:i/>
                <w:iCs/>
                <w:color w:val="000000"/>
                <w:sz w:val="16"/>
                <w:szCs w:val="16"/>
              </w:rPr>
            </w:pPr>
            <w:r w:rsidRPr="00A6696F">
              <w:rPr>
                <w:rFonts w:ascii="Arial Narrow" w:hAnsi="Arial Narrow"/>
                <w:i/>
                <w:iCs/>
                <w:color w:val="000000"/>
                <w:sz w:val="16"/>
                <w:szCs w:val="16"/>
              </w:rPr>
              <w:t>2.519</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i/>
                <w:iCs/>
                <w:color w:val="000000"/>
                <w:sz w:val="16"/>
                <w:szCs w:val="16"/>
              </w:rPr>
            </w:pPr>
            <w:r w:rsidRPr="00A6696F">
              <w:rPr>
                <w:rFonts w:ascii="Arial Narrow" w:hAnsi="Arial Narrow"/>
                <w:i/>
                <w:iCs/>
                <w:color w:val="000000"/>
                <w:sz w:val="16"/>
                <w:szCs w:val="16"/>
              </w:rPr>
              <w:t> </w:t>
            </w:r>
          </w:p>
        </w:tc>
      </w:tr>
      <w:tr w:rsidR="0026560A" w:rsidRPr="007B0026" w:rsidTr="0026560A">
        <w:trPr>
          <w:trHeight w:val="20"/>
          <w:jc w:val="center"/>
        </w:trPr>
        <w:tc>
          <w:tcPr>
            <w:tcW w:w="460" w:type="dxa"/>
            <w:tcBorders>
              <w:left w:val="single" w:sz="4" w:space="0" w:color="auto"/>
              <w:right w:val="nil"/>
            </w:tcBorders>
            <w:shd w:val="clear" w:color="000000" w:fill="FFFFFF"/>
            <w:vAlign w:val="center"/>
            <w:hideMark/>
          </w:tcPr>
          <w:p w:rsidR="0026560A" w:rsidRPr="007B0026" w:rsidRDefault="0026560A" w:rsidP="003C79F3">
            <w:pPr>
              <w:jc w:val="center"/>
              <w:rPr>
                <w:rFonts w:ascii="Arial Narrow" w:hAnsi="Arial Narrow"/>
                <w:i/>
                <w:iCs/>
                <w:color w:val="000000"/>
                <w:sz w:val="16"/>
                <w:szCs w:val="16"/>
              </w:rPr>
            </w:pPr>
            <w:r w:rsidRPr="007B0026">
              <w:rPr>
                <w:rFonts w:ascii="Arial Narrow" w:hAnsi="Arial Narrow"/>
                <w:i/>
                <w:iCs/>
                <w:color w:val="000000"/>
                <w:sz w:val="16"/>
                <w:szCs w:val="16"/>
              </w:rPr>
              <w:t> </w:t>
            </w:r>
          </w:p>
        </w:tc>
        <w:tc>
          <w:tcPr>
            <w:tcW w:w="5714" w:type="dxa"/>
            <w:gridSpan w:val="2"/>
            <w:tcBorders>
              <w:left w:val="nil"/>
            </w:tcBorders>
            <w:shd w:val="clear" w:color="000000" w:fill="FFFFFF"/>
            <w:vAlign w:val="center"/>
            <w:hideMark/>
          </w:tcPr>
          <w:p w:rsidR="0026560A" w:rsidRPr="007B0026" w:rsidRDefault="0026560A" w:rsidP="003C79F3">
            <w:pPr>
              <w:rPr>
                <w:rFonts w:ascii="Arial Narrow" w:hAnsi="Arial Narrow"/>
                <w:i/>
                <w:iCs/>
                <w:color w:val="000000"/>
                <w:sz w:val="16"/>
                <w:szCs w:val="16"/>
              </w:rPr>
            </w:pPr>
            <w:r w:rsidRPr="007B0026">
              <w:rPr>
                <w:rFonts w:ascii="Arial Narrow" w:hAnsi="Arial Narrow"/>
                <w:i/>
                <w:iCs/>
                <w:color w:val="000000"/>
                <w:sz w:val="16"/>
                <w:szCs w:val="16"/>
              </w:rPr>
              <w:t>Καταπτώσεις εγγυήσεων (σε ακαθάριστη βάση)</w:t>
            </w:r>
          </w:p>
        </w:tc>
        <w:tc>
          <w:tcPr>
            <w:tcW w:w="729" w:type="dxa"/>
            <w:shd w:val="clear" w:color="000000" w:fill="FFFFFF"/>
            <w:noWrap/>
            <w:vAlign w:val="bottom"/>
            <w:hideMark/>
          </w:tcPr>
          <w:p w:rsidR="0026560A" w:rsidRPr="00A6696F" w:rsidRDefault="0026560A" w:rsidP="00422D0C">
            <w:pPr>
              <w:jc w:val="right"/>
              <w:rPr>
                <w:rFonts w:ascii="Arial Narrow" w:hAnsi="Arial Narrow"/>
                <w:i/>
                <w:iCs/>
                <w:color w:val="000000"/>
                <w:sz w:val="16"/>
                <w:szCs w:val="16"/>
              </w:rPr>
            </w:pPr>
            <w:r w:rsidRPr="00A6696F">
              <w:rPr>
                <w:rFonts w:ascii="Arial Narrow" w:hAnsi="Arial Narrow"/>
                <w:i/>
                <w:iCs/>
                <w:color w:val="000000"/>
                <w:sz w:val="16"/>
                <w:szCs w:val="16"/>
              </w:rPr>
              <w:t>702</w:t>
            </w:r>
          </w:p>
        </w:tc>
        <w:tc>
          <w:tcPr>
            <w:tcW w:w="879" w:type="dxa"/>
            <w:shd w:val="clear" w:color="000000" w:fill="FFFFFF"/>
            <w:vAlign w:val="bottom"/>
          </w:tcPr>
          <w:p w:rsidR="0026560A" w:rsidRPr="00A6696F" w:rsidRDefault="0026560A" w:rsidP="00422D0C">
            <w:pPr>
              <w:jc w:val="right"/>
              <w:rPr>
                <w:rFonts w:ascii="Arial Narrow" w:hAnsi="Arial Narrow"/>
                <w:i/>
                <w:iCs/>
                <w:color w:val="000000"/>
                <w:sz w:val="16"/>
                <w:szCs w:val="16"/>
              </w:rPr>
            </w:pPr>
            <w:r w:rsidRPr="00A6696F">
              <w:rPr>
                <w:rFonts w:ascii="Arial Narrow" w:hAnsi="Arial Narrow"/>
                <w:i/>
                <w:iCs/>
                <w:color w:val="000000"/>
                <w:sz w:val="16"/>
                <w:szCs w:val="16"/>
              </w:rPr>
              <w:t> </w:t>
            </w:r>
          </w:p>
        </w:tc>
        <w:tc>
          <w:tcPr>
            <w:tcW w:w="851" w:type="dxa"/>
            <w:shd w:val="clear" w:color="000000" w:fill="FFFFFF"/>
            <w:noWrap/>
            <w:vAlign w:val="bottom"/>
            <w:hideMark/>
          </w:tcPr>
          <w:p w:rsidR="0026560A" w:rsidRPr="00A6696F" w:rsidRDefault="0026560A" w:rsidP="00422D0C">
            <w:pPr>
              <w:jc w:val="right"/>
              <w:rPr>
                <w:rFonts w:ascii="Arial Narrow" w:hAnsi="Arial Narrow"/>
                <w:i/>
                <w:iCs/>
                <w:color w:val="000000"/>
                <w:sz w:val="16"/>
                <w:szCs w:val="16"/>
              </w:rPr>
            </w:pPr>
            <w:r w:rsidRPr="00A6696F">
              <w:rPr>
                <w:rFonts w:ascii="Arial Narrow" w:hAnsi="Arial Narrow"/>
                <w:i/>
                <w:iCs/>
                <w:color w:val="000000"/>
                <w:sz w:val="16"/>
                <w:szCs w:val="16"/>
              </w:rPr>
              <w:t>525</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i/>
                <w:iCs/>
                <w:color w:val="000000"/>
                <w:sz w:val="16"/>
                <w:szCs w:val="16"/>
              </w:rPr>
            </w:pPr>
            <w:r w:rsidRPr="00A6696F">
              <w:rPr>
                <w:rFonts w:ascii="Arial Narrow" w:hAnsi="Arial Narrow"/>
                <w:i/>
                <w:iCs/>
                <w:color w:val="000000"/>
                <w:sz w:val="16"/>
                <w:szCs w:val="16"/>
              </w:rPr>
              <w:t> </w:t>
            </w:r>
          </w:p>
        </w:tc>
      </w:tr>
      <w:tr w:rsidR="0026560A" w:rsidRPr="00632720" w:rsidTr="0026560A">
        <w:trPr>
          <w:trHeight w:val="20"/>
          <w:jc w:val="center"/>
        </w:trPr>
        <w:tc>
          <w:tcPr>
            <w:tcW w:w="460" w:type="dxa"/>
            <w:tcBorders>
              <w:left w:val="single" w:sz="4" w:space="0" w:color="auto"/>
              <w:right w:val="nil"/>
            </w:tcBorders>
            <w:shd w:val="clear" w:color="000000" w:fill="FFFFFF"/>
            <w:vAlign w:val="bottom"/>
            <w:hideMark/>
          </w:tcPr>
          <w:p w:rsidR="0026560A" w:rsidRPr="00632720" w:rsidRDefault="0026560A" w:rsidP="003C79F3">
            <w:pPr>
              <w:jc w:val="center"/>
              <w:rPr>
                <w:rFonts w:ascii="Arial Narrow" w:hAnsi="Arial Narrow"/>
                <w:b/>
                <w:bCs/>
                <w:color w:val="000000"/>
                <w:sz w:val="16"/>
                <w:szCs w:val="16"/>
              </w:rPr>
            </w:pPr>
            <w:r w:rsidRPr="00632720">
              <w:rPr>
                <w:rFonts w:ascii="Arial Narrow" w:hAnsi="Arial Narrow"/>
                <w:b/>
                <w:bCs/>
                <w:color w:val="000000"/>
                <w:sz w:val="16"/>
                <w:szCs w:val="16"/>
              </w:rPr>
              <w:t>ΙΙ</w:t>
            </w:r>
          </w:p>
        </w:tc>
        <w:tc>
          <w:tcPr>
            <w:tcW w:w="5714" w:type="dxa"/>
            <w:gridSpan w:val="2"/>
            <w:tcBorders>
              <w:left w:val="nil"/>
            </w:tcBorders>
            <w:shd w:val="clear" w:color="000000" w:fill="FFFFFF"/>
            <w:noWrap/>
            <w:vAlign w:val="bottom"/>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Τόκοι</w:t>
            </w:r>
          </w:p>
        </w:tc>
        <w:tc>
          <w:tcPr>
            <w:tcW w:w="729" w:type="dxa"/>
            <w:shd w:val="clear" w:color="000000" w:fill="FFFFFF"/>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4.695</w:t>
            </w:r>
          </w:p>
        </w:tc>
        <w:tc>
          <w:tcPr>
            <w:tcW w:w="879" w:type="dxa"/>
            <w:shd w:val="clear" w:color="000000" w:fill="FFFFFF"/>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 </w:t>
            </w:r>
          </w:p>
        </w:tc>
        <w:tc>
          <w:tcPr>
            <w:tcW w:w="851" w:type="dxa"/>
            <w:shd w:val="clear" w:color="000000" w:fill="FFFFFF"/>
            <w:noWrap/>
            <w:vAlign w:val="bottom"/>
            <w:hideMark/>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4.510</w:t>
            </w:r>
          </w:p>
        </w:tc>
        <w:tc>
          <w:tcPr>
            <w:tcW w:w="879" w:type="dxa"/>
            <w:tcBorders>
              <w:right w:val="single" w:sz="4" w:space="0" w:color="auto"/>
            </w:tcBorders>
            <w:shd w:val="clear" w:color="000000" w:fill="FFFFFF"/>
            <w:vAlign w:val="bottom"/>
          </w:tcPr>
          <w:p w:rsidR="0026560A" w:rsidRPr="00A6696F" w:rsidRDefault="0026560A" w:rsidP="00422D0C">
            <w:pPr>
              <w:jc w:val="right"/>
              <w:rPr>
                <w:rFonts w:ascii="Arial Narrow" w:hAnsi="Arial Narrow"/>
                <w:b/>
                <w:bCs/>
                <w:color w:val="000000"/>
                <w:sz w:val="16"/>
                <w:szCs w:val="16"/>
              </w:rPr>
            </w:pPr>
            <w:r w:rsidRPr="00A6696F">
              <w:rPr>
                <w:rFonts w:ascii="Arial Narrow" w:hAnsi="Arial Narrow"/>
                <w:b/>
                <w:bCs/>
                <w:color w:val="000000"/>
                <w:sz w:val="16"/>
                <w:szCs w:val="16"/>
              </w:rPr>
              <w:t> </w:t>
            </w:r>
          </w:p>
        </w:tc>
      </w:tr>
      <w:tr w:rsidR="0026560A" w:rsidRPr="00632720" w:rsidTr="0026560A">
        <w:trPr>
          <w:trHeight w:val="20"/>
          <w:jc w:val="center"/>
        </w:trPr>
        <w:tc>
          <w:tcPr>
            <w:tcW w:w="460" w:type="dxa"/>
            <w:tcBorders>
              <w:left w:val="single" w:sz="4" w:space="0" w:color="auto"/>
              <w:right w:val="nil"/>
            </w:tcBorders>
            <w:shd w:val="clear" w:color="000000" w:fill="BFBFBF"/>
            <w:vAlign w:val="bottom"/>
            <w:hideMark/>
          </w:tcPr>
          <w:p w:rsidR="0026560A" w:rsidRPr="00632720" w:rsidRDefault="0026560A" w:rsidP="003C79F3">
            <w:pPr>
              <w:jc w:val="center"/>
              <w:rPr>
                <w:rFonts w:ascii="Arial Narrow" w:hAnsi="Arial Narrow"/>
                <w:b/>
                <w:bCs/>
                <w:color w:val="000000"/>
                <w:sz w:val="16"/>
                <w:szCs w:val="16"/>
              </w:rPr>
            </w:pPr>
            <w:r w:rsidRPr="00632720">
              <w:rPr>
                <w:rFonts w:ascii="Arial Narrow" w:hAnsi="Arial Narrow"/>
                <w:b/>
                <w:bCs/>
                <w:color w:val="000000"/>
                <w:sz w:val="16"/>
                <w:szCs w:val="16"/>
              </w:rPr>
              <w:t>Β</w:t>
            </w:r>
          </w:p>
        </w:tc>
        <w:tc>
          <w:tcPr>
            <w:tcW w:w="5714" w:type="dxa"/>
            <w:gridSpan w:val="2"/>
            <w:tcBorders>
              <w:left w:val="nil"/>
            </w:tcBorders>
            <w:shd w:val="clear" w:color="000000" w:fill="BFBFBF"/>
            <w:noWrap/>
            <w:vAlign w:val="bottom"/>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Σύνολο ΠΔΕ</w:t>
            </w:r>
          </w:p>
        </w:tc>
        <w:tc>
          <w:tcPr>
            <w:tcW w:w="729" w:type="dxa"/>
            <w:shd w:val="clear" w:color="000000" w:fill="BFBFBF"/>
            <w:noWrap/>
            <w:vAlign w:val="bottom"/>
            <w:hideMark/>
          </w:tcPr>
          <w:p w:rsidR="0026560A" w:rsidRPr="0026560A" w:rsidRDefault="0026560A" w:rsidP="00324E75">
            <w:pPr>
              <w:jc w:val="right"/>
              <w:rPr>
                <w:rFonts w:ascii="Arial Narrow" w:hAnsi="Arial Narrow"/>
                <w:b/>
                <w:bCs/>
                <w:color w:val="000000"/>
                <w:sz w:val="16"/>
                <w:szCs w:val="16"/>
                <w:lang w:val="en-US"/>
              </w:rPr>
            </w:pPr>
            <w:r>
              <w:rPr>
                <w:rFonts w:ascii="Arial Narrow" w:hAnsi="Arial Narrow"/>
                <w:b/>
                <w:bCs/>
                <w:color w:val="000000"/>
                <w:sz w:val="16"/>
                <w:szCs w:val="16"/>
                <w:lang w:val="en-US"/>
              </w:rPr>
              <w:t>10.421</w:t>
            </w:r>
          </w:p>
        </w:tc>
        <w:tc>
          <w:tcPr>
            <w:tcW w:w="879" w:type="dxa"/>
            <w:shd w:val="clear" w:color="000000" w:fill="BFBFBF"/>
            <w:vAlign w:val="bottom"/>
          </w:tcPr>
          <w:p w:rsidR="0026560A" w:rsidRPr="0026560A" w:rsidRDefault="0026560A" w:rsidP="00422D0C">
            <w:pPr>
              <w:jc w:val="right"/>
              <w:rPr>
                <w:rFonts w:ascii="Arial Narrow" w:hAnsi="Arial Narrow"/>
                <w:b/>
                <w:bCs/>
                <w:color w:val="000000"/>
                <w:sz w:val="16"/>
                <w:szCs w:val="16"/>
                <w:lang w:val="en-US"/>
              </w:rPr>
            </w:pPr>
            <w:r>
              <w:rPr>
                <w:rFonts w:ascii="Arial Narrow" w:hAnsi="Arial Narrow"/>
                <w:b/>
                <w:bCs/>
                <w:color w:val="000000"/>
                <w:sz w:val="16"/>
                <w:szCs w:val="16"/>
                <w:lang w:val="en-US"/>
              </w:rPr>
              <w:t>4.298</w:t>
            </w:r>
          </w:p>
        </w:tc>
        <w:tc>
          <w:tcPr>
            <w:tcW w:w="851" w:type="dxa"/>
            <w:shd w:val="clear" w:color="000000" w:fill="BFBFBF"/>
            <w:noWrap/>
            <w:vAlign w:val="bottom"/>
            <w:hideMark/>
          </w:tcPr>
          <w:p w:rsidR="0026560A" w:rsidRPr="0026560A" w:rsidRDefault="0026560A" w:rsidP="00422D0C">
            <w:pPr>
              <w:jc w:val="right"/>
              <w:rPr>
                <w:rFonts w:ascii="Arial Narrow" w:hAnsi="Arial Narrow"/>
                <w:b/>
                <w:bCs/>
                <w:color w:val="000000"/>
                <w:sz w:val="16"/>
                <w:szCs w:val="16"/>
                <w:lang w:val="en-US"/>
              </w:rPr>
            </w:pPr>
            <w:r>
              <w:rPr>
                <w:rFonts w:ascii="Arial Narrow" w:hAnsi="Arial Narrow"/>
                <w:b/>
                <w:bCs/>
                <w:color w:val="000000"/>
                <w:sz w:val="16"/>
                <w:szCs w:val="16"/>
                <w:lang w:val="en-US"/>
              </w:rPr>
              <w:t>6.750</w:t>
            </w:r>
          </w:p>
        </w:tc>
        <w:tc>
          <w:tcPr>
            <w:tcW w:w="879" w:type="dxa"/>
            <w:tcBorders>
              <w:right w:val="single" w:sz="4" w:space="0" w:color="auto"/>
            </w:tcBorders>
            <w:shd w:val="clear" w:color="000000" w:fill="BFBFBF"/>
            <w:vAlign w:val="bottom"/>
          </w:tcPr>
          <w:p w:rsidR="0026560A" w:rsidRPr="0026560A" w:rsidRDefault="0026560A" w:rsidP="00422D0C">
            <w:pPr>
              <w:jc w:val="right"/>
              <w:rPr>
                <w:rFonts w:ascii="Arial Narrow" w:hAnsi="Arial Narrow"/>
                <w:b/>
                <w:bCs/>
                <w:color w:val="000000"/>
                <w:sz w:val="16"/>
                <w:szCs w:val="16"/>
                <w:lang w:val="en-US"/>
              </w:rPr>
            </w:pPr>
            <w:r>
              <w:rPr>
                <w:rFonts w:ascii="Arial Narrow" w:hAnsi="Arial Narrow"/>
                <w:b/>
                <w:bCs/>
                <w:color w:val="000000"/>
                <w:sz w:val="16"/>
                <w:szCs w:val="16"/>
                <w:lang w:val="en-US"/>
              </w:rPr>
              <w:t>880</w:t>
            </w:r>
          </w:p>
        </w:tc>
      </w:tr>
      <w:tr w:rsidR="0026560A" w:rsidRPr="00632720" w:rsidTr="0026560A">
        <w:trPr>
          <w:trHeight w:val="20"/>
          <w:jc w:val="center"/>
        </w:trPr>
        <w:tc>
          <w:tcPr>
            <w:tcW w:w="460" w:type="dxa"/>
            <w:tcBorders>
              <w:left w:val="single" w:sz="4" w:space="0" w:color="auto"/>
              <w:right w:val="nil"/>
            </w:tcBorders>
            <w:shd w:val="clear" w:color="000000" w:fill="BFBFBF"/>
            <w:vAlign w:val="bottom"/>
            <w:hideMark/>
          </w:tcPr>
          <w:p w:rsidR="0026560A" w:rsidRPr="00632720" w:rsidRDefault="0026560A" w:rsidP="003C79F3">
            <w:pPr>
              <w:jc w:val="center"/>
              <w:rPr>
                <w:rFonts w:ascii="Arial Narrow" w:hAnsi="Arial Narrow"/>
                <w:b/>
                <w:bCs/>
                <w:color w:val="000000"/>
                <w:sz w:val="16"/>
                <w:szCs w:val="16"/>
              </w:rPr>
            </w:pPr>
            <w:r>
              <w:rPr>
                <w:rFonts w:ascii="Arial Narrow" w:hAnsi="Arial Narrow"/>
                <w:b/>
                <w:bCs/>
                <w:color w:val="000000"/>
                <w:sz w:val="16"/>
                <w:szCs w:val="16"/>
              </w:rPr>
              <w:t>Γ</w:t>
            </w:r>
          </w:p>
        </w:tc>
        <w:tc>
          <w:tcPr>
            <w:tcW w:w="5714" w:type="dxa"/>
            <w:gridSpan w:val="2"/>
            <w:tcBorders>
              <w:left w:val="nil"/>
            </w:tcBorders>
            <w:shd w:val="clear" w:color="000000" w:fill="BFBFBF"/>
            <w:noWrap/>
            <w:vAlign w:val="bottom"/>
            <w:hideMark/>
          </w:tcPr>
          <w:p w:rsidR="0026560A" w:rsidRPr="00632720" w:rsidRDefault="0026560A" w:rsidP="003C79F3">
            <w:pPr>
              <w:rPr>
                <w:rFonts w:ascii="Arial Narrow" w:hAnsi="Arial Narrow"/>
                <w:b/>
                <w:bCs/>
                <w:color w:val="000000"/>
                <w:sz w:val="16"/>
                <w:szCs w:val="16"/>
              </w:rPr>
            </w:pPr>
            <w:r>
              <w:rPr>
                <w:rFonts w:ascii="Arial Narrow" w:hAnsi="Arial Narrow"/>
                <w:b/>
                <w:bCs/>
                <w:color w:val="000000"/>
                <w:sz w:val="16"/>
                <w:szCs w:val="16"/>
              </w:rPr>
              <w:t>Ταμείο Ανάκαμψης και Σταθερότητας</w:t>
            </w:r>
          </w:p>
        </w:tc>
        <w:tc>
          <w:tcPr>
            <w:tcW w:w="729" w:type="dxa"/>
            <w:shd w:val="clear" w:color="000000" w:fill="BFBFBF"/>
            <w:noWrap/>
            <w:vAlign w:val="bottom"/>
            <w:hideMark/>
          </w:tcPr>
          <w:p w:rsidR="0026560A" w:rsidRPr="0026560A" w:rsidRDefault="0026560A" w:rsidP="00324E75">
            <w:pPr>
              <w:jc w:val="right"/>
              <w:rPr>
                <w:rFonts w:ascii="Arial Narrow" w:hAnsi="Arial Narrow"/>
                <w:b/>
                <w:bCs/>
                <w:color w:val="000000"/>
                <w:sz w:val="16"/>
                <w:szCs w:val="16"/>
                <w:lang w:val="en-US"/>
              </w:rPr>
            </w:pPr>
            <w:r>
              <w:rPr>
                <w:rFonts w:ascii="Arial Narrow" w:hAnsi="Arial Narrow"/>
                <w:b/>
                <w:bCs/>
                <w:color w:val="000000"/>
                <w:sz w:val="16"/>
                <w:szCs w:val="16"/>
                <w:lang w:val="en-US"/>
              </w:rPr>
              <w:t>0</w:t>
            </w:r>
          </w:p>
        </w:tc>
        <w:tc>
          <w:tcPr>
            <w:tcW w:w="879" w:type="dxa"/>
            <w:shd w:val="clear" w:color="000000" w:fill="BFBFBF"/>
            <w:vAlign w:val="bottom"/>
          </w:tcPr>
          <w:p w:rsidR="0026560A" w:rsidRPr="00A6696F" w:rsidRDefault="0026560A" w:rsidP="00422D0C">
            <w:pPr>
              <w:jc w:val="right"/>
              <w:rPr>
                <w:rFonts w:ascii="Arial Narrow" w:hAnsi="Arial Narrow"/>
                <w:b/>
                <w:bCs/>
                <w:color w:val="000000"/>
                <w:sz w:val="16"/>
                <w:szCs w:val="16"/>
              </w:rPr>
            </w:pPr>
          </w:p>
        </w:tc>
        <w:tc>
          <w:tcPr>
            <w:tcW w:w="851" w:type="dxa"/>
            <w:shd w:val="clear" w:color="000000" w:fill="BFBFBF"/>
            <w:noWrap/>
            <w:vAlign w:val="bottom"/>
            <w:hideMark/>
          </w:tcPr>
          <w:p w:rsidR="0026560A" w:rsidRPr="0026560A" w:rsidRDefault="0026560A" w:rsidP="00422D0C">
            <w:pPr>
              <w:jc w:val="right"/>
              <w:rPr>
                <w:rFonts w:ascii="Arial Narrow" w:hAnsi="Arial Narrow"/>
                <w:b/>
                <w:bCs/>
                <w:color w:val="000000"/>
                <w:sz w:val="16"/>
                <w:szCs w:val="16"/>
                <w:lang w:val="en-US"/>
              </w:rPr>
            </w:pPr>
            <w:r>
              <w:rPr>
                <w:rFonts w:ascii="Arial Narrow" w:hAnsi="Arial Narrow"/>
                <w:b/>
                <w:bCs/>
                <w:color w:val="000000"/>
                <w:sz w:val="16"/>
                <w:szCs w:val="16"/>
                <w:lang w:val="en-US"/>
              </w:rPr>
              <w:t>2.635</w:t>
            </w:r>
          </w:p>
        </w:tc>
        <w:tc>
          <w:tcPr>
            <w:tcW w:w="879" w:type="dxa"/>
            <w:tcBorders>
              <w:right w:val="single" w:sz="4" w:space="0" w:color="auto"/>
            </w:tcBorders>
            <w:shd w:val="clear" w:color="000000" w:fill="BFBFBF"/>
            <w:vAlign w:val="bottom"/>
          </w:tcPr>
          <w:p w:rsidR="0026560A" w:rsidRPr="00A6696F" w:rsidRDefault="0026560A" w:rsidP="00422D0C">
            <w:pPr>
              <w:jc w:val="right"/>
              <w:rPr>
                <w:rFonts w:ascii="Arial Narrow" w:hAnsi="Arial Narrow"/>
                <w:b/>
                <w:bCs/>
                <w:color w:val="000000"/>
                <w:sz w:val="16"/>
                <w:szCs w:val="16"/>
              </w:rPr>
            </w:pPr>
          </w:p>
        </w:tc>
      </w:tr>
      <w:tr w:rsidR="0026560A" w:rsidRPr="006B03E6" w:rsidTr="00422D0C">
        <w:trPr>
          <w:trHeight w:val="20"/>
          <w:jc w:val="center"/>
        </w:trPr>
        <w:tc>
          <w:tcPr>
            <w:tcW w:w="460" w:type="dxa"/>
            <w:tcBorders>
              <w:left w:val="single" w:sz="4" w:space="0" w:color="auto"/>
              <w:right w:val="nil"/>
            </w:tcBorders>
            <w:shd w:val="clear" w:color="000000" w:fill="FFFFFF"/>
            <w:vAlign w:val="center"/>
            <w:hideMark/>
          </w:tcPr>
          <w:p w:rsidR="0026560A" w:rsidRPr="006B03E6" w:rsidRDefault="0026560A" w:rsidP="003C79F3">
            <w:pPr>
              <w:jc w:val="center"/>
              <w:rPr>
                <w:rFonts w:ascii="Arial Narrow" w:hAnsi="Arial Narrow"/>
                <w:b/>
                <w:bCs/>
                <w:color w:val="000000"/>
                <w:sz w:val="12"/>
                <w:szCs w:val="16"/>
              </w:rPr>
            </w:pPr>
            <w:r w:rsidRPr="006B03E6">
              <w:rPr>
                <w:rFonts w:ascii="Arial Narrow" w:hAnsi="Arial Narrow"/>
                <w:b/>
                <w:bCs/>
                <w:color w:val="000000"/>
                <w:sz w:val="12"/>
                <w:szCs w:val="16"/>
              </w:rPr>
              <w:t> </w:t>
            </w:r>
          </w:p>
        </w:tc>
        <w:tc>
          <w:tcPr>
            <w:tcW w:w="3446" w:type="dxa"/>
            <w:tcBorders>
              <w:left w:val="nil"/>
            </w:tcBorders>
            <w:shd w:val="clear" w:color="000000" w:fill="FFFFFF"/>
            <w:vAlign w:val="center"/>
            <w:hideMark/>
          </w:tcPr>
          <w:p w:rsidR="0026560A" w:rsidRPr="006B03E6" w:rsidRDefault="0026560A" w:rsidP="003C79F3">
            <w:pPr>
              <w:rPr>
                <w:rFonts w:ascii="Arial Narrow" w:hAnsi="Arial Narrow"/>
                <w:b/>
                <w:bCs/>
                <w:color w:val="000000"/>
                <w:sz w:val="12"/>
                <w:szCs w:val="16"/>
              </w:rPr>
            </w:pPr>
            <w:r w:rsidRPr="006B03E6">
              <w:rPr>
                <w:rFonts w:ascii="Arial Narrow" w:hAnsi="Arial Narrow"/>
                <w:b/>
                <w:bCs/>
                <w:color w:val="000000"/>
                <w:sz w:val="12"/>
                <w:szCs w:val="16"/>
              </w:rPr>
              <w:t> </w:t>
            </w:r>
          </w:p>
        </w:tc>
        <w:tc>
          <w:tcPr>
            <w:tcW w:w="2268" w:type="dxa"/>
            <w:shd w:val="clear" w:color="000000" w:fill="FFFFFF"/>
            <w:vAlign w:val="bottom"/>
            <w:hideMark/>
          </w:tcPr>
          <w:p w:rsidR="0026560A" w:rsidRDefault="0026560A" w:rsidP="00324E75">
            <w:pPr>
              <w:rPr>
                <w:rFonts w:ascii="Arial Narrow" w:hAnsi="Arial Narrow"/>
                <w:b/>
                <w:bCs/>
                <w:color w:val="000000"/>
                <w:sz w:val="16"/>
                <w:szCs w:val="16"/>
              </w:rPr>
            </w:pPr>
          </w:p>
        </w:tc>
        <w:tc>
          <w:tcPr>
            <w:tcW w:w="729" w:type="dxa"/>
            <w:shd w:val="clear" w:color="000000" w:fill="FFFFFF"/>
            <w:noWrap/>
            <w:vAlign w:val="center"/>
            <w:hideMark/>
          </w:tcPr>
          <w:p w:rsidR="0026560A" w:rsidRPr="00A6696F" w:rsidRDefault="0026560A" w:rsidP="00422D0C">
            <w:pPr>
              <w:rPr>
                <w:rFonts w:ascii="Arial Narrow" w:hAnsi="Arial Narrow"/>
                <w:b/>
                <w:bCs/>
                <w:color w:val="000000"/>
                <w:sz w:val="16"/>
                <w:szCs w:val="16"/>
              </w:rPr>
            </w:pPr>
          </w:p>
        </w:tc>
        <w:tc>
          <w:tcPr>
            <w:tcW w:w="879" w:type="dxa"/>
            <w:shd w:val="clear" w:color="000000" w:fill="FFFFFF"/>
            <w:vAlign w:val="center"/>
          </w:tcPr>
          <w:p w:rsidR="0026560A" w:rsidRPr="00A6696F" w:rsidRDefault="0026560A" w:rsidP="00422D0C">
            <w:pPr>
              <w:rPr>
                <w:rFonts w:ascii="Arial Narrow" w:hAnsi="Arial Narrow"/>
                <w:b/>
                <w:bCs/>
                <w:color w:val="000000"/>
                <w:sz w:val="16"/>
                <w:szCs w:val="16"/>
              </w:rPr>
            </w:pPr>
          </w:p>
        </w:tc>
        <w:tc>
          <w:tcPr>
            <w:tcW w:w="851" w:type="dxa"/>
            <w:shd w:val="clear" w:color="000000" w:fill="FFFFFF"/>
            <w:noWrap/>
            <w:vAlign w:val="center"/>
            <w:hideMark/>
          </w:tcPr>
          <w:p w:rsidR="0026560A" w:rsidRPr="00A6696F" w:rsidRDefault="0026560A" w:rsidP="00422D0C">
            <w:pPr>
              <w:rPr>
                <w:rFonts w:ascii="Arial Narrow" w:hAnsi="Arial Narrow"/>
                <w:b/>
                <w:bCs/>
                <w:color w:val="000000"/>
                <w:sz w:val="16"/>
                <w:szCs w:val="16"/>
              </w:rPr>
            </w:pPr>
          </w:p>
        </w:tc>
        <w:tc>
          <w:tcPr>
            <w:tcW w:w="879" w:type="dxa"/>
            <w:tcBorders>
              <w:right w:val="single" w:sz="4" w:space="0" w:color="auto"/>
            </w:tcBorders>
            <w:shd w:val="clear" w:color="000000" w:fill="FFFFFF"/>
            <w:vAlign w:val="center"/>
          </w:tcPr>
          <w:p w:rsidR="0026560A" w:rsidRPr="00A6696F" w:rsidRDefault="0026560A" w:rsidP="00422D0C">
            <w:pPr>
              <w:rPr>
                <w:rFonts w:ascii="Arial Narrow" w:hAnsi="Arial Narrow"/>
                <w:b/>
                <w:bCs/>
                <w:color w:val="000000"/>
                <w:sz w:val="16"/>
                <w:szCs w:val="16"/>
              </w:rPr>
            </w:pPr>
          </w:p>
        </w:tc>
      </w:tr>
      <w:tr w:rsidR="0026560A" w:rsidRPr="00632720" w:rsidTr="0026560A">
        <w:trPr>
          <w:trHeight w:val="20"/>
          <w:jc w:val="center"/>
        </w:trPr>
        <w:tc>
          <w:tcPr>
            <w:tcW w:w="460" w:type="dxa"/>
            <w:tcBorders>
              <w:left w:val="single" w:sz="4" w:space="0" w:color="auto"/>
              <w:right w:val="nil"/>
            </w:tcBorders>
            <w:shd w:val="clear" w:color="000000" w:fill="BFBFBF"/>
            <w:vAlign w:val="bottom"/>
            <w:hideMark/>
          </w:tcPr>
          <w:p w:rsidR="0026560A" w:rsidRPr="00632720" w:rsidRDefault="0026560A" w:rsidP="003C79F3">
            <w:pPr>
              <w:jc w:val="center"/>
              <w:rPr>
                <w:rFonts w:ascii="Arial Narrow" w:hAnsi="Arial Narrow"/>
                <w:b/>
                <w:bCs/>
                <w:color w:val="000000"/>
                <w:sz w:val="16"/>
                <w:szCs w:val="16"/>
              </w:rPr>
            </w:pPr>
            <w:r w:rsidRPr="00632720">
              <w:rPr>
                <w:rFonts w:ascii="Arial Narrow" w:hAnsi="Arial Narrow"/>
                <w:b/>
                <w:bCs/>
                <w:color w:val="000000"/>
                <w:sz w:val="16"/>
                <w:szCs w:val="16"/>
              </w:rPr>
              <w:t> </w:t>
            </w:r>
          </w:p>
        </w:tc>
        <w:tc>
          <w:tcPr>
            <w:tcW w:w="5714" w:type="dxa"/>
            <w:gridSpan w:val="2"/>
            <w:tcBorders>
              <w:left w:val="nil"/>
            </w:tcBorders>
            <w:shd w:val="clear" w:color="000000" w:fill="BFBFBF"/>
            <w:noWrap/>
            <w:vAlign w:val="bottom"/>
            <w:hideMark/>
          </w:tcPr>
          <w:p w:rsidR="0026560A" w:rsidRPr="00EA3E96"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Εθνικολογιστικές προσαρμογές</w:t>
            </w:r>
            <w:r w:rsidR="00EA3E96">
              <w:rPr>
                <w:rFonts w:ascii="Arial Narrow" w:hAnsi="Arial Narrow"/>
                <w:b/>
                <w:bCs/>
                <w:color w:val="000000"/>
                <w:sz w:val="16"/>
                <w:szCs w:val="16"/>
                <w:vertAlign w:val="superscript"/>
              </w:rPr>
              <w:t>8</w:t>
            </w:r>
          </w:p>
        </w:tc>
        <w:tc>
          <w:tcPr>
            <w:tcW w:w="729" w:type="dxa"/>
            <w:shd w:val="clear" w:color="000000" w:fill="BFBFBF"/>
            <w:noWrap/>
            <w:vAlign w:val="bottom"/>
            <w:hideMark/>
          </w:tcPr>
          <w:p w:rsidR="0026560A" w:rsidRPr="0026560A" w:rsidRDefault="0026560A" w:rsidP="00324E75">
            <w:pPr>
              <w:jc w:val="right"/>
              <w:rPr>
                <w:rFonts w:ascii="Arial Narrow" w:hAnsi="Arial Narrow"/>
                <w:b/>
                <w:bCs/>
                <w:sz w:val="16"/>
                <w:szCs w:val="16"/>
                <w:lang w:val="en-US"/>
              </w:rPr>
            </w:pPr>
            <w:r>
              <w:rPr>
                <w:rFonts w:ascii="Arial Narrow" w:hAnsi="Arial Narrow"/>
                <w:b/>
                <w:bCs/>
                <w:sz w:val="16"/>
                <w:szCs w:val="16"/>
                <w:lang w:val="en-US"/>
              </w:rPr>
              <w:t>1.442</w:t>
            </w:r>
          </w:p>
        </w:tc>
        <w:tc>
          <w:tcPr>
            <w:tcW w:w="879" w:type="dxa"/>
            <w:shd w:val="clear" w:color="000000" w:fill="BFBFBF"/>
            <w:vAlign w:val="bottom"/>
          </w:tcPr>
          <w:p w:rsidR="0026560A" w:rsidRPr="00A6696F" w:rsidRDefault="0026560A" w:rsidP="00422D0C">
            <w:pPr>
              <w:jc w:val="right"/>
              <w:rPr>
                <w:rFonts w:ascii="Arial Narrow" w:hAnsi="Arial Narrow"/>
                <w:b/>
                <w:bCs/>
                <w:sz w:val="16"/>
                <w:szCs w:val="16"/>
              </w:rPr>
            </w:pPr>
          </w:p>
        </w:tc>
        <w:tc>
          <w:tcPr>
            <w:tcW w:w="851" w:type="dxa"/>
            <w:shd w:val="clear" w:color="000000" w:fill="BFBFBF"/>
            <w:noWrap/>
            <w:vAlign w:val="bottom"/>
            <w:hideMark/>
          </w:tcPr>
          <w:p w:rsidR="0026560A" w:rsidRPr="0026560A" w:rsidRDefault="0026560A" w:rsidP="00422D0C">
            <w:pPr>
              <w:jc w:val="right"/>
              <w:rPr>
                <w:rFonts w:ascii="Arial Narrow" w:hAnsi="Arial Narrow"/>
                <w:b/>
                <w:bCs/>
                <w:sz w:val="16"/>
                <w:szCs w:val="16"/>
                <w:lang w:val="en-US"/>
              </w:rPr>
            </w:pPr>
            <w:r>
              <w:rPr>
                <w:rFonts w:ascii="Arial Narrow" w:hAnsi="Arial Narrow"/>
                <w:b/>
                <w:bCs/>
                <w:sz w:val="16"/>
                <w:szCs w:val="16"/>
                <w:lang w:val="en-US"/>
              </w:rPr>
              <w:t>627</w:t>
            </w:r>
          </w:p>
        </w:tc>
        <w:tc>
          <w:tcPr>
            <w:tcW w:w="879" w:type="dxa"/>
            <w:tcBorders>
              <w:right w:val="single" w:sz="4" w:space="0" w:color="auto"/>
            </w:tcBorders>
            <w:shd w:val="clear" w:color="000000" w:fill="BFBFBF"/>
            <w:vAlign w:val="bottom"/>
          </w:tcPr>
          <w:p w:rsidR="0026560A" w:rsidRPr="00A6696F" w:rsidRDefault="0026560A" w:rsidP="00422D0C">
            <w:pPr>
              <w:jc w:val="right"/>
              <w:rPr>
                <w:rFonts w:ascii="Arial Narrow" w:hAnsi="Arial Narrow"/>
                <w:b/>
                <w:bCs/>
                <w:sz w:val="16"/>
                <w:szCs w:val="16"/>
              </w:rPr>
            </w:pPr>
          </w:p>
        </w:tc>
      </w:tr>
      <w:tr w:rsidR="0026560A" w:rsidRPr="006B03E6" w:rsidTr="0026560A">
        <w:trPr>
          <w:trHeight w:val="20"/>
          <w:jc w:val="center"/>
        </w:trPr>
        <w:tc>
          <w:tcPr>
            <w:tcW w:w="460" w:type="dxa"/>
            <w:tcBorders>
              <w:left w:val="single" w:sz="4" w:space="0" w:color="auto"/>
              <w:right w:val="nil"/>
            </w:tcBorders>
            <w:shd w:val="clear" w:color="000000" w:fill="FFFFFF"/>
            <w:vAlign w:val="center"/>
            <w:hideMark/>
          </w:tcPr>
          <w:p w:rsidR="0026560A" w:rsidRPr="006B03E6" w:rsidRDefault="0026560A" w:rsidP="003C79F3">
            <w:pPr>
              <w:jc w:val="center"/>
              <w:rPr>
                <w:rFonts w:ascii="Arial Narrow" w:hAnsi="Arial Narrow"/>
                <w:b/>
                <w:bCs/>
                <w:color w:val="000000"/>
                <w:sz w:val="12"/>
                <w:szCs w:val="16"/>
              </w:rPr>
            </w:pPr>
            <w:r w:rsidRPr="006B03E6">
              <w:rPr>
                <w:rFonts w:ascii="Arial Narrow" w:hAnsi="Arial Narrow"/>
                <w:b/>
                <w:bCs/>
                <w:color w:val="000000"/>
                <w:sz w:val="12"/>
                <w:szCs w:val="16"/>
              </w:rPr>
              <w:t> </w:t>
            </w:r>
          </w:p>
        </w:tc>
        <w:tc>
          <w:tcPr>
            <w:tcW w:w="3446" w:type="dxa"/>
            <w:tcBorders>
              <w:left w:val="nil"/>
            </w:tcBorders>
            <w:shd w:val="clear" w:color="000000" w:fill="FFFFFF"/>
            <w:vAlign w:val="center"/>
            <w:hideMark/>
          </w:tcPr>
          <w:p w:rsidR="0026560A" w:rsidRPr="006B03E6" w:rsidRDefault="0026560A" w:rsidP="003C79F3">
            <w:pPr>
              <w:rPr>
                <w:rFonts w:ascii="Arial Narrow" w:hAnsi="Arial Narrow"/>
                <w:b/>
                <w:bCs/>
                <w:color w:val="000000"/>
                <w:sz w:val="12"/>
                <w:szCs w:val="16"/>
              </w:rPr>
            </w:pPr>
            <w:r w:rsidRPr="006B03E6">
              <w:rPr>
                <w:rFonts w:ascii="Arial Narrow" w:hAnsi="Arial Narrow"/>
                <w:b/>
                <w:bCs/>
                <w:color w:val="000000"/>
                <w:sz w:val="12"/>
                <w:szCs w:val="16"/>
              </w:rPr>
              <w:t> </w:t>
            </w:r>
          </w:p>
        </w:tc>
        <w:tc>
          <w:tcPr>
            <w:tcW w:w="2268" w:type="dxa"/>
            <w:shd w:val="clear" w:color="000000" w:fill="FFFFFF"/>
            <w:vAlign w:val="bottom"/>
            <w:hideMark/>
          </w:tcPr>
          <w:p w:rsidR="0026560A" w:rsidRDefault="0026560A" w:rsidP="00324E75">
            <w:pPr>
              <w:rPr>
                <w:rFonts w:ascii="Arial Narrow" w:hAnsi="Arial Narrow"/>
                <w:b/>
                <w:bCs/>
                <w:color w:val="000000"/>
                <w:sz w:val="16"/>
                <w:szCs w:val="16"/>
              </w:rPr>
            </w:pPr>
          </w:p>
        </w:tc>
        <w:tc>
          <w:tcPr>
            <w:tcW w:w="729" w:type="dxa"/>
            <w:shd w:val="clear" w:color="000000" w:fill="FFFFFF"/>
            <w:noWrap/>
            <w:vAlign w:val="center"/>
            <w:hideMark/>
          </w:tcPr>
          <w:p w:rsidR="0026560A" w:rsidRPr="00A6696F" w:rsidRDefault="0026560A" w:rsidP="00422D0C">
            <w:pPr>
              <w:rPr>
                <w:rFonts w:ascii="Arial Narrow" w:hAnsi="Arial Narrow"/>
                <w:b/>
                <w:bCs/>
                <w:color w:val="000000"/>
                <w:sz w:val="16"/>
                <w:szCs w:val="16"/>
              </w:rPr>
            </w:pPr>
          </w:p>
        </w:tc>
        <w:tc>
          <w:tcPr>
            <w:tcW w:w="879" w:type="dxa"/>
            <w:shd w:val="clear" w:color="000000" w:fill="FFFFFF"/>
            <w:vAlign w:val="center"/>
          </w:tcPr>
          <w:p w:rsidR="0026560A" w:rsidRPr="00A6696F" w:rsidRDefault="0026560A" w:rsidP="00422D0C">
            <w:pPr>
              <w:rPr>
                <w:rFonts w:ascii="Arial Narrow" w:hAnsi="Arial Narrow"/>
                <w:b/>
                <w:bCs/>
                <w:color w:val="000000"/>
                <w:sz w:val="16"/>
                <w:szCs w:val="16"/>
              </w:rPr>
            </w:pPr>
          </w:p>
        </w:tc>
        <w:tc>
          <w:tcPr>
            <w:tcW w:w="851" w:type="dxa"/>
            <w:shd w:val="clear" w:color="000000" w:fill="FFFFFF"/>
            <w:noWrap/>
            <w:vAlign w:val="center"/>
            <w:hideMark/>
          </w:tcPr>
          <w:p w:rsidR="0026560A" w:rsidRPr="00A6696F" w:rsidRDefault="0026560A" w:rsidP="00422D0C">
            <w:pPr>
              <w:rPr>
                <w:rFonts w:ascii="Arial Narrow" w:hAnsi="Arial Narrow"/>
                <w:b/>
                <w:bCs/>
                <w:color w:val="000000"/>
                <w:sz w:val="16"/>
                <w:szCs w:val="16"/>
              </w:rPr>
            </w:pPr>
          </w:p>
        </w:tc>
        <w:tc>
          <w:tcPr>
            <w:tcW w:w="879" w:type="dxa"/>
            <w:tcBorders>
              <w:right w:val="single" w:sz="4" w:space="0" w:color="auto"/>
            </w:tcBorders>
            <w:shd w:val="clear" w:color="000000" w:fill="FFFFFF"/>
            <w:vAlign w:val="center"/>
          </w:tcPr>
          <w:p w:rsidR="0026560A" w:rsidRPr="00A6696F" w:rsidRDefault="0026560A" w:rsidP="00422D0C">
            <w:pPr>
              <w:rPr>
                <w:rFonts w:ascii="Arial Narrow" w:hAnsi="Arial Narrow"/>
                <w:b/>
                <w:bCs/>
                <w:color w:val="000000"/>
                <w:sz w:val="16"/>
                <w:szCs w:val="16"/>
              </w:rPr>
            </w:pPr>
          </w:p>
        </w:tc>
      </w:tr>
      <w:tr w:rsidR="0026560A" w:rsidRPr="00632720" w:rsidTr="0026560A">
        <w:trPr>
          <w:trHeight w:val="79"/>
          <w:jc w:val="center"/>
        </w:trPr>
        <w:tc>
          <w:tcPr>
            <w:tcW w:w="460" w:type="dxa"/>
            <w:tcBorders>
              <w:left w:val="single" w:sz="4" w:space="0" w:color="auto"/>
              <w:bottom w:val="single" w:sz="4" w:space="0" w:color="auto"/>
              <w:right w:val="nil"/>
            </w:tcBorders>
            <w:shd w:val="clear" w:color="000000" w:fill="BFBFBF"/>
            <w:vAlign w:val="center"/>
            <w:hideMark/>
          </w:tcPr>
          <w:p w:rsidR="0026560A" w:rsidRPr="00632720" w:rsidRDefault="0026560A" w:rsidP="003C79F3">
            <w:pPr>
              <w:jc w:val="center"/>
              <w:rPr>
                <w:rFonts w:ascii="Arial Narrow" w:hAnsi="Arial Narrow"/>
                <w:b/>
                <w:bCs/>
                <w:color w:val="000000"/>
                <w:sz w:val="16"/>
                <w:szCs w:val="16"/>
              </w:rPr>
            </w:pPr>
            <w:r w:rsidRPr="00632720">
              <w:rPr>
                <w:rFonts w:ascii="Arial Narrow" w:hAnsi="Arial Narrow"/>
                <w:b/>
                <w:bCs/>
                <w:color w:val="000000"/>
                <w:sz w:val="16"/>
                <w:szCs w:val="16"/>
              </w:rPr>
              <w:t> </w:t>
            </w:r>
          </w:p>
        </w:tc>
        <w:tc>
          <w:tcPr>
            <w:tcW w:w="5714" w:type="dxa"/>
            <w:gridSpan w:val="2"/>
            <w:tcBorders>
              <w:left w:val="nil"/>
              <w:bottom w:val="single" w:sz="4" w:space="0" w:color="auto"/>
            </w:tcBorders>
            <w:shd w:val="clear" w:color="000000" w:fill="BFBFBF"/>
            <w:noWrap/>
            <w:vAlign w:val="center"/>
            <w:hideMark/>
          </w:tcPr>
          <w:p w:rsidR="0026560A" w:rsidRPr="00632720" w:rsidRDefault="0026560A" w:rsidP="003C79F3">
            <w:pPr>
              <w:rPr>
                <w:rFonts w:ascii="Arial Narrow" w:hAnsi="Arial Narrow"/>
                <w:b/>
                <w:bCs/>
                <w:color w:val="000000"/>
                <w:sz w:val="16"/>
                <w:szCs w:val="16"/>
              </w:rPr>
            </w:pPr>
            <w:r w:rsidRPr="00632720">
              <w:rPr>
                <w:rFonts w:ascii="Arial Narrow" w:hAnsi="Arial Narrow"/>
                <w:b/>
                <w:bCs/>
                <w:color w:val="000000"/>
                <w:sz w:val="16"/>
                <w:szCs w:val="16"/>
              </w:rPr>
              <w:t>Σύνολο δαπανών Κρατικού Προϋπολογισμού κατά ESA</w:t>
            </w:r>
          </w:p>
        </w:tc>
        <w:tc>
          <w:tcPr>
            <w:tcW w:w="729" w:type="dxa"/>
            <w:tcBorders>
              <w:bottom w:val="single" w:sz="4" w:space="0" w:color="auto"/>
            </w:tcBorders>
            <w:shd w:val="clear" w:color="000000" w:fill="BFBFBF"/>
            <w:noWrap/>
            <w:vAlign w:val="bottom"/>
            <w:hideMark/>
          </w:tcPr>
          <w:p w:rsidR="0026560A" w:rsidRPr="0026560A" w:rsidRDefault="0026560A" w:rsidP="00324E75">
            <w:pPr>
              <w:jc w:val="right"/>
              <w:rPr>
                <w:rFonts w:ascii="Arial Narrow" w:hAnsi="Arial Narrow"/>
                <w:b/>
                <w:bCs/>
                <w:color w:val="000000"/>
                <w:sz w:val="16"/>
                <w:szCs w:val="16"/>
                <w:lang w:val="en-US"/>
              </w:rPr>
            </w:pPr>
            <w:r>
              <w:rPr>
                <w:rFonts w:ascii="Arial Narrow" w:hAnsi="Arial Narrow"/>
                <w:b/>
                <w:bCs/>
                <w:color w:val="000000"/>
                <w:sz w:val="16"/>
                <w:szCs w:val="16"/>
                <w:lang w:val="en-US"/>
              </w:rPr>
              <w:t>69.332</w:t>
            </w:r>
          </w:p>
        </w:tc>
        <w:tc>
          <w:tcPr>
            <w:tcW w:w="879" w:type="dxa"/>
            <w:tcBorders>
              <w:bottom w:val="single" w:sz="4" w:space="0" w:color="auto"/>
            </w:tcBorders>
            <w:shd w:val="clear" w:color="000000" w:fill="BFBFBF"/>
            <w:vAlign w:val="bottom"/>
          </w:tcPr>
          <w:p w:rsidR="0026560A" w:rsidRPr="00A6696F" w:rsidRDefault="0026560A" w:rsidP="00422D0C">
            <w:pPr>
              <w:jc w:val="right"/>
              <w:rPr>
                <w:rFonts w:ascii="Arial Narrow" w:hAnsi="Arial Narrow"/>
                <w:b/>
                <w:bCs/>
                <w:color w:val="000000"/>
                <w:sz w:val="16"/>
                <w:szCs w:val="16"/>
              </w:rPr>
            </w:pPr>
          </w:p>
        </w:tc>
        <w:tc>
          <w:tcPr>
            <w:tcW w:w="851" w:type="dxa"/>
            <w:tcBorders>
              <w:bottom w:val="single" w:sz="4" w:space="0" w:color="auto"/>
            </w:tcBorders>
            <w:shd w:val="clear" w:color="000000" w:fill="BFBFBF"/>
            <w:noWrap/>
            <w:vAlign w:val="bottom"/>
            <w:hideMark/>
          </w:tcPr>
          <w:p w:rsidR="0026560A" w:rsidRPr="0026560A" w:rsidRDefault="0026560A" w:rsidP="00422D0C">
            <w:pPr>
              <w:jc w:val="right"/>
              <w:rPr>
                <w:rFonts w:ascii="Arial Narrow" w:hAnsi="Arial Narrow"/>
                <w:b/>
                <w:bCs/>
                <w:color w:val="000000"/>
                <w:sz w:val="16"/>
                <w:szCs w:val="16"/>
                <w:lang w:val="en-US"/>
              </w:rPr>
            </w:pPr>
            <w:r>
              <w:rPr>
                <w:rFonts w:ascii="Arial Narrow" w:hAnsi="Arial Narrow"/>
                <w:b/>
                <w:bCs/>
                <w:color w:val="000000"/>
                <w:sz w:val="16"/>
                <w:szCs w:val="16"/>
                <w:lang w:val="en-US"/>
              </w:rPr>
              <w:t>67.184</w:t>
            </w:r>
          </w:p>
        </w:tc>
        <w:tc>
          <w:tcPr>
            <w:tcW w:w="879" w:type="dxa"/>
            <w:tcBorders>
              <w:bottom w:val="single" w:sz="4" w:space="0" w:color="auto"/>
              <w:right w:val="single" w:sz="4" w:space="0" w:color="auto"/>
            </w:tcBorders>
            <w:shd w:val="clear" w:color="000000" w:fill="BFBFBF"/>
            <w:vAlign w:val="bottom"/>
          </w:tcPr>
          <w:p w:rsidR="0026560A" w:rsidRPr="00A6696F" w:rsidRDefault="0026560A" w:rsidP="00422D0C">
            <w:pPr>
              <w:jc w:val="right"/>
              <w:rPr>
                <w:rFonts w:ascii="Arial Narrow" w:hAnsi="Arial Narrow"/>
                <w:b/>
                <w:bCs/>
                <w:color w:val="000000"/>
                <w:sz w:val="16"/>
                <w:szCs w:val="16"/>
              </w:rPr>
            </w:pPr>
          </w:p>
        </w:tc>
      </w:tr>
    </w:tbl>
    <w:p w:rsidR="00324E75" w:rsidRDefault="00324E75" w:rsidP="003B55F6">
      <w:pPr>
        <w:spacing w:line="228" w:lineRule="auto"/>
        <w:ind w:left="284" w:right="-142" w:hanging="142"/>
        <w:jc w:val="both"/>
        <w:rPr>
          <w:rFonts w:ascii="Arial Narrow" w:hAnsi="Arial Narrow"/>
          <w:sz w:val="16"/>
          <w:szCs w:val="18"/>
        </w:rPr>
      </w:pPr>
    </w:p>
    <w:p w:rsidR="00E96C6F" w:rsidRPr="00E96C6F" w:rsidRDefault="00E96C6F" w:rsidP="00E96C6F">
      <w:pPr>
        <w:tabs>
          <w:tab w:val="left" w:pos="142"/>
        </w:tabs>
        <w:ind w:left="142" w:hanging="142"/>
        <w:jc w:val="both"/>
        <w:rPr>
          <w:rFonts w:ascii="Arial Narrow" w:hAnsi="Arial Narrow"/>
          <w:sz w:val="16"/>
          <w:szCs w:val="18"/>
        </w:rPr>
      </w:pPr>
      <w:r w:rsidRPr="00E96C6F">
        <w:rPr>
          <w:rFonts w:ascii="Arial Narrow" w:hAnsi="Arial Narrow"/>
          <w:sz w:val="16"/>
          <w:szCs w:val="18"/>
        </w:rPr>
        <w:t>*</w:t>
      </w:r>
      <w:r w:rsidRPr="00E96C6F">
        <w:rPr>
          <w:rFonts w:ascii="Arial Narrow" w:hAnsi="Arial Narrow"/>
          <w:sz w:val="16"/>
          <w:szCs w:val="18"/>
        </w:rPr>
        <w:tab/>
        <w:t xml:space="preserve">Στις εκτιμήσεις δαπανών των Υπουργείων 2020 περιλαμβάνονται δαπάνες που καλύφθηκαν από το </w:t>
      </w:r>
      <w:r w:rsidR="00D409EE">
        <w:rPr>
          <w:rFonts w:ascii="Arial Narrow" w:hAnsi="Arial Narrow"/>
          <w:sz w:val="16"/>
          <w:szCs w:val="18"/>
        </w:rPr>
        <w:t xml:space="preserve">τακτικό και το ειδικό </w:t>
      </w:r>
      <w:r w:rsidRPr="00E96C6F">
        <w:rPr>
          <w:rFonts w:ascii="Arial Narrow" w:hAnsi="Arial Narrow"/>
          <w:sz w:val="16"/>
          <w:szCs w:val="18"/>
        </w:rPr>
        <w:t>αποθεματικό, εγγραφές σε ύψος δαπανών και δαπάνες για μεταναστευτικές ροές. Κατά συνέπεια το ύψος των εκτιμώμενων δαπανών έτους 2020 δεν είναι συγκρίσιμο με τις πρ</w:t>
      </w:r>
      <w:r w:rsidRPr="00E96C6F">
        <w:rPr>
          <w:rFonts w:ascii="Arial Narrow" w:hAnsi="Arial Narrow"/>
          <w:sz w:val="16"/>
          <w:szCs w:val="18"/>
        </w:rPr>
        <w:t>ο</w:t>
      </w:r>
      <w:r w:rsidRPr="00E96C6F">
        <w:rPr>
          <w:rFonts w:ascii="Arial Narrow" w:hAnsi="Arial Narrow"/>
          <w:sz w:val="16"/>
          <w:szCs w:val="18"/>
        </w:rPr>
        <w:t xml:space="preserve">βλέψεις προϋπολογισμού 2021. </w:t>
      </w:r>
    </w:p>
    <w:p w:rsidR="00E96C6F" w:rsidRPr="00E96C6F" w:rsidRDefault="00E96C6F" w:rsidP="00E96C6F">
      <w:pPr>
        <w:jc w:val="both"/>
        <w:rPr>
          <w:rFonts w:ascii="Arial Narrow" w:hAnsi="Arial Narrow"/>
          <w:sz w:val="16"/>
          <w:szCs w:val="18"/>
        </w:rPr>
      </w:pPr>
      <w:r w:rsidRPr="00E96C6F">
        <w:rPr>
          <w:rFonts w:ascii="Arial Narrow" w:hAnsi="Arial Narrow"/>
          <w:sz w:val="16"/>
          <w:szCs w:val="18"/>
        </w:rPr>
        <w:t>Παρατηρήσεις:</w:t>
      </w:r>
    </w:p>
    <w:p w:rsidR="00E96C6F" w:rsidRDefault="00E96C6F" w:rsidP="00E96C6F">
      <w:pPr>
        <w:numPr>
          <w:ilvl w:val="0"/>
          <w:numId w:val="46"/>
        </w:numPr>
        <w:ind w:left="284" w:hanging="284"/>
        <w:jc w:val="both"/>
        <w:rPr>
          <w:rFonts w:ascii="Arial Narrow" w:hAnsi="Arial Narrow"/>
          <w:sz w:val="16"/>
          <w:szCs w:val="18"/>
        </w:rPr>
      </w:pPr>
      <w:r w:rsidRPr="00E96C6F">
        <w:rPr>
          <w:rFonts w:ascii="Arial Narrow" w:hAnsi="Arial Narrow"/>
          <w:sz w:val="16"/>
          <w:szCs w:val="18"/>
        </w:rPr>
        <w:t xml:space="preserve">Οι συνολικές πιστώσεις που αφορούν σε παρεμβάσεις για </w:t>
      </w:r>
      <w:r w:rsidRPr="00E96C6F">
        <w:rPr>
          <w:rFonts w:ascii="Arial Narrow" w:hAnsi="Arial Narrow"/>
          <w:sz w:val="16"/>
          <w:szCs w:val="18"/>
          <w:lang w:val="en-US"/>
        </w:rPr>
        <w:t>Covid</w:t>
      </w:r>
      <w:r w:rsidRPr="00E96C6F">
        <w:rPr>
          <w:rFonts w:ascii="Arial Narrow" w:hAnsi="Arial Narrow"/>
          <w:sz w:val="16"/>
          <w:szCs w:val="18"/>
        </w:rPr>
        <w:t>-19 που υλοποιούνται από το Υπουργείο Εσωτ</w:t>
      </w:r>
      <w:r w:rsidR="0029595D">
        <w:rPr>
          <w:rFonts w:ascii="Arial Narrow" w:hAnsi="Arial Narrow"/>
          <w:sz w:val="16"/>
          <w:szCs w:val="18"/>
        </w:rPr>
        <w:t>ερικών το 2020 ανέρχονται σε 171</w:t>
      </w:r>
      <w:r w:rsidRPr="00E96C6F">
        <w:rPr>
          <w:rFonts w:ascii="Arial Narrow" w:hAnsi="Arial Narrow"/>
          <w:sz w:val="16"/>
          <w:szCs w:val="18"/>
        </w:rPr>
        <w:t xml:space="preserve"> εκατ. ευρώ, εκ των οποίων τα 60 εκατ. περιλαμβάνονται στις οροφές του ειδικού φορέα «Γενικές Κρατικές Δαπάνες».</w:t>
      </w:r>
    </w:p>
    <w:p w:rsidR="00EA3E96" w:rsidRPr="00E96C6F" w:rsidRDefault="00EA3E96" w:rsidP="00E96C6F">
      <w:pPr>
        <w:numPr>
          <w:ilvl w:val="0"/>
          <w:numId w:val="46"/>
        </w:numPr>
        <w:ind w:left="284" w:hanging="284"/>
        <w:jc w:val="both"/>
        <w:rPr>
          <w:rFonts w:ascii="Arial Narrow" w:hAnsi="Arial Narrow"/>
          <w:sz w:val="16"/>
          <w:szCs w:val="18"/>
        </w:rPr>
      </w:pPr>
      <w:r>
        <w:rPr>
          <w:rFonts w:ascii="Arial Narrow" w:hAnsi="Arial Narrow"/>
          <w:sz w:val="16"/>
          <w:szCs w:val="18"/>
        </w:rPr>
        <w:t xml:space="preserve">Στις πιστώσεις για παρεμβάσεις </w:t>
      </w:r>
      <w:r>
        <w:rPr>
          <w:rFonts w:ascii="Arial Narrow" w:hAnsi="Arial Narrow"/>
          <w:sz w:val="16"/>
          <w:szCs w:val="18"/>
          <w:lang w:val="en-US"/>
        </w:rPr>
        <w:t>Covid</w:t>
      </w:r>
      <w:r w:rsidRPr="00EA3E96">
        <w:rPr>
          <w:rFonts w:ascii="Arial Narrow" w:hAnsi="Arial Narrow"/>
          <w:sz w:val="16"/>
          <w:szCs w:val="18"/>
        </w:rPr>
        <w:t xml:space="preserve">-19 </w:t>
      </w:r>
      <w:r>
        <w:rPr>
          <w:rFonts w:ascii="Arial Narrow" w:hAnsi="Arial Narrow"/>
          <w:sz w:val="16"/>
          <w:szCs w:val="18"/>
        </w:rPr>
        <w:t>του Υπουργείου Υγείας για το 2020 δεν περιλαμβάνεται η επιχορήγηση ύψους 263 εκατ. ευρώ προς τον ΕΟΠΥΥ λόγω των μειωμένων εσόδων από ασφαλιστικές εισφορές κατά την περίοδο της πανδημίας.</w:t>
      </w:r>
    </w:p>
    <w:p w:rsidR="00E96C6F" w:rsidRPr="00E96C6F" w:rsidRDefault="00E96C6F" w:rsidP="00E96C6F">
      <w:pPr>
        <w:numPr>
          <w:ilvl w:val="0"/>
          <w:numId w:val="46"/>
        </w:numPr>
        <w:ind w:left="284" w:hanging="284"/>
        <w:jc w:val="both"/>
        <w:rPr>
          <w:rFonts w:ascii="Arial Narrow" w:hAnsi="Arial Narrow"/>
          <w:sz w:val="16"/>
          <w:szCs w:val="18"/>
        </w:rPr>
      </w:pPr>
      <w:r w:rsidRPr="00E96C6F">
        <w:rPr>
          <w:rFonts w:ascii="Arial Narrow" w:hAnsi="Arial Narrow"/>
          <w:sz w:val="16"/>
          <w:szCs w:val="18"/>
        </w:rPr>
        <w:t xml:space="preserve">Οι συνολικές πιστώσεις που αφορούν σε παρεμβάσεις για </w:t>
      </w:r>
      <w:r w:rsidRPr="00E96C6F">
        <w:rPr>
          <w:rFonts w:ascii="Arial Narrow" w:hAnsi="Arial Narrow"/>
          <w:sz w:val="16"/>
          <w:szCs w:val="18"/>
          <w:lang w:val="en-US"/>
        </w:rPr>
        <w:t>Covid</w:t>
      </w:r>
      <w:r w:rsidRPr="00E96C6F">
        <w:rPr>
          <w:rFonts w:ascii="Arial Narrow" w:hAnsi="Arial Narrow"/>
          <w:sz w:val="16"/>
          <w:szCs w:val="18"/>
        </w:rPr>
        <w:t>-19 που υλοποιούνται από το Υπουργείο Πολιτισμού και Αθλητισμού το 2020 ανέ</w:t>
      </w:r>
      <w:r w:rsidRPr="00E96C6F">
        <w:rPr>
          <w:rFonts w:ascii="Arial Narrow" w:hAnsi="Arial Narrow"/>
          <w:sz w:val="16"/>
          <w:szCs w:val="18"/>
        </w:rPr>
        <w:t>ρ</w:t>
      </w:r>
      <w:r w:rsidRPr="00E96C6F">
        <w:rPr>
          <w:rFonts w:ascii="Arial Narrow" w:hAnsi="Arial Narrow"/>
          <w:sz w:val="16"/>
          <w:szCs w:val="18"/>
        </w:rPr>
        <w:t>χονται σε 42 εκατ. ευρώ, εκ των οποίων τα 30 εκατ. περιλαμβάνονται στις οροφές του ειδικού φορέα «Γενικές Κρατικές Δαπάνες».</w:t>
      </w:r>
    </w:p>
    <w:p w:rsidR="00E96C6F" w:rsidRPr="00E96C6F" w:rsidRDefault="00E96C6F" w:rsidP="00E96C6F">
      <w:pPr>
        <w:numPr>
          <w:ilvl w:val="0"/>
          <w:numId w:val="46"/>
        </w:numPr>
        <w:ind w:left="284" w:hanging="284"/>
        <w:jc w:val="both"/>
        <w:rPr>
          <w:rFonts w:ascii="Arial Narrow" w:hAnsi="Arial Narrow"/>
          <w:sz w:val="16"/>
          <w:szCs w:val="18"/>
        </w:rPr>
      </w:pPr>
      <w:r w:rsidRPr="00E96C6F">
        <w:rPr>
          <w:rFonts w:ascii="Arial Narrow" w:hAnsi="Arial Narrow"/>
          <w:sz w:val="16"/>
          <w:szCs w:val="18"/>
        </w:rPr>
        <w:t xml:space="preserve">Οι συνολικές πιστώσεις που αφορούν σε παρεμβάσεις για </w:t>
      </w:r>
      <w:r w:rsidRPr="00E96C6F">
        <w:rPr>
          <w:rFonts w:ascii="Arial Narrow" w:hAnsi="Arial Narrow"/>
          <w:sz w:val="16"/>
          <w:szCs w:val="18"/>
          <w:lang w:val="en-US"/>
        </w:rPr>
        <w:t>Covid</w:t>
      </w:r>
      <w:r w:rsidRPr="00E96C6F">
        <w:rPr>
          <w:rFonts w:ascii="Arial Narrow" w:hAnsi="Arial Narrow"/>
          <w:sz w:val="16"/>
          <w:szCs w:val="18"/>
        </w:rPr>
        <w:t>-19 που υλοποιούνται από το Υπουργείο Αγροτικής Ανάπτυξης και Τροφίμων το 2020 ανέρχονται σε 150 εκατ. ευρώ, εκ των οποίων τα 72 εκατ. περιλαμβάνονται στις οροφές του ειδικού φορέα «Γενικές Κρατικές Δαπάνες».</w:t>
      </w:r>
    </w:p>
    <w:p w:rsidR="00E96C6F" w:rsidRPr="00E96C6F" w:rsidRDefault="00E96C6F" w:rsidP="00E96C6F">
      <w:pPr>
        <w:numPr>
          <w:ilvl w:val="0"/>
          <w:numId w:val="46"/>
        </w:numPr>
        <w:ind w:left="284" w:hanging="284"/>
        <w:jc w:val="both"/>
        <w:rPr>
          <w:rFonts w:ascii="Arial Narrow" w:hAnsi="Arial Narrow"/>
          <w:sz w:val="16"/>
          <w:szCs w:val="18"/>
        </w:rPr>
      </w:pPr>
      <w:r w:rsidRPr="00E96C6F">
        <w:rPr>
          <w:rFonts w:ascii="Arial Narrow" w:hAnsi="Arial Narrow"/>
          <w:sz w:val="16"/>
          <w:szCs w:val="18"/>
        </w:rPr>
        <w:t xml:space="preserve">Οι συνολικές πιστώσεις που αφορούν σε παρεμβάσεις για </w:t>
      </w:r>
      <w:r w:rsidRPr="00E96C6F">
        <w:rPr>
          <w:rFonts w:ascii="Arial Narrow" w:hAnsi="Arial Narrow"/>
          <w:sz w:val="16"/>
          <w:szCs w:val="18"/>
          <w:lang w:val="en-US"/>
        </w:rPr>
        <w:t>Covid</w:t>
      </w:r>
      <w:r w:rsidRPr="00E96C6F">
        <w:rPr>
          <w:rFonts w:ascii="Arial Narrow" w:hAnsi="Arial Narrow"/>
          <w:sz w:val="16"/>
          <w:szCs w:val="18"/>
        </w:rPr>
        <w:t>-19 που υλοποιούνται από το Υπουργείο Υποδομών και Μεταφορών το 2020 ανέ</w:t>
      </w:r>
      <w:r w:rsidRPr="00E96C6F">
        <w:rPr>
          <w:rFonts w:ascii="Arial Narrow" w:hAnsi="Arial Narrow"/>
          <w:sz w:val="16"/>
          <w:szCs w:val="18"/>
        </w:rPr>
        <w:t>ρ</w:t>
      </w:r>
      <w:r w:rsidRPr="00E96C6F">
        <w:rPr>
          <w:rFonts w:ascii="Arial Narrow" w:hAnsi="Arial Narrow"/>
          <w:sz w:val="16"/>
          <w:szCs w:val="18"/>
        </w:rPr>
        <w:t>χονται σε 108 εκατ. ευρώ, εκ των οποίων τα 102 εκατ. περιλαμβάνονται στις οροφές του ειδικού φορέα «Γενικές Κρατικές Δαπάνες».</w:t>
      </w:r>
    </w:p>
    <w:p w:rsidR="00E96C6F" w:rsidRPr="00E96C6F" w:rsidRDefault="00E96C6F" w:rsidP="00E96C6F">
      <w:pPr>
        <w:numPr>
          <w:ilvl w:val="0"/>
          <w:numId w:val="46"/>
        </w:numPr>
        <w:ind w:left="284" w:hanging="284"/>
        <w:jc w:val="both"/>
        <w:rPr>
          <w:rFonts w:ascii="Arial Narrow" w:hAnsi="Arial Narrow"/>
          <w:sz w:val="16"/>
          <w:szCs w:val="18"/>
        </w:rPr>
      </w:pPr>
      <w:r w:rsidRPr="00E96C6F">
        <w:rPr>
          <w:rFonts w:ascii="Arial Narrow" w:hAnsi="Arial Narrow"/>
          <w:sz w:val="16"/>
          <w:szCs w:val="18"/>
        </w:rPr>
        <w:t xml:space="preserve">Οι συνολικές πιστώσεις που αφορούν σε παρεμβάσεις για </w:t>
      </w:r>
      <w:r w:rsidRPr="00E96C6F">
        <w:rPr>
          <w:rFonts w:ascii="Arial Narrow" w:hAnsi="Arial Narrow"/>
          <w:sz w:val="16"/>
          <w:szCs w:val="18"/>
          <w:lang w:val="en-US"/>
        </w:rPr>
        <w:t>Covid</w:t>
      </w:r>
      <w:r w:rsidRPr="00E96C6F">
        <w:rPr>
          <w:rFonts w:ascii="Arial Narrow" w:hAnsi="Arial Narrow"/>
          <w:sz w:val="16"/>
          <w:szCs w:val="18"/>
        </w:rPr>
        <w:t>-19 που υλοποιούνται από το Υπουργείο Προστασίας του Πολίτη το 2020 ανέρχ</w:t>
      </w:r>
      <w:r w:rsidRPr="00E96C6F">
        <w:rPr>
          <w:rFonts w:ascii="Arial Narrow" w:hAnsi="Arial Narrow"/>
          <w:sz w:val="16"/>
          <w:szCs w:val="18"/>
        </w:rPr>
        <w:t>ο</w:t>
      </w:r>
      <w:r w:rsidRPr="00E96C6F">
        <w:rPr>
          <w:rFonts w:ascii="Arial Narrow" w:hAnsi="Arial Narrow"/>
          <w:sz w:val="16"/>
          <w:szCs w:val="18"/>
        </w:rPr>
        <w:t>νται σε 94 εκατ. ευρώ, εκ των οποίων τα 31 εκατ. περιλαμβάνονται στις οροφές του ειδικού φορέα «Γενικές Κρατικές Δαπάνες».</w:t>
      </w:r>
    </w:p>
    <w:p w:rsidR="00E96C6F" w:rsidRPr="00E96C6F" w:rsidRDefault="00E96C6F" w:rsidP="00E96C6F">
      <w:pPr>
        <w:numPr>
          <w:ilvl w:val="0"/>
          <w:numId w:val="46"/>
        </w:numPr>
        <w:ind w:left="284" w:hanging="284"/>
        <w:jc w:val="both"/>
        <w:rPr>
          <w:rFonts w:ascii="Arial Narrow" w:hAnsi="Arial Narrow"/>
          <w:sz w:val="16"/>
          <w:szCs w:val="18"/>
        </w:rPr>
      </w:pPr>
      <w:r w:rsidRPr="00E96C6F">
        <w:rPr>
          <w:rFonts w:ascii="Arial Narrow" w:hAnsi="Arial Narrow"/>
          <w:sz w:val="16"/>
          <w:szCs w:val="18"/>
        </w:rPr>
        <w:t xml:space="preserve">Στις παρεμβάσεις </w:t>
      </w:r>
      <w:r w:rsidRPr="00E96C6F">
        <w:rPr>
          <w:rFonts w:ascii="Arial Narrow" w:hAnsi="Arial Narrow"/>
          <w:sz w:val="16"/>
          <w:szCs w:val="18"/>
          <w:lang w:val="en-US"/>
        </w:rPr>
        <w:t>Covid</w:t>
      </w:r>
      <w:r w:rsidRPr="00E96C6F">
        <w:rPr>
          <w:rFonts w:ascii="Arial Narrow" w:hAnsi="Arial Narrow"/>
          <w:sz w:val="16"/>
          <w:szCs w:val="18"/>
        </w:rPr>
        <w:t>-19 για το 2021 δεν συμπεριλαμβάνονται πιστώσεις ύψους 88 εκατ. ευρώ που αφορούν σε δράσεις του ΟΑΕΔ.</w:t>
      </w:r>
    </w:p>
    <w:p w:rsidR="00EA3E96" w:rsidRPr="00EA3E96" w:rsidRDefault="00E96C6F" w:rsidP="00E96C6F">
      <w:pPr>
        <w:numPr>
          <w:ilvl w:val="0"/>
          <w:numId w:val="46"/>
        </w:numPr>
        <w:ind w:left="284" w:hanging="284"/>
        <w:jc w:val="both"/>
        <w:rPr>
          <w:rFonts w:ascii="Arial Narrow" w:hAnsi="Arial Narrow"/>
          <w:sz w:val="16"/>
          <w:szCs w:val="18"/>
        </w:rPr>
      </w:pPr>
      <w:r w:rsidRPr="00E96C6F">
        <w:rPr>
          <w:rFonts w:ascii="Arial Narrow" w:hAnsi="Arial Narrow"/>
          <w:sz w:val="16"/>
          <w:szCs w:val="18"/>
        </w:rPr>
        <w:t>Εθνικολογιστικές προσαρμογές: (+) μείωση δαπανών / (-) αύξηση δαπανών.</w:t>
      </w:r>
    </w:p>
    <w:p w:rsidR="00E96C6F" w:rsidRPr="00E96C6F" w:rsidRDefault="00E96C6F" w:rsidP="00EA3E96">
      <w:pPr>
        <w:jc w:val="both"/>
        <w:rPr>
          <w:rFonts w:ascii="Arial Narrow" w:hAnsi="Arial Narrow"/>
          <w:sz w:val="16"/>
          <w:szCs w:val="18"/>
        </w:rPr>
      </w:pPr>
    </w:p>
    <w:p w:rsidR="00E96C6F" w:rsidRPr="00E96C6F" w:rsidRDefault="00E96C6F" w:rsidP="00E96C6F">
      <w:pPr>
        <w:jc w:val="both"/>
        <w:rPr>
          <w:rFonts w:ascii="Arial Narrow" w:hAnsi="Arial Narrow"/>
          <w:sz w:val="16"/>
          <w:szCs w:val="18"/>
        </w:rPr>
      </w:pPr>
    </w:p>
    <w:p w:rsidR="006618BA" w:rsidRDefault="006618BA">
      <w:pPr>
        <w:rPr>
          <w:sz w:val="22"/>
          <w:szCs w:val="22"/>
        </w:rPr>
      </w:pPr>
      <w:r>
        <w:rPr>
          <w:sz w:val="22"/>
          <w:szCs w:val="22"/>
        </w:rPr>
        <w:br w:type="page"/>
      </w:r>
    </w:p>
    <w:p w:rsidR="006618BA" w:rsidRDefault="006618BA" w:rsidP="006618BA">
      <w:pPr>
        <w:jc w:val="both"/>
        <w:rPr>
          <w:sz w:val="22"/>
        </w:rPr>
      </w:pPr>
    </w:p>
    <w:tbl>
      <w:tblPr>
        <w:tblW w:w="9214" w:type="dxa"/>
        <w:tblInd w:w="28" w:type="dxa"/>
        <w:tblLayout w:type="fixed"/>
        <w:tblCellMar>
          <w:left w:w="28" w:type="dxa"/>
          <w:right w:w="28" w:type="dxa"/>
        </w:tblCellMar>
        <w:tblLook w:val="04A0"/>
      </w:tblPr>
      <w:tblGrid>
        <w:gridCol w:w="369"/>
        <w:gridCol w:w="5585"/>
        <w:gridCol w:w="1701"/>
        <w:gridCol w:w="1559"/>
      </w:tblGrid>
      <w:tr w:rsidR="006618BA" w:rsidRPr="00E51833" w:rsidTr="003C79F3">
        <w:trPr>
          <w:trHeight w:val="660"/>
        </w:trPr>
        <w:tc>
          <w:tcPr>
            <w:tcW w:w="9214" w:type="dxa"/>
            <w:gridSpan w:val="4"/>
            <w:tcBorders>
              <w:top w:val="single" w:sz="4" w:space="0" w:color="auto"/>
              <w:left w:val="single" w:sz="4" w:space="0" w:color="auto"/>
              <w:bottom w:val="single" w:sz="4" w:space="0" w:color="auto"/>
              <w:right w:val="single" w:sz="4" w:space="0" w:color="000000"/>
            </w:tcBorders>
            <w:shd w:val="clear" w:color="auto" w:fill="404040" w:themeFill="text1" w:themeFillTint="BF"/>
            <w:vAlign w:val="bottom"/>
            <w:hideMark/>
          </w:tcPr>
          <w:p w:rsidR="006618BA" w:rsidRPr="00E51833" w:rsidRDefault="006618BA" w:rsidP="003C79F3">
            <w:pPr>
              <w:spacing w:before="120" w:after="120"/>
              <w:jc w:val="center"/>
              <w:rPr>
                <w:rFonts w:ascii="Arial Narrow" w:hAnsi="Arial Narrow"/>
                <w:color w:val="FFFFFF" w:themeColor="background1"/>
              </w:rPr>
            </w:pPr>
            <w:bookmarkStart w:id="5" w:name="RANGE!C2:H27"/>
            <w:r w:rsidRPr="00465D7D">
              <w:rPr>
                <w:rFonts w:ascii="Arial Narrow" w:hAnsi="Arial Narrow"/>
                <w:b/>
                <w:bCs/>
                <w:color w:val="FFFFFF" w:themeColor="background1"/>
              </w:rPr>
              <w:t>Πίνακας 3</w:t>
            </w:r>
            <w:r w:rsidR="006D58F6">
              <w:rPr>
                <w:rFonts w:ascii="Arial Narrow" w:hAnsi="Arial Narrow"/>
                <w:b/>
                <w:bCs/>
                <w:color w:val="FFFFFF" w:themeColor="background1"/>
              </w:rPr>
              <w:t>.15</w:t>
            </w:r>
            <w:r w:rsidRPr="00E51833">
              <w:rPr>
                <w:rFonts w:ascii="Arial Narrow" w:hAnsi="Arial Narrow"/>
                <w:b/>
                <w:bCs/>
                <w:color w:val="FFFFFF" w:themeColor="background1"/>
              </w:rPr>
              <w:t xml:space="preserve"> Ανώτατα όρια δαπανών Ανεξάρτητων Διοικητικών Αρχών φορέων των Υπουργείων</w:t>
            </w:r>
            <w:r w:rsidRPr="00E51833">
              <w:rPr>
                <w:rFonts w:ascii="Arial Narrow" w:hAnsi="Arial Narrow"/>
                <w:color w:val="FFFFFF" w:themeColor="background1"/>
              </w:rPr>
              <w:br/>
            </w:r>
            <w:r w:rsidRPr="00E51833">
              <w:rPr>
                <w:rFonts w:ascii="Arial Narrow" w:hAnsi="Arial Narrow"/>
                <w:b/>
                <w:i/>
                <w:iCs/>
                <w:color w:val="FFFFFF" w:themeColor="background1"/>
              </w:rPr>
              <w:t>(σε εκατ. ευρώ)</w:t>
            </w:r>
            <w:bookmarkEnd w:id="5"/>
          </w:p>
        </w:tc>
      </w:tr>
      <w:tr w:rsidR="006618BA" w:rsidRPr="00E51833" w:rsidTr="003C79F3">
        <w:trPr>
          <w:trHeight w:val="227"/>
        </w:trPr>
        <w:tc>
          <w:tcPr>
            <w:tcW w:w="9214"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6618BA" w:rsidRPr="00465D7D" w:rsidRDefault="006618BA" w:rsidP="003C79F3">
            <w:pPr>
              <w:jc w:val="center"/>
              <w:rPr>
                <w:rFonts w:ascii="Arial Narrow" w:hAnsi="Arial Narrow"/>
                <w:b/>
                <w:bCs/>
                <w:color w:val="FFFFFF" w:themeColor="background1"/>
              </w:rPr>
            </w:pPr>
          </w:p>
        </w:tc>
      </w:tr>
      <w:tr w:rsidR="006618BA" w:rsidRPr="00E51833" w:rsidTr="003C79F3">
        <w:trPr>
          <w:trHeight w:val="288"/>
        </w:trPr>
        <w:tc>
          <w:tcPr>
            <w:tcW w:w="595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618BA" w:rsidRPr="00947054" w:rsidRDefault="006618BA" w:rsidP="003C79F3">
            <w:pPr>
              <w:jc w:val="center"/>
              <w:rPr>
                <w:rFonts w:ascii="Arial Narrow" w:hAnsi="Arial Narrow"/>
                <w:b/>
                <w:bCs/>
                <w:color w:val="000000"/>
                <w:sz w:val="16"/>
                <w:szCs w:val="16"/>
                <w:vertAlign w:val="superscript"/>
              </w:rPr>
            </w:pPr>
            <w:r w:rsidRPr="00E51833">
              <w:rPr>
                <w:rFonts w:ascii="Arial Narrow" w:hAnsi="Arial Narrow"/>
                <w:b/>
                <w:bCs/>
                <w:color w:val="000000"/>
                <w:sz w:val="16"/>
                <w:szCs w:val="16"/>
              </w:rPr>
              <w:t>Ανεξάρτητες Διοικητικές Αρχές</w:t>
            </w:r>
            <w:r>
              <w:rPr>
                <w:rFonts w:ascii="Arial Narrow" w:hAnsi="Arial Narrow"/>
                <w:b/>
                <w:bCs/>
                <w:color w:val="000000"/>
                <w:sz w:val="16"/>
                <w:szCs w:val="16"/>
                <w:vertAlign w:val="superscript"/>
              </w:rPr>
              <w:t>1</w:t>
            </w:r>
          </w:p>
        </w:tc>
        <w:tc>
          <w:tcPr>
            <w:tcW w:w="1701" w:type="dxa"/>
            <w:tcBorders>
              <w:top w:val="nil"/>
              <w:left w:val="nil"/>
              <w:bottom w:val="single" w:sz="4" w:space="0" w:color="auto"/>
              <w:right w:val="single" w:sz="4" w:space="0" w:color="000000"/>
            </w:tcBorders>
            <w:shd w:val="clear" w:color="auto" w:fill="auto"/>
            <w:noWrap/>
            <w:vAlign w:val="center"/>
            <w:hideMark/>
          </w:tcPr>
          <w:p w:rsidR="006618BA" w:rsidRPr="00E51833" w:rsidRDefault="006618BA" w:rsidP="003C79F3">
            <w:pPr>
              <w:jc w:val="center"/>
              <w:rPr>
                <w:rFonts w:ascii="Arial Narrow" w:hAnsi="Arial Narrow"/>
                <w:b/>
                <w:bCs/>
                <w:color w:val="000000"/>
                <w:sz w:val="16"/>
                <w:szCs w:val="16"/>
              </w:rPr>
            </w:pPr>
            <w:r>
              <w:rPr>
                <w:rFonts w:ascii="Arial Narrow" w:hAnsi="Arial Narrow"/>
                <w:b/>
                <w:bCs/>
                <w:color w:val="000000"/>
                <w:sz w:val="16"/>
                <w:szCs w:val="16"/>
              </w:rPr>
              <w:t>2020</w:t>
            </w:r>
          </w:p>
        </w:tc>
        <w:tc>
          <w:tcPr>
            <w:tcW w:w="1559" w:type="dxa"/>
            <w:tcBorders>
              <w:top w:val="nil"/>
              <w:left w:val="nil"/>
              <w:bottom w:val="nil"/>
              <w:right w:val="single" w:sz="4" w:space="0" w:color="000000"/>
            </w:tcBorders>
            <w:shd w:val="clear" w:color="auto" w:fill="auto"/>
            <w:noWrap/>
            <w:vAlign w:val="center"/>
            <w:hideMark/>
          </w:tcPr>
          <w:p w:rsidR="006618BA" w:rsidRPr="00E51833" w:rsidRDefault="006618BA" w:rsidP="003C79F3">
            <w:pPr>
              <w:jc w:val="center"/>
              <w:rPr>
                <w:rFonts w:ascii="Arial Narrow" w:hAnsi="Arial Narrow"/>
                <w:b/>
                <w:bCs/>
                <w:color w:val="000000"/>
                <w:sz w:val="16"/>
                <w:szCs w:val="16"/>
              </w:rPr>
            </w:pPr>
            <w:r w:rsidRPr="00E51833">
              <w:rPr>
                <w:rFonts w:ascii="Arial Narrow" w:hAnsi="Arial Narrow"/>
                <w:b/>
                <w:bCs/>
                <w:color w:val="000000"/>
                <w:sz w:val="16"/>
                <w:szCs w:val="16"/>
              </w:rPr>
              <w:t>20</w:t>
            </w:r>
            <w:r>
              <w:rPr>
                <w:rFonts w:ascii="Arial Narrow" w:hAnsi="Arial Narrow"/>
                <w:b/>
                <w:bCs/>
                <w:color w:val="000000"/>
                <w:sz w:val="16"/>
                <w:szCs w:val="16"/>
              </w:rPr>
              <w:t>21</w:t>
            </w:r>
          </w:p>
        </w:tc>
      </w:tr>
      <w:tr w:rsidR="006618BA" w:rsidRPr="00E51833" w:rsidTr="003C79F3">
        <w:trPr>
          <w:trHeight w:val="288"/>
        </w:trPr>
        <w:tc>
          <w:tcPr>
            <w:tcW w:w="5954" w:type="dxa"/>
            <w:gridSpan w:val="2"/>
            <w:vMerge/>
            <w:tcBorders>
              <w:top w:val="single" w:sz="4" w:space="0" w:color="auto"/>
              <w:left w:val="single" w:sz="4" w:space="0" w:color="auto"/>
              <w:bottom w:val="single" w:sz="4" w:space="0" w:color="auto"/>
              <w:right w:val="single" w:sz="4" w:space="0" w:color="000000"/>
            </w:tcBorders>
            <w:vAlign w:val="center"/>
            <w:hideMark/>
          </w:tcPr>
          <w:p w:rsidR="006618BA" w:rsidRPr="00E51833" w:rsidRDefault="006618BA" w:rsidP="003C79F3">
            <w:pPr>
              <w:rPr>
                <w:rFonts w:ascii="Arial Narrow" w:hAnsi="Arial Narrow"/>
                <w:b/>
                <w:bCs/>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6618BA" w:rsidRPr="00E51833" w:rsidRDefault="006618BA" w:rsidP="003C79F3">
            <w:pPr>
              <w:jc w:val="center"/>
              <w:rPr>
                <w:rFonts w:ascii="Arial Narrow" w:hAnsi="Arial Narrow"/>
                <w:b/>
                <w:bCs/>
                <w:color w:val="000000"/>
                <w:sz w:val="16"/>
                <w:szCs w:val="16"/>
              </w:rPr>
            </w:pPr>
            <w:r w:rsidRPr="00E51833">
              <w:rPr>
                <w:rFonts w:ascii="Arial Narrow" w:hAnsi="Arial Narrow"/>
                <w:b/>
                <w:bCs/>
                <w:color w:val="000000"/>
                <w:sz w:val="16"/>
                <w:szCs w:val="16"/>
              </w:rPr>
              <w:t>Εκτιμήσεις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618BA" w:rsidRPr="00E51833" w:rsidRDefault="006618BA" w:rsidP="003C79F3">
            <w:pPr>
              <w:jc w:val="center"/>
              <w:rPr>
                <w:rFonts w:ascii="Arial Narrow" w:hAnsi="Arial Narrow"/>
                <w:b/>
                <w:bCs/>
                <w:color w:val="000000"/>
                <w:sz w:val="16"/>
                <w:szCs w:val="16"/>
              </w:rPr>
            </w:pPr>
            <w:r w:rsidRPr="00E51833">
              <w:rPr>
                <w:rFonts w:ascii="Arial Narrow" w:hAnsi="Arial Narrow"/>
                <w:b/>
                <w:bCs/>
                <w:color w:val="000000"/>
                <w:sz w:val="16"/>
                <w:szCs w:val="16"/>
              </w:rPr>
              <w:t>Προβλέψεις</w:t>
            </w:r>
          </w:p>
        </w:tc>
      </w:tr>
      <w:tr w:rsidR="006618BA" w:rsidRPr="00E51833" w:rsidTr="003C79F3">
        <w:trPr>
          <w:trHeight w:val="170"/>
        </w:trPr>
        <w:tc>
          <w:tcPr>
            <w:tcW w:w="369" w:type="dxa"/>
            <w:tcBorders>
              <w:top w:val="single" w:sz="4" w:space="0" w:color="auto"/>
              <w:left w:val="single" w:sz="4" w:space="0" w:color="auto"/>
              <w:bottom w:val="nil"/>
            </w:tcBorders>
            <w:shd w:val="clear" w:color="000000" w:fill="BFBFBF"/>
            <w:noWrap/>
            <w:vAlign w:val="center"/>
            <w:hideMark/>
          </w:tcPr>
          <w:p w:rsidR="006618BA" w:rsidRPr="00E51833" w:rsidRDefault="006618BA" w:rsidP="003C79F3">
            <w:pPr>
              <w:spacing w:before="40" w:after="40"/>
              <w:jc w:val="center"/>
              <w:rPr>
                <w:rFonts w:ascii="Arial Narrow" w:hAnsi="Arial Narrow"/>
                <w:b/>
                <w:bCs/>
                <w:color w:val="000000"/>
                <w:sz w:val="16"/>
                <w:szCs w:val="16"/>
              </w:rPr>
            </w:pPr>
            <w:r w:rsidRPr="00E51833">
              <w:rPr>
                <w:rFonts w:ascii="Arial Narrow" w:hAnsi="Arial Narrow"/>
                <w:b/>
                <w:bCs/>
                <w:color w:val="000000"/>
                <w:sz w:val="16"/>
                <w:szCs w:val="16"/>
              </w:rPr>
              <w:t>1</w:t>
            </w:r>
          </w:p>
        </w:tc>
        <w:tc>
          <w:tcPr>
            <w:tcW w:w="5585" w:type="dxa"/>
            <w:tcBorders>
              <w:top w:val="single" w:sz="4" w:space="0" w:color="auto"/>
              <w:bottom w:val="nil"/>
            </w:tcBorders>
            <w:shd w:val="clear" w:color="000000" w:fill="BFBFBF"/>
            <w:noWrap/>
            <w:vAlign w:val="bottom"/>
            <w:hideMark/>
          </w:tcPr>
          <w:p w:rsidR="006618BA" w:rsidRPr="00E51833" w:rsidRDefault="006618BA" w:rsidP="003C79F3">
            <w:pPr>
              <w:spacing w:before="40" w:after="40"/>
              <w:rPr>
                <w:rFonts w:ascii="Arial Narrow" w:hAnsi="Arial Narrow"/>
                <w:b/>
                <w:bCs/>
                <w:color w:val="000000"/>
                <w:sz w:val="16"/>
                <w:szCs w:val="16"/>
              </w:rPr>
            </w:pPr>
            <w:r w:rsidRPr="00E51833">
              <w:rPr>
                <w:rFonts w:ascii="Arial Narrow" w:hAnsi="Arial Narrow"/>
                <w:b/>
                <w:bCs/>
                <w:color w:val="000000"/>
                <w:sz w:val="16"/>
                <w:szCs w:val="16"/>
              </w:rPr>
              <w:t xml:space="preserve">ΥΠΟΥΡΓΕΙΟ </w:t>
            </w:r>
            <w:r>
              <w:rPr>
                <w:rFonts w:ascii="Arial Narrow" w:hAnsi="Arial Narrow"/>
                <w:b/>
                <w:bCs/>
                <w:color w:val="000000"/>
                <w:sz w:val="16"/>
                <w:szCs w:val="16"/>
              </w:rPr>
              <w:t>ΕΣΩΤΕΡΙΚΩΝ</w:t>
            </w:r>
          </w:p>
        </w:tc>
        <w:tc>
          <w:tcPr>
            <w:tcW w:w="1701" w:type="dxa"/>
            <w:tcBorders>
              <w:top w:val="single" w:sz="4" w:space="0" w:color="auto"/>
              <w:bottom w:val="nil"/>
            </w:tcBorders>
            <w:shd w:val="clear" w:color="000000" w:fill="BFBFBF"/>
            <w:noWrap/>
            <w:vAlign w:val="center"/>
            <w:hideMark/>
          </w:tcPr>
          <w:p w:rsidR="006618BA" w:rsidRDefault="006618BA" w:rsidP="006618BA">
            <w:pPr>
              <w:ind w:right="681"/>
              <w:jc w:val="right"/>
              <w:rPr>
                <w:rFonts w:ascii="Arial Narrow" w:hAnsi="Arial Narrow"/>
                <w:b/>
                <w:bCs/>
                <w:color w:val="000000"/>
                <w:sz w:val="16"/>
                <w:szCs w:val="16"/>
              </w:rPr>
            </w:pPr>
            <w:r>
              <w:rPr>
                <w:rFonts w:ascii="Arial Narrow" w:hAnsi="Arial Narrow"/>
                <w:b/>
                <w:bCs/>
                <w:color w:val="000000"/>
                <w:sz w:val="16"/>
                <w:szCs w:val="16"/>
              </w:rPr>
              <w:t>24,9</w:t>
            </w:r>
          </w:p>
        </w:tc>
        <w:tc>
          <w:tcPr>
            <w:tcW w:w="1559" w:type="dxa"/>
            <w:tcBorders>
              <w:top w:val="single" w:sz="4" w:space="0" w:color="auto"/>
              <w:bottom w:val="nil"/>
              <w:right w:val="single" w:sz="4" w:space="0" w:color="auto"/>
            </w:tcBorders>
            <w:shd w:val="clear" w:color="000000" w:fill="BFBFBF"/>
            <w:noWrap/>
            <w:vAlign w:val="center"/>
            <w:hideMark/>
          </w:tcPr>
          <w:p w:rsidR="006618BA" w:rsidRDefault="006618BA" w:rsidP="006618BA">
            <w:pPr>
              <w:ind w:right="681"/>
              <w:jc w:val="right"/>
              <w:rPr>
                <w:rFonts w:ascii="Arial Narrow" w:hAnsi="Arial Narrow"/>
                <w:b/>
                <w:bCs/>
                <w:color w:val="000000"/>
                <w:sz w:val="16"/>
                <w:szCs w:val="16"/>
              </w:rPr>
            </w:pPr>
            <w:r>
              <w:rPr>
                <w:rFonts w:ascii="Arial Narrow" w:hAnsi="Arial Narrow"/>
                <w:b/>
                <w:bCs/>
                <w:color w:val="000000"/>
                <w:sz w:val="16"/>
                <w:szCs w:val="16"/>
              </w:rPr>
              <w:t>25,4</w:t>
            </w:r>
          </w:p>
        </w:tc>
      </w:tr>
      <w:tr w:rsidR="006618BA" w:rsidRPr="00E51833" w:rsidTr="003C79F3">
        <w:trPr>
          <w:trHeight w:val="170"/>
        </w:trPr>
        <w:tc>
          <w:tcPr>
            <w:tcW w:w="369" w:type="dxa"/>
            <w:tcBorders>
              <w:top w:val="nil"/>
              <w:left w:val="single" w:sz="4" w:space="0" w:color="auto"/>
              <w:bottom w:val="nil"/>
            </w:tcBorders>
            <w:shd w:val="clear" w:color="auto" w:fill="auto"/>
            <w:noWrap/>
            <w:vAlign w:val="center"/>
            <w:hideMark/>
          </w:tcPr>
          <w:p w:rsidR="006618BA" w:rsidRPr="00E51833" w:rsidRDefault="006618BA" w:rsidP="003C79F3">
            <w:pPr>
              <w:spacing w:before="40" w:after="40"/>
              <w:jc w:val="center"/>
              <w:rPr>
                <w:rFonts w:ascii="Arial Narrow" w:hAnsi="Arial Narrow"/>
                <w:color w:val="000000"/>
                <w:sz w:val="16"/>
                <w:szCs w:val="16"/>
              </w:rPr>
            </w:pPr>
            <w:r w:rsidRPr="00E51833">
              <w:rPr>
                <w:rFonts w:ascii="Arial Narrow" w:hAnsi="Arial Narrow"/>
                <w:color w:val="000000"/>
                <w:sz w:val="16"/>
                <w:szCs w:val="16"/>
              </w:rPr>
              <w:t>Α</w:t>
            </w:r>
          </w:p>
        </w:tc>
        <w:tc>
          <w:tcPr>
            <w:tcW w:w="5585" w:type="dxa"/>
            <w:tcBorders>
              <w:top w:val="nil"/>
              <w:bottom w:val="nil"/>
            </w:tcBorders>
            <w:shd w:val="clear" w:color="auto" w:fill="auto"/>
            <w:noWrap/>
            <w:hideMark/>
          </w:tcPr>
          <w:p w:rsidR="006618BA" w:rsidRPr="00E51833" w:rsidRDefault="006618BA" w:rsidP="003C79F3">
            <w:pPr>
              <w:spacing w:before="40" w:after="40"/>
              <w:rPr>
                <w:rFonts w:ascii="Arial Narrow" w:hAnsi="Arial Narrow"/>
                <w:sz w:val="16"/>
                <w:szCs w:val="16"/>
              </w:rPr>
            </w:pPr>
            <w:r w:rsidRPr="00E51833">
              <w:rPr>
                <w:rFonts w:ascii="Arial Narrow" w:hAnsi="Arial Narrow"/>
                <w:sz w:val="16"/>
                <w:szCs w:val="16"/>
              </w:rPr>
              <w:t>Ανώτατο Συμβούλιο Επιλογής Προσωπικού</w:t>
            </w:r>
          </w:p>
        </w:tc>
        <w:tc>
          <w:tcPr>
            <w:tcW w:w="1701" w:type="dxa"/>
            <w:tcBorders>
              <w:top w:val="nil"/>
              <w:bottom w:val="nil"/>
            </w:tcBorders>
            <w:shd w:val="clear" w:color="auto" w:fill="auto"/>
            <w:noWrap/>
            <w:vAlign w:val="center"/>
            <w:hideMark/>
          </w:tcPr>
          <w:p w:rsidR="006618BA" w:rsidRDefault="006618BA" w:rsidP="006618BA">
            <w:pPr>
              <w:ind w:right="681"/>
              <w:jc w:val="right"/>
              <w:rPr>
                <w:rFonts w:ascii="Arial Narrow" w:hAnsi="Arial Narrow"/>
                <w:color w:val="000000"/>
                <w:sz w:val="16"/>
                <w:szCs w:val="16"/>
              </w:rPr>
            </w:pPr>
            <w:r>
              <w:rPr>
                <w:rFonts w:ascii="Arial Narrow" w:hAnsi="Arial Narrow"/>
                <w:color w:val="000000"/>
                <w:sz w:val="16"/>
                <w:szCs w:val="16"/>
              </w:rPr>
              <w:t>11,6</w:t>
            </w:r>
          </w:p>
        </w:tc>
        <w:tc>
          <w:tcPr>
            <w:tcW w:w="1559" w:type="dxa"/>
            <w:tcBorders>
              <w:top w:val="nil"/>
              <w:bottom w:val="nil"/>
              <w:right w:val="single" w:sz="4" w:space="0" w:color="auto"/>
            </w:tcBorders>
            <w:shd w:val="clear" w:color="auto" w:fill="auto"/>
            <w:noWrap/>
            <w:vAlign w:val="center"/>
            <w:hideMark/>
          </w:tcPr>
          <w:p w:rsidR="006618BA" w:rsidRDefault="006618BA" w:rsidP="006618BA">
            <w:pPr>
              <w:ind w:right="681"/>
              <w:jc w:val="right"/>
              <w:rPr>
                <w:rFonts w:ascii="Arial Narrow" w:hAnsi="Arial Narrow"/>
                <w:color w:val="000000"/>
                <w:sz w:val="16"/>
                <w:szCs w:val="16"/>
              </w:rPr>
            </w:pPr>
            <w:r>
              <w:rPr>
                <w:rFonts w:ascii="Arial Narrow" w:hAnsi="Arial Narrow"/>
                <w:color w:val="000000"/>
                <w:sz w:val="16"/>
                <w:szCs w:val="16"/>
              </w:rPr>
              <w:t>11,4</w:t>
            </w:r>
          </w:p>
        </w:tc>
      </w:tr>
      <w:tr w:rsidR="006618BA" w:rsidRPr="00E51833" w:rsidTr="003C79F3">
        <w:trPr>
          <w:trHeight w:val="170"/>
        </w:trPr>
        <w:tc>
          <w:tcPr>
            <w:tcW w:w="369" w:type="dxa"/>
            <w:tcBorders>
              <w:top w:val="nil"/>
              <w:left w:val="single" w:sz="4" w:space="0" w:color="auto"/>
              <w:bottom w:val="nil"/>
            </w:tcBorders>
            <w:shd w:val="clear" w:color="auto" w:fill="auto"/>
            <w:noWrap/>
            <w:vAlign w:val="center"/>
            <w:hideMark/>
          </w:tcPr>
          <w:p w:rsidR="006618BA" w:rsidRPr="00E51833" w:rsidRDefault="006618BA" w:rsidP="003C79F3">
            <w:pPr>
              <w:spacing w:before="40" w:after="40"/>
              <w:jc w:val="center"/>
              <w:rPr>
                <w:rFonts w:ascii="Arial Narrow" w:hAnsi="Arial Narrow"/>
                <w:color w:val="000000"/>
                <w:sz w:val="16"/>
                <w:szCs w:val="16"/>
              </w:rPr>
            </w:pPr>
            <w:r w:rsidRPr="00E51833">
              <w:rPr>
                <w:rFonts w:ascii="Arial Narrow" w:hAnsi="Arial Narrow"/>
                <w:color w:val="000000"/>
                <w:sz w:val="16"/>
                <w:szCs w:val="16"/>
              </w:rPr>
              <w:t>Β</w:t>
            </w:r>
          </w:p>
        </w:tc>
        <w:tc>
          <w:tcPr>
            <w:tcW w:w="5585" w:type="dxa"/>
            <w:tcBorders>
              <w:top w:val="nil"/>
              <w:bottom w:val="nil"/>
            </w:tcBorders>
            <w:shd w:val="clear" w:color="auto" w:fill="auto"/>
            <w:noWrap/>
            <w:hideMark/>
          </w:tcPr>
          <w:p w:rsidR="006618BA" w:rsidRPr="00E51833" w:rsidRDefault="006618BA" w:rsidP="003C79F3">
            <w:pPr>
              <w:spacing w:before="40" w:after="40"/>
              <w:rPr>
                <w:rFonts w:ascii="Arial Narrow" w:hAnsi="Arial Narrow"/>
                <w:sz w:val="16"/>
                <w:szCs w:val="16"/>
              </w:rPr>
            </w:pPr>
            <w:r w:rsidRPr="00E51833">
              <w:rPr>
                <w:rFonts w:ascii="Arial Narrow" w:hAnsi="Arial Narrow"/>
                <w:sz w:val="16"/>
                <w:szCs w:val="16"/>
              </w:rPr>
              <w:t>Συνήγορος του Πολίτη</w:t>
            </w:r>
          </w:p>
        </w:tc>
        <w:tc>
          <w:tcPr>
            <w:tcW w:w="1701" w:type="dxa"/>
            <w:tcBorders>
              <w:top w:val="nil"/>
              <w:bottom w:val="nil"/>
            </w:tcBorders>
            <w:shd w:val="clear" w:color="auto" w:fill="auto"/>
            <w:noWrap/>
            <w:vAlign w:val="center"/>
            <w:hideMark/>
          </w:tcPr>
          <w:p w:rsidR="006618BA" w:rsidRDefault="006618BA" w:rsidP="006618BA">
            <w:pPr>
              <w:ind w:right="681"/>
              <w:jc w:val="right"/>
              <w:rPr>
                <w:rFonts w:ascii="Arial Narrow" w:hAnsi="Arial Narrow"/>
                <w:color w:val="000000"/>
                <w:sz w:val="16"/>
                <w:szCs w:val="16"/>
              </w:rPr>
            </w:pPr>
            <w:r>
              <w:rPr>
                <w:rFonts w:ascii="Arial Narrow" w:hAnsi="Arial Narrow"/>
                <w:color w:val="000000"/>
                <w:sz w:val="16"/>
                <w:szCs w:val="16"/>
              </w:rPr>
              <w:t>7,2</w:t>
            </w:r>
          </w:p>
        </w:tc>
        <w:tc>
          <w:tcPr>
            <w:tcW w:w="1559" w:type="dxa"/>
            <w:tcBorders>
              <w:top w:val="nil"/>
              <w:bottom w:val="nil"/>
              <w:right w:val="single" w:sz="4" w:space="0" w:color="auto"/>
            </w:tcBorders>
            <w:shd w:val="clear" w:color="auto" w:fill="auto"/>
            <w:noWrap/>
            <w:vAlign w:val="center"/>
            <w:hideMark/>
          </w:tcPr>
          <w:p w:rsidR="006618BA" w:rsidRDefault="006618BA" w:rsidP="006618BA">
            <w:pPr>
              <w:ind w:right="681"/>
              <w:jc w:val="right"/>
              <w:rPr>
                <w:rFonts w:ascii="Arial Narrow" w:hAnsi="Arial Narrow"/>
                <w:color w:val="000000"/>
                <w:sz w:val="16"/>
                <w:szCs w:val="16"/>
              </w:rPr>
            </w:pPr>
            <w:r>
              <w:rPr>
                <w:rFonts w:ascii="Arial Narrow" w:hAnsi="Arial Narrow"/>
                <w:color w:val="000000"/>
                <w:sz w:val="16"/>
                <w:szCs w:val="16"/>
              </w:rPr>
              <w:t>7,2</w:t>
            </w:r>
          </w:p>
        </w:tc>
      </w:tr>
      <w:tr w:rsidR="006618BA" w:rsidRPr="00E51833" w:rsidTr="003C79F3">
        <w:trPr>
          <w:trHeight w:val="170"/>
        </w:trPr>
        <w:tc>
          <w:tcPr>
            <w:tcW w:w="369" w:type="dxa"/>
            <w:tcBorders>
              <w:top w:val="nil"/>
              <w:left w:val="single" w:sz="4" w:space="0" w:color="auto"/>
              <w:bottom w:val="nil"/>
            </w:tcBorders>
            <w:shd w:val="clear" w:color="auto" w:fill="auto"/>
            <w:noWrap/>
            <w:vAlign w:val="center"/>
            <w:hideMark/>
          </w:tcPr>
          <w:p w:rsidR="006618BA" w:rsidRPr="00E51833" w:rsidRDefault="006618BA" w:rsidP="003C79F3">
            <w:pPr>
              <w:spacing w:before="40" w:after="40"/>
              <w:jc w:val="center"/>
              <w:rPr>
                <w:rFonts w:ascii="Arial Narrow" w:hAnsi="Arial Narrow"/>
                <w:color w:val="000000"/>
                <w:sz w:val="16"/>
                <w:szCs w:val="16"/>
              </w:rPr>
            </w:pPr>
            <w:r>
              <w:rPr>
                <w:rFonts w:ascii="Arial Narrow" w:hAnsi="Arial Narrow"/>
                <w:color w:val="000000"/>
                <w:sz w:val="16"/>
                <w:szCs w:val="16"/>
              </w:rPr>
              <w:t>Γ</w:t>
            </w:r>
          </w:p>
        </w:tc>
        <w:tc>
          <w:tcPr>
            <w:tcW w:w="5585" w:type="dxa"/>
            <w:tcBorders>
              <w:top w:val="nil"/>
              <w:bottom w:val="nil"/>
            </w:tcBorders>
            <w:shd w:val="clear" w:color="auto" w:fill="auto"/>
            <w:noWrap/>
            <w:hideMark/>
          </w:tcPr>
          <w:p w:rsidR="006618BA" w:rsidRPr="00947054" w:rsidRDefault="006618BA" w:rsidP="003C79F3">
            <w:pPr>
              <w:spacing w:before="40" w:after="40"/>
              <w:rPr>
                <w:rFonts w:ascii="Arial Narrow" w:hAnsi="Arial Narrow"/>
                <w:sz w:val="16"/>
                <w:szCs w:val="16"/>
                <w:vertAlign w:val="superscript"/>
              </w:rPr>
            </w:pPr>
            <w:r>
              <w:rPr>
                <w:rFonts w:ascii="Arial Narrow" w:hAnsi="Arial Narrow"/>
                <w:sz w:val="16"/>
                <w:szCs w:val="16"/>
              </w:rPr>
              <w:t>Εθνική Αρχή Διαφάνειας</w:t>
            </w:r>
          </w:p>
        </w:tc>
        <w:tc>
          <w:tcPr>
            <w:tcW w:w="1701" w:type="dxa"/>
            <w:tcBorders>
              <w:top w:val="nil"/>
              <w:bottom w:val="nil"/>
            </w:tcBorders>
            <w:shd w:val="clear" w:color="auto" w:fill="auto"/>
            <w:noWrap/>
            <w:vAlign w:val="center"/>
            <w:hideMark/>
          </w:tcPr>
          <w:p w:rsidR="006618BA" w:rsidRDefault="006618BA" w:rsidP="006618BA">
            <w:pPr>
              <w:ind w:right="681"/>
              <w:jc w:val="right"/>
              <w:rPr>
                <w:rFonts w:ascii="Arial Narrow" w:hAnsi="Arial Narrow"/>
                <w:color w:val="000000"/>
                <w:sz w:val="16"/>
                <w:szCs w:val="16"/>
              </w:rPr>
            </w:pPr>
            <w:r>
              <w:rPr>
                <w:rFonts w:ascii="Arial Narrow" w:hAnsi="Arial Narrow"/>
                <w:color w:val="000000"/>
                <w:sz w:val="16"/>
                <w:szCs w:val="16"/>
              </w:rPr>
              <w:t>6,1</w:t>
            </w:r>
          </w:p>
        </w:tc>
        <w:tc>
          <w:tcPr>
            <w:tcW w:w="1559" w:type="dxa"/>
            <w:tcBorders>
              <w:top w:val="nil"/>
              <w:bottom w:val="nil"/>
              <w:right w:val="single" w:sz="4" w:space="0" w:color="auto"/>
            </w:tcBorders>
            <w:shd w:val="clear" w:color="auto" w:fill="auto"/>
            <w:noWrap/>
            <w:vAlign w:val="center"/>
            <w:hideMark/>
          </w:tcPr>
          <w:p w:rsidR="006618BA" w:rsidRDefault="006618BA" w:rsidP="006618BA">
            <w:pPr>
              <w:ind w:right="681"/>
              <w:jc w:val="right"/>
              <w:rPr>
                <w:rFonts w:ascii="Arial Narrow" w:hAnsi="Arial Narrow"/>
                <w:color w:val="000000"/>
                <w:sz w:val="16"/>
                <w:szCs w:val="16"/>
              </w:rPr>
            </w:pPr>
            <w:r>
              <w:rPr>
                <w:rFonts w:ascii="Arial Narrow" w:hAnsi="Arial Narrow"/>
                <w:color w:val="000000"/>
                <w:sz w:val="16"/>
                <w:szCs w:val="16"/>
              </w:rPr>
              <w:t>6,8</w:t>
            </w:r>
          </w:p>
        </w:tc>
      </w:tr>
      <w:tr w:rsidR="006618BA" w:rsidRPr="00E51833" w:rsidTr="003C79F3">
        <w:trPr>
          <w:trHeight w:val="170"/>
        </w:trPr>
        <w:tc>
          <w:tcPr>
            <w:tcW w:w="369" w:type="dxa"/>
            <w:tcBorders>
              <w:top w:val="nil"/>
              <w:left w:val="single" w:sz="4" w:space="0" w:color="auto"/>
              <w:bottom w:val="nil"/>
            </w:tcBorders>
            <w:shd w:val="clear" w:color="000000" w:fill="BFBFBF"/>
            <w:noWrap/>
            <w:vAlign w:val="center"/>
            <w:hideMark/>
          </w:tcPr>
          <w:p w:rsidR="006618BA" w:rsidRPr="00E51833" w:rsidRDefault="006618BA" w:rsidP="003C79F3">
            <w:pPr>
              <w:spacing w:before="40" w:after="40"/>
              <w:jc w:val="center"/>
              <w:rPr>
                <w:rFonts w:ascii="Arial Narrow" w:hAnsi="Arial Narrow"/>
                <w:b/>
                <w:bCs/>
                <w:color w:val="000000"/>
                <w:sz w:val="16"/>
                <w:szCs w:val="16"/>
              </w:rPr>
            </w:pPr>
            <w:r w:rsidRPr="00E51833">
              <w:rPr>
                <w:rFonts w:ascii="Arial Narrow" w:hAnsi="Arial Narrow"/>
                <w:b/>
                <w:bCs/>
                <w:color w:val="000000"/>
                <w:sz w:val="16"/>
                <w:szCs w:val="16"/>
              </w:rPr>
              <w:t>2</w:t>
            </w:r>
          </w:p>
        </w:tc>
        <w:tc>
          <w:tcPr>
            <w:tcW w:w="5585" w:type="dxa"/>
            <w:tcBorders>
              <w:top w:val="nil"/>
              <w:bottom w:val="nil"/>
            </w:tcBorders>
            <w:shd w:val="clear" w:color="000000" w:fill="BFBFBF"/>
            <w:noWrap/>
            <w:vAlign w:val="bottom"/>
            <w:hideMark/>
          </w:tcPr>
          <w:p w:rsidR="006618BA" w:rsidRPr="00E51833" w:rsidRDefault="006618BA" w:rsidP="003C79F3">
            <w:pPr>
              <w:spacing w:before="40" w:after="40"/>
              <w:rPr>
                <w:rFonts w:ascii="Arial Narrow" w:hAnsi="Arial Narrow"/>
                <w:b/>
                <w:bCs/>
                <w:color w:val="000000"/>
                <w:sz w:val="16"/>
                <w:szCs w:val="16"/>
              </w:rPr>
            </w:pPr>
            <w:r w:rsidRPr="00E51833">
              <w:rPr>
                <w:rFonts w:ascii="Arial Narrow" w:hAnsi="Arial Narrow"/>
                <w:b/>
                <w:bCs/>
                <w:color w:val="000000"/>
                <w:sz w:val="16"/>
                <w:szCs w:val="16"/>
              </w:rPr>
              <w:t>ΥΠΟ</w:t>
            </w:r>
            <w:r>
              <w:rPr>
                <w:rFonts w:ascii="Arial Narrow" w:hAnsi="Arial Narrow"/>
                <w:b/>
                <w:bCs/>
                <w:color w:val="000000"/>
                <w:sz w:val="16"/>
                <w:szCs w:val="16"/>
              </w:rPr>
              <w:t>ΥΡΓΕΙΟ ΔΙΚΑΙΟΣΥΝΗΣ</w:t>
            </w:r>
          </w:p>
        </w:tc>
        <w:tc>
          <w:tcPr>
            <w:tcW w:w="1701" w:type="dxa"/>
            <w:tcBorders>
              <w:top w:val="nil"/>
              <w:bottom w:val="nil"/>
            </w:tcBorders>
            <w:shd w:val="clear" w:color="000000" w:fill="BFBFBF"/>
            <w:noWrap/>
            <w:vAlign w:val="center"/>
            <w:hideMark/>
          </w:tcPr>
          <w:p w:rsidR="006618BA" w:rsidRDefault="006618BA" w:rsidP="006618BA">
            <w:pPr>
              <w:ind w:right="681"/>
              <w:jc w:val="right"/>
              <w:rPr>
                <w:rFonts w:ascii="Arial Narrow" w:hAnsi="Arial Narrow"/>
                <w:b/>
                <w:bCs/>
                <w:color w:val="000000"/>
                <w:sz w:val="16"/>
                <w:szCs w:val="16"/>
              </w:rPr>
            </w:pPr>
            <w:r>
              <w:rPr>
                <w:rFonts w:ascii="Arial Narrow" w:hAnsi="Arial Narrow"/>
                <w:b/>
                <w:bCs/>
                <w:color w:val="000000"/>
                <w:sz w:val="16"/>
                <w:szCs w:val="16"/>
              </w:rPr>
              <w:t>4,0</w:t>
            </w:r>
          </w:p>
        </w:tc>
        <w:tc>
          <w:tcPr>
            <w:tcW w:w="1559" w:type="dxa"/>
            <w:tcBorders>
              <w:top w:val="nil"/>
              <w:bottom w:val="nil"/>
              <w:right w:val="single" w:sz="4" w:space="0" w:color="auto"/>
            </w:tcBorders>
            <w:shd w:val="clear" w:color="000000" w:fill="BFBFBF"/>
            <w:noWrap/>
            <w:vAlign w:val="center"/>
            <w:hideMark/>
          </w:tcPr>
          <w:p w:rsidR="006618BA" w:rsidRDefault="006618BA" w:rsidP="006618BA">
            <w:pPr>
              <w:ind w:right="681"/>
              <w:jc w:val="right"/>
              <w:rPr>
                <w:rFonts w:ascii="Arial Narrow" w:hAnsi="Arial Narrow"/>
                <w:b/>
                <w:bCs/>
                <w:color w:val="000000"/>
                <w:sz w:val="16"/>
                <w:szCs w:val="16"/>
              </w:rPr>
            </w:pPr>
            <w:r>
              <w:rPr>
                <w:rFonts w:ascii="Arial Narrow" w:hAnsi="Arial Narrow"/>
                <w:b/>
                <w:bCs/>
                <w:color w:val="000000"/>
                <w:sz w:val="16"/>
                <w:szCs w:val="16"/>
              </w:rPr>
              <w:t>4,6</w:t>
            </w:r>
          </w:p>
        </w:tc>
      </w:tr>
      <w:tr w:rsidR="006618BA" w:rsidRPr="00E51833" w:rsidTr="003C79F3">
        <w:trPr>
          <w:trHeight w:val="170"/>
        </w:trPr>
        <w:tc>
          <w:tcPr>
            <w:tcW w:w="369" w:type="dxa"/>
            <w:tcBorders>
              <w:top w:val="nil"/>
              <w:left w:val="single" w:sz="4" w:space="0" w:color="auto"/>
              <w:bottom w:val="nil"/>
            </w:tcBorders>
            <w:shd w:val="clear" w:color="auto" w:fill="auto"/>
            <w:noWrap/>
            <w:vAlign w:val="center"/>
            <w:hideMark/>
          </w:tcPr>
          <w:p w:rsidR="006618BA" w:rsidRPr="00E51833" w:rsidRDefault="006618BA" w:rsidP="003C79F3">
            <w:pPr>
              <w:spacing w:before="40" w:after="40"/>
              <w:jc w:val="center"/>
              <w:rPr>
                <w:rFonts w:ascii="Arial Narrow" w:hAnsi="Arial Narrow"/>
                <w:color w:val="000000"/>
                <w:sz w:val="16"/>
                <w:szCs w:val="16"/>
              </w:rPr>
            </w:pPr>
            <w:r w:rsidRPr="00E51833">
              <w:rPr>
                <w:rFonts w:ascii="Arial Narrow" w:hAnsi="Arial Narrow"/>
                <w:color w:val="000000"/>
                <w:sz w:val="16"/>
                <w:szCs w:val="16"/>
              </w:rPr>
              <w:t>Α</w:t>
            </w:r>
          </w:p>
        </w:tc>
        <w:tc>
          <w:tcPr>
            <w:tcW w:w="5585" w:type="dxa"/>
            <w:tcBorders>
              <w:top w:val="nil"/>
              <w:bottom w:val="nil"/>
            </w:tcBorders>
            <w:shd w:val="clear" w:color="auto" w:fill="auto"/>
            <w:noWrap/>
            <w:hideMark/>
          </w:tcPr>
          <w:p w:rsidR="006618BA" w:rsidRPr="00E51833" w:rsidRDefault="006618BA" w:rsidP="003C79F3">
            <w:pPr>
              <w:spacing w:before="40" w:after="40"/>
              <w:rPr>
                <w:rFonts w:ascii="Arial Narrow" w:hAnsi="Arial Narrow"/>
                <w:sz w:val="16"/>
                <w:szCs w:val="16"/>
              </w:rPr>
            </w:pPr>
            <w:r w:rsidRPr="00E51833">
              <w:rPr>
                <w:rFonts w:ascii="Arial Narrow" w:hAnsi="Arial Narrow"/>
                <w:sz w:val="16"/>
                <w:szCs w:val="16"/>
              </w:rPr>
              <w:t>Αρχή Προστασίας Δεδομένων Προσωπικού Χαρακτήρα</w:t>
            </w:r>
          </w:p>
        </w:tc>
        <w:tc>
          <w:tcPr>
            <w:tcW w:w="1701" w:type="dxa"/>
            <w:tcBorders>
              <w:top w:val="nil"/>
              <w:bottom w:val="nil"/>
            </w:tcBorders>
            <w:shd w:val="clear" w:color="auto" w:fill="auto"/>
            <w:noWrap/>
            <w:vAlign w:val="center"/>
            <w:hideMark/>
          </w:tcPr>
          <w:p w:rsidR="006618BA" w:rsidRDefault="006618BA" w:rsidP="006618BA">
            <w:pPr>
              <w:ind w:right="681"/>
              <w:jc w:val="right"/>
              <w:rPr>
                <w:rFonts w:ascii="Arial Narrow" w:hAnsi="Arial Narrow"/>
                <w:color w:val="000000"/>
                <w:sz w:val="16"/>
                <w:szCs w:val="16"/>
              </w:rPr>
            </w:pPr>
            <w:r>
              <w:rPr>
                <w:rFonts w:ascii="Arial Narrow" w:hAnsi="Arial Narrow"/>
                <w:color w:val="000000"/>
                <w:sz w:val="16"/>
                <w:szCs w:val="16"/>
              </w:rPr>
              <w:t>2,6</w:t>
            </w:r>
          </w:p>
        </w:tc>
        <w:tc>
          <w:tcPr>
            <w:tcW w:w="1559" w:type="dxa"/>
            <w:tcBorders>
              <w:top w:val="nil"/>
              <w:bottom w:val="nil"/>
              <w:right w:val="single" w:sz="4" w:space="0" w:color="auto"/>
            </w:tcBorders>
            <w:shd w:val="clear" w:color="auto" w:fill="auto"/>
            <w:noWrap/>
            <w:vAlign w:val="center"/>
            <w:hideMark/>
          </w:tcPr>
          <w:p w:rsidR="006618BA" w:rsidRDefault="006618BA" w:rsidP="006618BA">
            <w:pPr>
              <w:ind w:right="681"/>
              <w:jc w:val="right"/>
              <w:rPr>
                <w:rFonts w:ascii="Arial Narrow" w:hAnsi="Arial Narrow"/>
                <w:color w:val="000000"/>
                <w:sz w:val="16"/>
                <w:szCs w:val="16"/>
              </w:rPr>
            </w:pPr>
            <w:r>
              <w:rPr>
                <w:rFonts w:ascii="Arial Narrow" w:hAnsi="Arial Narrow"/>
                <w:color w:val="000000"/>
                <w:sz w:val="16"/>
                <w:szCs w:val="16"/>
              </w:rPr>
              <w:t>2,8</w:t>
            </w:r>
          </w:p>
        </w:tc>
      </w:tr>
      <w:tr w:rsidR="006618BA" w:rsidRPr="00E51833" w:rsidTr="003C79F3">
        <w:trPr>
          <w:trHeight w:val="170"/>
        </w:trPr>
        <w:tc>
          <w:tcPr>
            <w:tcW w:w="369" w:type="dxa"/>
            <w:tcBorders>
              <w:top w:val="nil"/>
              <w:left w:val="single" w:sz="4" w:space="0" w:color="auto"/>
              <w:bottom w:val="nil"/>
            </w:tcBorders>
            <w:shd w:val="clear" w:color="auto" w:fill="auto"/>
            <w:noWrap/>
            <w:vAlign w:val="center"/>
            <w:hideMark/>
          </w:tcPr>
          <w:p w:rsidR="006618BA" w:rsidRPr="00E51833" w:rsidRDefault="006618BA" w:rsidP="003C79F3">
            <w:pPr>
              <w:spacing w:before="40" w:after="40"/>
              <w:jc w:val="center"/>
              <w:rPr>
                <w:rFonts w:ascii="Arial Narrow" w:hAnsi="Arial Narrow"/>
                <w:color w:val="000000"/>
                <w:sz w:val="16"/>
                <w:szCs w:val="16"/>
              </w:rPr>
            </w:pPr>
            <w:r w:rsidRPr="00E51833">
              <w:rPr>
                <w:rFonts w:ascii="Arial Narrow" w:hAnsi="Arial Narrow"/>
                <w:color w:val="000000"/>
                <w:sz w:val="16"/>
                <w:szCs w:val="16"/>
              </w:rPr>
              <w:t>Β</w:t>
            </w:r>
          </w:p>
        </w:tc>
        <w:tc>
          <w:tcPr>
            <w:tcW w:w="5585" w:type="dxa"/>
            <w:tcBorders>
              <w:top w:val="nil"/>
              <w:bottom w:val="nil"/>
            </w:tcBorders>
            <w:shd w:val="clear" w:color="auto" w:fill="auto"/>
            <w:noWrap/>
            <w:hideMark/>
          </w:tcPr>
          <w:p w:rsidR="006618BA" w:rsidRPr="00E51833" w:rsidRDefault="006618BA" w:rsidP="003C79F3">
            <w:pPr>
              <w:spacing w:before="40" w:after="40"/>
              <w:rPr>
                <w:rFonts w:ascii="Arial Narrow" w:hAnsi="Arial Narrow"/>
                <w:sz w:val="16"/>
                <w:szCs w:val="16"/>
              </w:rPr>
            </w:pPr>
            <w:r w:rsidRPr="00E51833">
              <w:rPr>
                <w:rFonts w:ascii="Arial Narrow" w:hAnsi="Arial Narrow"/>
                <w:sz w:val="16"/>
                <w:szCs w:val="16"/>
              </w:rPr>
              <w:t>Αρχή Διασφάλισης του Απορρήτου των Επικοινωνιών</w:t>
            </w:r>
          </w:p>
        </w:tc>
        <w:tc>
          <w:tcPr>
            <w:tcW w:w="1701" w:type="dxa"/>
            <w:tcBorders>
              <w:top w:val="nil"/>
              <w:bottom w:val="nil"/>
            </w:tcBorders>
            <w:shd w:val="clear" w:color="auto" w:fill="auto"/>
            <w:noWrap/>
            <w:vAlign w:val="center"/>
            <w:hideMark/>
          </w:tcPr>
          <w:p w:rsidR="006618BA" w:rsidRDefault="006618BA" w:rsidP="006618BA">
            <w:pPr>
              <w:ind w:right="681"/>
              <w:jc w:val="right"/>
              <w:rPr>
                <w:rFonts w:ascii="Arial Narrow" w:hAnsi="Arial Narrow"/>
                <w:color w:val="000000"/>
                <w:sz w:val="16"/>
                <w:szCs w:val="16"/>
              </w:rPr>
            </w:pPr>
            <w:r>
              <w:rPr>
                <w:rFonts w:ascii="Arial Narrow" w:hAnsi="Arial Narrow"/>
                <w:color w:val="000000"/>
                <w:sz w:val="16"/>
                <w:szCs w:val="16"/>
              </w:rPr>
              <w:t>1,3</w:t>
            </w:r>
          </w:p>
        </w:tc>
        <w:tc>
          <w:tcPr>
            <w:tcW w:w="1559" w:type="dxa"/>
            <w:tcBorders>
              <w:top w:val="nil"/>
              <w:bottom w:val="nil"/>
              <w:right w:val="single" w:sz="4" w:space="0" w:color="auto"/>
            </w:tcBorders>
            <w:shd w:val="clear" w:color="auto" w:fill="auto"/>
            <w:noWrap/>
            <w:vAlign w:val="center"/>
            <w:hideMark/>
          </w:tcPr>
          <w:p w:rsidR="006618BA" w:rsidRDefault="006618BA" w:rsidP="006618BA">
            <w:pPr>
              <w:ind w:right="681"/>
              <w:jc w:val="right"/>
              <w:rPr>
                <w:rFonts w:ascii="Arial Narrow" w:hAnsi="Arial Narrow"/>
                <w:color w:val="000000"/>
                <w:sz w:val="16"/>
                <w:szCs w:val="16"/>
              </w:rPr>
            </w:pPr>
            <w:r>
              <w:rPr>
                <w:rFonts w:ascii="Arial Narrow" w:hAnsi="Arial Narrow"/>
                <w:color w:val="000000"/>
                <w:sz w:val="16"/>
                <w:szCs w:val="16"/>
              </w:rPr>
              <w:t>1,8</w:t>
            </w:r>
          </w:p>
        </w:tc>
      </w:tr>
      <w:tr w:rsidR="006618BA" w:rsidRPr="00E51833" w:rsidTr="003C79F3">
        <w:trPr>
          <w:trHeight w:val="170"/>
        </w:trPr>
        <w:tc>
          <w:tcPr>
            <w:tcW w:w="369" w:type="dxa"/>
            <w:tcBorders>
              <w:top w:val="nil"/>
              <w:left w:val="single" w:sz="4" w:space="0" w:color="auto"/>
              <w:bottom w:val="nil"/>
            </w:tcBorders>
            <w:shd w:val="clear" w:color="000000" w:fill="BFBFBF"/>
            <w:noWrap/>
            <w:vAlign w:val="center"/>
            <w:hideMark/>
          </w:tcPr>
          <w:p w:rsidR="006618BA" w:rsidRPr="00E51833" w:rsidRDefault="006618BA" w:rsidP="003C79F3">
            <w:pPr>
              <w:spacing w:before="40" w:after="40"/>
              <w:jc w:val="center"/>
              <w:rPr>
                <w:rFonts w:ascii="Arial Narrow" w:hAnsi="Arial Narrow"/>
                <w:b/>
                <w:bCs/>
                <w:color w:val="000000"/>
                <w:sz w:val="16"/>
                <w:szCs w:val="16"/>
              </w:rPr>
            </w:pPr>
            <w:r w:rsidRPr="00E51833">
              <w:rPr>
                <w:rFonts w:ascii="Arial Narrow" w:hAnsi="Arial Narrow"/>
                <w:b/>
                <w:bCs/>
                <w:color w:val="000000"/>
                <w:sz w:val="16"/>
                <w:szCs w:val="16"/>
              </w:rPr>
              <w:t>3</w:t>
            </w:r>
          </w:p>
        </w:tc>
        <w:tc>
          <w:tcPr>
            <w:tcW w:w="5585" w:type="dxa"/>
            <w:tcBorders>
              <w:top w:val="nil"/>
              <w:bottom w:val="nil"/>
            </w:tcBorders>
            <w:shd w:val="clear" w:color="000000" w:fill="BFBFBF"/>
            <w:noWrap/>
            <w:vAlign w:val="bottom"/>
            <w:hideMark/>
          </w:tcPr>
          <w:p w:rsidR="006618BA" w:rsidRPr="00E51833" w:rsidRDefault="006618BA" w:rsidP="003C79F3">
            <w:pPr>
              <w:spacing w:before="40" w:after="40"/>
              <w:rPr>
                <w:rFonts w:ascii="Arial Narrow" w:hAnsi="Arial Narrow"/>
                <w:b/>
                <w:bCs/>
                <w:color w:val="000000"/>
                <w:sz w:val="16"/>
                <w:szCs w:val="16"/>
              </w:rPr>
            </w:pPr>
            <w:r>
              <w:rPr>
                <w:rFonts w:ascii="Arial Narrow" w:hAnsi="Arial Narrow"/>
                <w:b/>
                <w:bCs/>
                <w:color w:val="000000"/>
                <w:sz w:val="16"/>
                <w:szCs w:val="16"/>
              </w:rPr>
              <w:t>ΥΠΟΥΡΓΕΙΟ ΠΑΙΔΕΙΑΣ ΚΑΙ</w:t>
            </w:r>
            <w:r w:rsidRPr="00E51833">
              <w:rPr>
                <w:rFonts w:ascii="Arial Narrow" w:hAnsi="Arial Narrow"/>
                <w:b/>
                <w:bCs/>
                <w:color w:val="000000"/>
                <w:sz w:val="16"/>
                <w:szCs w:val="16"/>
              </w:rPr>
              <w:t xml:space="preserve"> ΘΡΗΣΚΕΥΜΑΤΩΝ</w:t>
            </w:r>
          </w:p>
        </w:tc>
        <w:tc>
          <w:tcPr>
            <w:tcW w:w="1701" w:type="dxa"/>
            <w:tcBorders>
              <w:top w:val="nil"/>
              <w:bottom w:val="nil"/>
            </w:tcBorders>
            <w:shd w:val="clear" w:color="000000" w:fill="BFBFBF"/>
            <w:noWrap/>
            <w:vAlign w:val="center"/>
            <w:hideMark/>
          </w:tcPr>
          <w:p w:rsidR="006618BA" w:rsidRDefault="006618BA" w:rsidP="006618BA">
            <w:pPr>
              <w:ind w:right="681"/>
              <w:jc w:val="right"/>
              <w:rPr>
                <w:rFonts w:ascii="Arial Narrow" w:hAnsi="Arial Narrow"/>
                <w:b/>
                <w:bCs/>
                <w:color w:val="000000"/>
                <w:sz w:val="16"/>
                <w:szCs w:val="16"/>
              </w:rPr>
            </w:pPr>
            <w:r>
              <w:rPr>
                <w:rFonts w:ascii="Arial Narrow" w:hAnsi="Arial Narrow"/>
                <w:b/>
                <w:bCs/>
                <w:color w:val="000000"/>
                <w:sz w:val="16"/>
                <w:szCs w:val="16"/>
              </w:rPr>
              <w:t>0,9</w:t>
            </w:r>
          </w:p>
        </w:tc>
        <w:tc>
          <w:tcPr>
            <w:tcW w:w="1559" w:type="dxa"/>
            <w:tcBorders>
              <w:top w:val="nil"/>
              <w:bottom w:val="nil"/>
              <w:right w:val="single" w:sz="4" w:space="0" w:color="auto"/>
            </w:tcBorders>
            <w:shd w:val="clear" w:color="000000" w:fill="BFBFBF"/>
            <w:noWrap/>
            <w:vAlign w:val="center"/>
            <w:hideMark/>
          </w:tcPr>
          <w:p w:rsidR="006618BA" w:rsidRDefault="006618BA" w:rsidP="006618BA">
            <w:pPr>
              <w:ind w:right="681"/>
              <w:jc w:val="right"/>
              <w:rPr>
                <w:rFonts w:ascii="Arial Narrow" w:hAnsi="Arial Narrow"/>
                <w:b/>
                <w:bCs/>
                <w:color w:val="000000"/>
                <w:sz w:val="16"/>
                <w:szCs w:val="16"/>
              </w:rPr>
            </w:pPr>
            <w:r>
              <w:rPr>
                <w:rFonts w:ascii="Arial Narrow" w:hAnsi="Arial Narrow"/>
                <w:b/>
                <w:bCs/>
                <w:color w:val="000000"/>
                <w:sz w:val="16"/>
                <w:szCs w:val="16"/>
              </w:rPr>
              <w:t>1,1</w:t>
            </w:r>
          </w:p>
        </w:tc>
      </w:tr>
      <w:tr w:rsidR="006618BA" w:rsidRPr="00E51833" w:rsidTr="003C79F3">
        <w:trPr>
          <w:trHeight w:val="170"/>
        </w:trPr>
        <w:tc>
          <w:tcPr>
            <w:tcW w:w="369" w:type="dxa"/>
            <w:tcBorders>
              <w:top w:val="nil"/>
              <w:left w:val="single" w:sz="4" w:space="0" w:color="auto"/>
              <w:bottom w:val="nil"/>
            </w:tcBorders>
            <w:shd w:val="clear" w:color="auto" w:fill="auto"/>
            <w:noWrap/>
            <w:vAlign w:val="center"/>
            <w:hideMark/>
          </w:tcPr>
          <w:p w:rsidR="006618BA" w:rsidRPr="00E51833" w:rsidRDefault="006618BA" w:rsidP="003C79F3">
            <w:pPr>
              <w:spacing w:before="40" w:after="40"/>
              <w:jc w:val="center"/>
              <w:rPr>
                <w:rFonts w:ascii="Arial Narrow" w:hAnsi="Arial Narrow"/>
                <w:color w:val="000000"/>
                <w:sz w:val="16"/>
                <w:szCs w:val="16"/>
              </w:rPr>
            </w:pPr>
            <w:r w:rsidRPr="00E51833">
              <w:rPr>
                <w:rFonts w:ascii="Arial Narrow" w:hAnsi="Arial Narrow"/>
                <w:color w:val="000000"/>
                <w:sz w:val="16"/>
                <w:szCs w:val="16"/>
              </w:rPr>
              <w:t>Α</w:t>
            </w:r>
          </w:p>
        </w:tc>
        <w:tc>
          <w:tcPr>
            <w:tcW w:w="5585" w:type="dxa"/>
            <w:tcBorders>
              <w:top w:val="nil"/>
              <w:bottom w:val="nil"/>
            </w:tcBorders>
            <w:shd w:val="clear" w:color="auto" w:fill="auto"/>
            <w:vAlign w:val="center"/>
            <w:hideMark/>
          </w:tcPr>
          <w:p w:rsidR="006618BA" w:rsidRPr="00E51833" w:rsidRDefault="006618BA" w:rsidP="003C79F3">
            <w:pPr>
              <w:spacing w:before="40" w:after="40"/>
              <w:rPr>
                <w:rFonts w:ascii="Arial Narrow" w:hAnsi="Arial Narrow"/>
                <w:sz w:val="16"/>
                <w:szCs w:val="16"/>
              </w:rPr>
            </w:pPr>
            <w:r w:rsidRPr="00E51833">
              <w:rPr>
                <w:rFonts w:ascii="Arial Narrow" w:hAnsi="Arial Narrow"/>
                <w:sz w:val="16"/>
                <w:szCs w:val="16"/>
              </w:rPr>
              <w:t>Αρχή Διασφάλισης της Ποιότητας στην Πρωτοβάθμια και Δευτεροβάθμια Εκπαίδευση</w:t>
            </w:r>
          </w:p>
        </w:tc>
        <w:tc>
          <w:tcPr>
            <w:tcW w:w="1701" w:type="dxa"/>
            <w:tcBorders>
              <w:top w:val="nil"/>
              <w:bottom w:val="nil"/>
            </w:tcBorders>
            <w:shd w:val="clear" w:color="auto" w:fill="auto"/>
            <w:noWrap/>
            <w:vAlign w:val="center"/>
            <w:hideMark/>
          </w:tcPr>
          <w:p w:rsidR="006618BA" w:rsidRDefault="006618BA" w:rsidP="006618BA">
            <w:pPr>
              <w:ind w:right="681"/>
              <w:jc w:val="right"/>
              <w:rPr>
                <w:rFonts w:ascii="Arial Narrow" w:hAnsi="Arial Narrow"/>
                <w:color w:val="000000"/>
                <w:sz w:val="16"/>
                <w:szCs w:val="16"/>
              </w:rPr>
            </w:pPr>
            <w:r>
              <w:rPr>
                <w:rFonts w:ascii="Arial Narrow" w:hAnsi="Arial Narrow"/>
                <w:color w:val="000000"/>
                <w:sz w:val="16"/>
                <w:szCs w:val="16"/>
              </w:rPr>
              <w:t>0,1</w:t>
            </w:r>
          </w:p>
        </w:tc>
        <w:tc>
          <w:tcPr>
            <w:tcW w:w="1559" w:type="dxa"/>
            <w:tcBorders>
              <w:top w:val="nil"/>
              <w:bottom w:val="nil"/>
              <w:right w:val="single" w:sz="4" w:space="0" w:color="auto"/>
            </w:tcBorders>
            <w:shd w:val="clear" w:color="auto" w:fill="auto"/>
            <w:noWrap/>
            <w:vAlign w:val="center"/>
            <w:hideMark/>
          </w:tcPr>
          <w:p w:rsidR="006618BA" w:rsidRDefault="006618BA" w:rsidP="006618BA">
            <w:pPr>
              <w:ind w:right="681"/>
              <w:jc w:val="right"/>
              <w:rPr>
                <w:rFonts w:ascii="Arial Narrow" w:hAnsi="Arial Narrow"/>
                <w:color w:val="000000"/>
                <w:sz w:val="16"/>
                <w:szCs w:val="16"/>
              </w:rPr>
            </w:pPr>
            <w:r>
              <w:rPr>
                <w:rFonts w:ascii="Arial Narrow" w:hAnsi="Arial Narrow"/>
                <w:color w:val="000000"/>
                <w:sz w:val="16"/>
                <w:szCs w:val="16"/>
              </w:rPr>
              <w:t>0,1</w:t>
            </w:r>
          </w:p>
        </w:tc>
      </w:tr>
      <w:tr w:rsidR="006618BA" w:rsidRPr="00E51833" w:rsidTr="003C79F3">
        <w:trPr>
          <w:trHeight w:val="170"/>
        </w:trPr>
        <w:tc>
          <w:tcPr>
            <w:tcW w:w="369" w:type="dxa"/>
            <w:tcBorders>
              <w:top w:val="nil"/>
              <w:left w:val="single" w:sz="4" w:space="0" w:color="auto"/>
              <w:bottom w:val="nil"/>
            </w:tcBorders>
            <w:shd w:val="clear" w:color="auto" w:fill="auto"/>
            <w:noWrap/>
            <w:vAlign w:val="center"/>
            <w:hideMark/>
          </w:tcPr>
          <w:p w:rsidR="006618BA" w:rsidRPr="00E51833" w:rsidRDefault="006618BA" w:rsidP="003C79F3">
            <w:pPr>
              <w:spacing w:before="40" w:after="40"/>
              <w:jc w:val="center"/>
              <w:rPr>
                <w:rFonts w:ascii="Arial Narrow" w:hAnsi="Arial Narrow"/>
                <w:color w:val="000000"/>
                <w:sz w:val="16"/>
                <w:szCs w:val="16"/>
              </w:rPr>
            </w:pPr>
            <w:r w:rsidRPr="00E51833">
              <w:rPr>
                <w:rFonts w:ascii="Arial Narrow" w:hAnsi="Arial Narrow"/>
                <w:color w:val="000000"/>
                <w:sz w:val="16"/>
                <w:szCs w:val="16"/>
              </w:rPr>
              <w:t>Β</w:t>
            </w:r>
          </w:p>
        </w:tc>
        <w:tc>
          <w:tcPr>
            <w:tcW w:w="5585" w:type="dxa"/>
            <w:tcBorders>
              <w:top w:val="nil"/>
              <w:bottom w:val="nil"/>
            </w:tcBorders>
            <w:shd w:val="clear" w:color="auto" w:fill="auto"/>
            <w:hideMark/>
          </w:tcPr>
          <w:p w:rsidR="006618BA" w:rsidRPr="00E51833" w:rsidRDefault="006618BA" w:rsidP="006618BA">
            <w:pPr>
              <w:spacing w:before="40" w:after="40"/>
              <w:rPr>
                <w:rFonts w:ascii="Arial Narrow" w:hAnsi="Arial Narrow"/>
                <w:sz w:val="16"/>
                <w:szCs w:val="16"/>
              </w:rPr>
            </w:pPr>
            <w:r>
              <w:rPr>
                <w:rFonts w:ascii="Arial Narrow" w:hAnsi="Arial Narrow"/>
                <w:sz w:val="16"/>
                <w:szCs w:val="16"/>
              </w:rPr>
              <w:t xml:space="preserve">Εθνική </w:t>
            </w:r>
            <w:r w:rsidRPr="00E51833">
              <w:rPr>
                <w:rFonts w:ascii="Arial Narrow" w:hAnsi="Arial Narrow"/>
                <w:sz w:val="16"/>
                <w:szCs w:val="16"/>
              </w:rPr>
              <w:t>Αρχή Ανώτατη</w:t>
            </w:r>
            <w:r>
              <w:rPr>
                <w:rFonts w:ascii="Arial Narrow" w:hAnsi="Arial Narrow"/>
                <w:sz w:val="16"/>
                <w:szCs w:val="16"/>
              </w:rPr>
              <w:t>ς</w:t>
            </w:r>
            <w:r w:rsidRPr="00E51833">
              <w:rPr>
                <w:rFonts w:ascii="Arial Narrow" w:hAnsi="Arial Narrow"/>
                <w:sz w:val="16"/>
                <w:szCs w:val="16"/>
              </w:rPr>
              <w:t xml:space="preserve"> Εκπαίδευση</w:t>
            </w:r>
            <w:r>
              <w:rPr>
                <w:rFonts w:ascii="Arial Narrow" w:hAnsi="Arial Narrow"/>
                <w:sz w:val="16"/>
                <w:szCs w:val="16"/>
              </w:rPr>
              <w:t>ς</w:t>
            </w:r>
          </w:p>
        </w:tc>
        <w:tc>
          <w:tcPr>
            <w:tcW w:w="1701" w:type="dxa"/>
            <w:tcBorders>
              <w:top w:val="nil"/>
              <w:bottom w:val="nil"/>
            </w:tcBorders>
            <w:shd w:val="clear" w:color="auto" w:fill="auto"/>
            <w:noWrap/>
            <w:vAlign w:val="center"/>
            <w:hideMark/>
          </w:tcPr>
          <w:p w:rsidR="006618BA" w:rsidRDefault="006618BA" w:rsidP="006618BA">
            <w:pPr>
              <w:ind w:right="681"/>
              <w:jc w:val="right"/>
              <w:rPr>
                <w:rFonts w:ascii="Arial Narrow" w:hAnsi="Arial Narrow"/>
                <w:color w:val="000000"/>
                <w:sz w:val="16"/>
                <w:szCs w:val="16"/>
              </w:rPr>
            </w:pPr>
            <w:r>
              <w:rPr>
                <w:rFonts w:ascii="Arial Narrow" w:hAnsi="Arial Narrow"/>
                <w:color w:val="000000"/>
                <w:sz w:val="16"/>
                <w:szCs w:val="16"/>
              </w:rPr>
              <w:t>0,8</w:t>
            </w:r>
          </w:p>
        </w:tc>
        <w:tc>
          <w:tcPr>
            <w:tcW w:w="1559" w:type="dxa"/>
            <w:tcBorders>
              <w:top w:val="nil"/>
              <w:bottom w:val="nil"/>
              <w:right w:val="single" w:sz="4" w:space="0" w:color="auto"/>
            </w:tcBorders>
            <w:shd w:val="clear" w:color="auto" w:fill="auto"/>
            <w:noWrap/>
            <w:vAlign w:val="center"/>
            <w:hideMark/>
          </w:tcPr>
          <w:p w:rsidR="006618BA" w:rsidRDefault="006618BA" w:rsidP="006618BA">
            <w:pPr>
              <w:ind w:right="681"/>
              <w:jc w:val="right"/>
              <w:rPr>
                <w:rFonts w:ascii="Arial Narrow" w:hAnsi="Arial Narrow"/>
                <w:color w:val="000000"/>
                <w:sz w:val="16"/>
                <w:szCs w:val="16"/>
              </w:rPr>
            </w:pPr>
            <w:r>
              <w:rPr>
                <w:rFonts w:ascii="Arial Narrow" w:hAnsi="Arial Narrow"/>
                <w:color w:val="000000"/>
                <w:sz w:val="16"/>
                <w:szCs w:val="16"/>
              </w:rPr>
              <w:t>0,9</w:t>
            </w:r>
          </w:p>
        </w:tc>
      </w:tr>
      <w:tr w:rsidR="006618BA" w:rsidRPr="00E51833" w:rsidTr="003C79F3">
        <w:trPr>
          <w:trHeight w:val="170"/>
        </w:trPr>
        <w:tc>
          <w:tcPr>
            <w:tcW w:w="369" w:type="dxa"/>
            <w:tcBorders>
              <w:top w:val="nil"/>
              <w:left w:val="single" w:sz="4" w:space="0" w:color="auto"/>
              <w:bottom w:val="nil"/>
            </w:tcBorders>
            <w:shd w:val="clear" w:color="auto" w:fill="auto"/>
            <w:noWrap/>
            <w:vAlign w:val="center"/>
            <w:hideMark/>
          </w:tcPr>
          <w:p w:rsidR="006618BA" w:rsidRPr="00E51833" w:rsidRDefault="006618BA" w:rsidP="003C79F3">
            <w:pPr>
              <w:spacing w:before="40" w:after="40"/>
              <w:jc w:val="center"/>
              <w:rPr>
                <w:rFonts w:ascii="Arial Narrow" w:hAnsi="Arial Narrow"/>
                <w:color w:val="000000"/>
                <w:sz w:val="16"/>
                <w:szCs w:val="16"/>
              </w:rPr>
            </w:pPr>
            <w:r w:rsidRPr="00E51833">
              <w:rPr>
                <w:rFonts w:ascii="Arial Narrow" w:hAnsi="Arial Narrow"/>
                <w:color w:val="000000"/>
                <w:sz w:val="16"/>
                <w:szCs w:val="16"/>
              </w:rPr>
              <w:t>Γ</w:t>
            </w:r>
          </w:p>
        </w:tc>
        <w:tc>
          <w:tcPr>
            <w:tcW w:w="5585" w:type="dxa"/>
            <w:tcBorders>
              <w:top w:val="nil"/>
              <w:bottom w:val="nil"/>
            </w:tcBorders>
            <w:shd w:val="clear" w:color="auto" w:fill="auto"/>
            <w:noWrap/>
            <w:hideMark/>
          </w:tcPr>
          <w:p w:rsidR="006618BA" w:rsidRPr="00E51833" w:rsidRDefault="006618BA" w:rsidP="003C79F3">
            <w:pPr>
              <w:spacing w:before="40" w:after="40"/>
              <w:rPr>
                <w:rFonts w:ascii="Arial Narrow" w:hAnsi="Arial Narrow"/>
                <w:sz w:val="16"/>
                <w:szCs w:val="16"/>
              </w:rPr>
            </w:pPr>
            <w:r w:rsidRPr="00E51833">
              <w:rPr>
                <w:rFonts w:ascii="Arial Narrow" w:hAnsi="Arial Narrow"/>
                <w:sz w:val="16"/>
                <w:szCs w:val="16"/>
              </w:rPr>
              <w:t xml:space="preserve">Εθνικός Οργανισμός Εξετάσεων </w:t>
            </w:r>
          </w:p>
        </w:tc>
        <w:tc>
          <w:tcPr>
            <w:tcW w:w="1701" w:type="dxa"/>
            <w:tcBorders>
              <w:top w:val="nil"/>
              <w:bottom w:val="nil"/>
            </w:tcBorders>
            <w:shd w:val="clear" w:color="auto" w:fill="auto"/>
            <w:noWrap/>
            <w:vAlign w:val="center"/>
            <w:hideMark/>
          </w:tcPr>
          <w:p w:rsidR="006618BA" w:rsidRDefault="006618BA" w:rsidP="006618BA">
            <w:pPr>
              <w:ind w:right="681"/>
              <w:jc w:val="right"/>
              <w:rPr>
                <w:rFonts w:ascii="Arial Narrow" w:hAnsi="Arial Narrow"/>
                <w:color w:val="000000"/>
                <w:sz w:val="16"/>
                <w:szCs w:val="16"/>
              </w:rPr>
            </w:pPr>
            <w:r>
              <w:rPr>
                <w:rFonts w:ascii="Arial Narrow" w:hAnsi="Arial Narrow"/>
                <w:color w:val="000000"/>
                <w:sz w:val="16"/>
                <w:szCs w:val="16"/>
              </w:rPr>
              <w:t>0,1</w:t>
            </w:r>
          </w:p>
        </w:tc>
        <w:tc>
          <w:tcPr>
            <w:tcW w:w="1559" w:type="dxa"/>
            <w:tcBorders>
              <w:top w:val="nil"/>
              <w:bottom w:val="nil"/>
              <w:right w:val="single" w:sz="4" w:space="0" w:color="auto"/>
            </w:tcBorders>
            <w:shd w:val="clear" w:color="auto" w:fill="auto"/>
            <w:noWrap/>
            <w:vAlign w:val="center"/>
            <w:hideMark/>
          </w:tcPr>
          <w:p w:rsidR="006618BA" w:rsidRDefault="006618BA" w:rsidP="006618BA">
            <w:pPr>
              <w:ind w:right="681"/>
              <w:jc w:val="right"/>
              <w:rPr>
                <w:rFonts w:ascii="Arial Narrow" w:hAnsi="Arial Narrow"/>
                <w:color w:val="000000"/>
                <w:sz w:val="16"/>
                <w:szCs w:val="16"/>
              </w:rPr>
            </w:pPr>
            <w:r>
              <w:rPr>
                <w:rFonts w:ascii="Arial Narrow" w:hAnsi="Arial Narrow"/>
                <w:color w:val="000000"/>
                <w:sz w:val="16"/>
                <w:szCs w:val="16"/>
              </w:rPr>
              <w:t>0,1</w:t>
            </w:r>
          </w:p>
        </w:tc>
      </w:tr>
      <w:tr w:rsidR="006618BA" w:rsidRPr="00E51833" w:rsidTr="003C79F3">
        <w:trPr>
          <w:trHeight w:val="170"/>
        </w:trPr>
        <w:tc>
          <w:tcPr>
            <w:tcW w:w="369" w:type="dxa"/>
            <w:tcBorders>
              <w:top w:val="nil"/>
              <w:left w:val="single" w:sz="4" w:space="0" w:color="auto"/>
              <w:bottom w:val="nil"/>
            </w:tcBorders>
            <w:shd w:val="clear" w:color="000000" w:fill="BFBFBF"/>
            <w:noWrap/>
            <w:vAlign w:val="center"/>
            <w:hideMark/>
          </w:tcPr>
          <w:p w:rsidR="006618BA" w:rsidRPr="00E51833" w:rsidRDefault="006618BA" w:rsidP="003C79F3">
            <w:pPr>
              <w:spacing w:before="40" w:after="40"/>
              <w:jc w:val="center"/>
              <w:rPr>
                <w:rFonts w:ascii="Arial Narrow" w:hAnsi="Arial Narrow"/>
                <w:b/>
                <w:bCs/>
                <w:color w:val="000000"/>
                <w:sz w:val="16"/>
                <w:szCs w:val="16"/>
              </w:rPr>
            </w:pPr>
            <w:r w:rsidRPr="00E51833">
              <w:rPr>
                <w:rFonts w:ascii="Arial Narrow" w:hAnsi="Arial Narrow"/>
                <w:b/>
                <w:bCs/>
                <w:color w:val="000000"/>
                <w:sz w:val="16"/>
                <w:szCs w:val="16"/>
              </w:rPr>
              <w:t>4</w:t>
            </w:r>
          </w:p>
        </w:tc>
        <w:tc>
          <w:tcPr>
            <w:tcW w:w="5585" w:type="dxa"/>
            <w:tcBorders>
              <w:top w:val="nil"/>
              <w:bottom w:val="nil"/>
            </w:tcBorders>
            <w:shd w:val="clear" w:color="000000" w:fill="BFBFBF"/>
            <w:noWrap/>
            <w:vAlign w:val="bottom"/>
            <w:hideMark/>
          </w:tcPr>
          <w:p w:rsidR="006618BA" w:rsidRPr="00E51833" w:rsidRDefault="006618BA" w:rsidP="003C79F3">
            <w:pPr>
              <w:spacing w:before="40" w:after="40"/>
              <w:rPr>
                <w:rFonts w:ascii="Arial Narrow" w:hAnsi="Arial Narrow"/>
                <w:b/>
                <w:bCs/>
                <w:color w:val="000000"/>
                <w:sz w:val="16"/>
                <w:szCs w:val="16"/>
              </w:rPr>
            </w:pPr>
            <w:r w:rsidRPr="00E51833">
              <w:rPr>
                <w:rFonts w:ascii="Arial Narrow" w:hAnsi="Arial Narrow"/>
                <w:b/>
                <w:bCs/>
                <w:color w:val="000000"/>
                <w:sz w:val="16"/>
                <w:szCs w:val="16"/>
              </w:rPr>
              <w:t>ΥΠΟΥΡΓΕΙΟ ΟΙΚΟΝΟΜΙΚΩΝ</w:t>
            </w:r>
          </w:p>
        </w:tc>
        <w:tc>
          <w:tcPr>
            <w:tcW w:w="1701" w:type="dxa"/>
            <w:tcBorders>
              <w:top w:val="nil"/>
              <w:bottom w:val="nil"/>
            </w:tcBorders>
            <w:shd w:val="clear" w:color="000000" w:fill="BFBFBF"/>
            <w:noWrap/>
            <w:vAlign w:val="center"/>
            <w:hideMark/>
          </w:tcPr>
          <w:p w:rsidR="006618BA" w:rsidRDefault="006618BA" w:rsidP="006618BA">
            <w:pPr>
              <w:ind w:right="681"/>
              <w:jc w:val="right"/>
              <w:rPr>
                <w:rFonts w:ascii="Arial Narrow" w:hAnsi="Arial Narrow"/>
                <w:b/>
                <w:bCs/>
                <w:color w:val="000000"/>
                <w:sz w:val="16"/>
                <w:szCs w:val="16"/>
              </w:rPr>
            </w:pPr>
            <w:r>
              <w:rPr>
                <w:rFonts w:ascii="Arial Narrow" w:hAnsi="Arial Narrow"/>
                <w:b/>
                <w:bCs/>
                <w:color w:val="000000"/>
                <w:sz w:val="16"/>
                <w:szCs w:val="16"/>
              </w:rPr>
              <w:t>478,3</w:t>
            </w:r>
          </w:p>
        </w:tc>
        <w:tc>
          <w:tcPr>
            <w:tcW w:w="1559" w:type="dxa"/>
            <w:tcBorders>
              <w:top w:val="nil"/>
              <w:bottom w:val="nil"/>
              <w:right w:val="single" w:sz="4" w:space="0" w:color="auto"/>
            </w:tcBorders>
            <w:shd w:val="clear" w:color="000000" w:fill="BFBFBF"/>
            <w:noWrap/>
            <w:vAlign w:val="center"/>
            <w:hideMark/>
          </w:tcPr>
          <w:p w:rsidR="006618BA" w:rsidRDefault="006618BA" w:rsidP="006618BA">
            <w:pPr>
              <w:ind w:right="681"/>
              <w:jc w:val="right"/>
              <w:rPr>
                <w:rFonts w:ascii="Arial Narrow" w:hAnsi="Arial Narrow"/>
                <w:b/>
                <w:bCs/>
                <w:color w:val="000000"/>
                <w:sz w:val="16"/>
                <w:szCs w:val="16"/>
              </w:rPr>
            </w:pPr>
            <w:r>
              <w:rPr>
                <w:rFonts w:ascii="Arial Narrow" w:hAnsi="Arial Narrow"/>
                <w:b/>
                <w:bCs/>
                <w:color w:val="000000"/>
                <w:sz w:val="16"/>
                <w:szCs w:val="16"/>
              </w:rPr>
              <w:t>506,3</w:t>
            </w:r>
          </w:p>
        </w:tc>
      </w:tr>
      <w:tr w:rsidR="006618BA" w:rsidRPr="00E51833" w:rsidTr="003C79F3">
        <w:trPr>
          <w:trHeight w:val="170"/>
        </w:trPr>
        <w:tc>
          <w:tcPr>
            <w:tcW w:w="369" w:type="dxa"/>
            <w:tcBorders>
              <w:top w:val="nil"/>
              <w:left w:val="single" w:sz="4" w:space="0" w:color="auto"/>
              <w:bottom w:val="nil"/>
            </w:tcBorders>
            <w:shd w:val="clear" w:color="auto" w:fill="auto"/>
            <w:noWrap/>
            <w:vAlign w:val="center"/>
            <w:hideMark/>
          </w:tcPr>
          <w:p w:rsidR="006618BA" w:rsidRPr="00E51833" w:rsidRDefault="006618BA" w:rsidP="003C79F3">
            <w:pPr>
              <w:spacing w:before="40" w:after="40"/>
              <w:jc w:val="center"/>
              <w:rPr>
                <w:rFonts w:ascii="Arial Narrow" w:hAnsi="Arial Narrow"/>
                <w:color w:val="000000"/>
                <w:sz w:val="16"/>
                <w:szCs w:val="16"/>
              </w:rPr>
            </w:pPr>
            <w:r w:rsidRPr="00E51833">
              <w:rPr>
                <w:rFonts w:ascii="Arial Narrow" w:hAnsi="Arial Narrow"/>
                <w:color w:val="000000"/>
                <w:sz w:val="16"/>
                <w:szCs w:val="16"/>
              </w:rPr>
              <w:t>Α</w:t>
            </w:r>
          </w:p>
        </w:tc>
        <w:tc>
          <w:tcPr>
            <w:tcW w:w="5585" w:type="dxa"/>
            <w:tcBorders>
              <w:top w:val="nil"/>
              <w:bottom w:val="nil"/>
            </w:tcBorders>
            <w:shd w:val="clear" w:color="auto" w:fill="auto"/>
            <w:noWrap/>
            <w:hideMark/>
          </w:tcPr>
          <w:p w:rsidR="006618BA" w:rsidRPr="00E51833" w:rsidRDefault="006618BA" w:rsidP="003C79F3">
            <w:pPr>
              <w:spacing w:before="40" w:after="40"/>
              <w:rPr>
                <w:rFonts w:ascii="Arial Narrow" w:hAnsi="Arial Narrow"/>
                <w:sz w:val="16"/>
                <w:szCs w:val="16"/>
              </w:rPr>
            </w:pPr>
            <w:r w:rsidRPr="00E51833">
              <w:rPr>
                <w:rFonts w:ascii="Arial Narrow" w:hAnsi="Arial Narrow"/>
                <w:sz w:val="16"/>
                <w:szCs w:val="16"/>
              </w:rPr>
              <w:t>Ανεξάρτητη Αρχή Δημοσίων Εσόδων</w:t>
            </w:r>
          </w:p>
        </w:tc>
        <w:tc>
          <w:tcPr>
            <w:tcW w:w="1701" w:type="dxa"/>
            <w:tcBorders>
              <w:top w:val="nil"/>
              <w:bottom w:val="nil"/>
            </w:tcBorders>
            <w:shd w:val="clear" w:color="auto" w:fill="auto"/>
            <w:noWrap/>
            <w:vAlign w:val="center"/>
            <w:hideMark/>
          </w:tcPr>
          <w:p w:rsidR="006618BA" w:rsidRDefault="006618BA" w:rsidP="006618BA">
            <w:pPr>
              <w:ind w:right="681"/>
              <w:jc w:val="right"/>
              <w:rPr>
                <w:rFonts w:ascii="Arial Narrow" w:hAnsi="Arial Narrow"/>
                <w:color w:val="000000"/>
                <w:sz w:val="16"/>
                <w:szCs w:val="16"/>
              </w:rPr>
            </w:pPr>
            <w:r>
              <w:rPr>
                <w:rFonts w:ascii="Arial Narrow" w:hAnsi="Arial Narrow"/>
                <w:color w:val="000000"/>
                <w:sz w:val="16"/>
                <w:szCs w:val="16"/>
              </w:rPr>
              <w:t>475,2</w:t>
            </w:r>
          </w:p>
        </w:tc>
        <w:tc>
          <w:tcPr>
            <w:tcW w:w="1559" w:type="dxa"/>
            <w:tcBorders>
              <w:top w:val="nil"/>
              <w:bottom w:val="nil"/>
              <w:right w:val="single" w:sz="4" w:space="0" w:color="auto"/>
            </w:tcBorders>
            <w:shd w:val="clear" w:color="auto" w:fill="auto"/>
            <w:noWrap/>
            <w:vAlign w:val="center"/>
            <w:hideMark/>
          </w:tcPr>
          <w:p w:rsidR="006618BA" w:rsidRDefault="006618BA" w:rsidP="006618BA">
            <w:pPr>
              <w:ind w:right="681"/>
              <w:jc w:val="right"/>
              <w:rPr>
                <w:rFonts w:ascii="Arial Narrow" w:hAnsi="Arial Narrow"/>
                <w:color w:val="000000"/>
                <w:sz w:val="16"/>
                <w:szCs w:val="16"/>
              </w:rPr>
            </w:pPr>
            <w:r>
              <w:rPr>
                <w:rFonts w:ascii="Arial Narrow" w:hAnsi="Arial Narrow"/>
                <w:color w:val="000000"/>
                <w:sz w:val="16"/>
                <w:szCs w:val="16"/>
              </w:rPr>
              <w:t>502,8</w:t>
            </w:r>
          </w:p>
        </w:tc>
      </w:tr>
      <w:tr w:rsidR="006618BA" w:rsidRPr="00E51833" w:rsidTr="003C79F3">
        <w:trPr>
          <w:trHeight w:val="170"/>
        </w:trPr>
        <w:tc>
          <w:tcPr>
            <w:tcW w:w="369" w:type="dxa"/>
            <w:tcBorders>
              <w:top w:val="nil"/>
              <w:left w:val="single" w:sz="4" w:space="0" w:color="auto"/>
              <w:bottom w:val="nil"/>
            </w:tcBorders>
            <w:shd w:val="clear" w:color="auto" w:fill="auto"/>
            <w:noWrap/>
            <w:vAlign w:val="center"/>
            <w:hideMark/>
          </w:tcPr>
          <w:p w:rsidR="006618BA" w:rsidRPr="00E51833" w:rsidRDefault="006618BA" w:rsidP="003C79F3">
            <w:pPr>
              <w:spacing w:before="40" w:after="40"/>
              <w:jc w:val="center"/>
              <w:rPr>
                <w:rFonts w:ascii="Arial Narrow" w:hAnsi="Arial Narrow"/>
                <w:color w:val="000000"/>
                <w:sz w:val="16"/>
                <w:szCs w:val="16"/>
              </w:rPr>
            </w:pPr>
            <w:r w:rsidRPr="00E51833">
              <w:rPr>
                <w:rFonts w:ascii="Arial Narrow" w:hAnsi="Arial Narrow"/>
                <w:color w:val="000000"/>
                <w:sz w:val="16"/>
                <w:szCs w:val="16"/>
              </w:rPr>
              <w:t>Β</w:t>
            </w:r>
          </w:p>
        </w:tc>
        <w:tc>
          <w:tcPr>
            <w:tcW w:w="5585" w:type="dxa"/>
            <w:tcBorders>
              <w:top w:val="nil"/>
              <w:bottom w:val="nil"/>
            </w:tcBorders>
            <w:shd w:val="clear" w:color="auto" w:fill="auto"/>
            <w:vAlign w:val="bottom"/>
            <w:hideMark/>
          </w:tcPr>
          <w:p w:rsidR="006618BA" w:rsidRPr="00E51833" w:rsidRDefault="006618BA" w:rsidP="003C79F3">
            <w:pPr>
              <w:spacing w:before="40" w:after="40"/>
              <w:rPr>
                <w:rFonts w:ascii="Arial Narrow" w:hAnsi="Arial Narrow"/>
                <w:color w:val="000000"/>
                <w:sz w:val="16"/>
                <w:szCs w:val="16"/>
              </w:rPr>
            </w:pPr>
            <w:r w:rsidRPr="00E51833">
              <w:rPr>
                <w:rFonts w:ascii="Arial Narrow" w:hAnsi="Arial Narrow"/>
                <w:color w:val="000000"/>
                <w:sz w:val="16"/>
                <w:szCs w:val="16"/>
              </w:rPr>
              <w:t>Αρχή Καταπολέμησης της Νομιμοποίησης Εσόδων από Εγκληματικές Δραστηριότητες</w:t>
            </w:r>
          </w:p>
        </w:tc>
        <w:tc>
          <w:tcPr>
            <w:tcW w:w="1701" w:type="dxa"/>
            <w:tcBorders>
              <w:top w:val="nil"/>
              <w:bottom w:val="nil"/>
            </w:tcBorders>
            <w:shd w:val="clear" w:color="auto" w:fill="auto"/>
            <w:noWrap/>
            <w:vAlign w:val="center"/>
            <w:hideMark/>
          </w:tcPr>
          <w:p w:rsidR="006618BA" w:rsidRDefault="006618BA" w:rsidP="006618BA">
            <w:pPr>
              <w:ind w:right="681"/>
              <w:jc w:val="right"/>
              <w:rPr>
                <w:rFonts w:ascii="Arial Narrow" w:hAnsi="Arial Narrow"/>
                <w:color w:val="000000"/>
                <w:sz w:val="16"/>
                <w:szCs w:val="16"/>
              </w:rPr>
            </w:pPr>
            <w:r>
              <w:rPr>
                <w:rFonts w:ascii="Arial Narrow" w:hAnsi="Arial Narrow"/>
                <w:color w:val="000000"/>
                <w:sz w:val="16"/>
                <w:szCs w:val="16"/>
              </w:rPr>
              <w:t>1,1</w:t>
            </w:r>
          </w:p>
        </w:tc>
        <w:tc>
          <w:tcPr>
            <w:tcW w:w="1559" w:type="dxa"/>
            <w:tcBorders>
              <w:top w:val="nil"/>
              <w:bottom w:val="nil"/>
              <w:right w:val="single" w:sz="4" w:space="0" w:color="auto"/>
            </w:tcBorders>
            <w:shd w:val="clear" w:color="auto" w:fill="auto"/>
            <w:noWrap/>
            <w:vAlign w:val="center"/>
            <w:hideMark/>
          </w:tcPr>
          <w:p w:rsidR="006618BA" w:rsidRDefault="006618BA" w:rsidP="006618BA">
            <w:pPr>
              <w:ind w:right="681"/>
              <w:jc w:val="right"/>
              <w:rPr>
                <w:rFonts w:ascii="Arial Narrow" w:hAnsi="Arial Narrow"/>
                <w:color w:val="000000"/>
                <w:sz w:val="16"/>
                <w:szCs w:val="16"/>
              </w:rPr>
            </w:pPr>
            <w:r>
              <w:rPr>
                <w:rFonts w:ascii="Arial Narrow" w:hAnsi="Arial Narrow"/>
                <w:color w:val="000000"/>
                <w:sz w:val="16"/>
                <w:szCs w:val="16"/>
              </w:rPr>
              <w:t>1,2</w:t>
            </w:r>
          </w:p>
        </w:tc>
      </w:tr>
      <w:tr w:rsidR="006618BA" w:rsidRPr="00E51833" w:rsidTr="003C79F3">
        <w:trPr>
          <w:trHeight w:val="170"/>
        </w:trPr>
        <w:tc>
          <w:tcPr>
            <w:tcW w:w="369" w:type="dxa"/>
            <w:tcBorders>
              <w:top w:val="nil"/>
              <w:left w:val="single" w:sz="4" w:space="0" w:color="auto"/>
              <w:bottom w:val="nil"/>
            </w:tcBorders>
            <w:shd w:val="clear" w:color="auto" w:fill="auto"/>
            <w:noWrap/>
            <w:vAlign w:val="center"/>
            <w:hideMark/>
          </w:tcPr>
          <w:p w:rsidR="006618BA" w:rsidRPr="00E51833" w:rsidRDefault="006618BA" w:rsidP="003C79F3">
            <w:pPr>
              <w:spacing w:before="40" w:after="40"/>
              <w:jc w:val="center"/>
              <w:rPr>
                <w:rFonts w:ascii="Arial Narrow" w:hAnsi="Arial Narrow"/>
                <w:color w:val="000000"/>
                <w:sz w:val="16"/>
                <w:szCs w:val="16"/>
              </w:rPr>
            </w:pPr>
            <w:r>
              <w:rPr>
                <w:rFonts w:ascii="Arial Narrow" w:hAnsi="Arial Narrow"/>
                <w:color w:val="000000"/>
                <w:sz w:val="16"/>
                <w:szCs w:val="16"/>
              </w:rPr>
              <w:t>Γ</w:t>
            </w:r>
          </w:p>
        </w:tc>
        <w:tc>
          <w:tcPr>
            <w:tcW w:w="5585" w:type="dxa"/>
            <w:tcBorders>
              <w:top w:val="nil"/>
              <w:bottom w:val="nil"/>
            </w:tcBorders>
            <w:shd w:val="clear" w:color="auto" w:fill="auto"/>
            <w:vAlign w:val="bottom"/>
            <w:hideMark/>
          </w:tcPr>
          <w:p w:rsidR="006618BA" w:rsidRPr="00E51833" w:rsidRDefault="006618BA" w:rsidP="003C79F3">
            <w:pPr>
              <w:spacing w:before="40" w:after="40"/>
              <w:rPr>
                <w:rFonts w:ascii="Arial Narrow" w:hAnsi="Arial Narrow"/>
                <w:color w:val="000000"/>
                <w:sz w:val="16"/>
                <w:szCs w:val="16"/>
              </w:rPr>
            </w:pPr>
            <w:r>
              <w:rPr>
                <w:rFonts w:ascii="Arial Narrow" w:hAnsi="Arial Narrow"/>
                <w:color w:val="000000"/>
                <w:sz w:val="16"/>
                <w:szCs w:val="16"/>
              </w:rPr>
              <w:t>Εθνικό Συμβούλιο Ραδιοτηλεόρασης</w:t>
            </w:r>
          </w:p>
        </w:tc>
        <w:tc>
          <w:tcPr>
            <w:tcW w:w="1701" w:type="dxa"/>
            <w:tcBorders>
              <w:top w:val="nil"/>
              <w:bottom w:val="nil"/>
            </w:tcBorders>
            <w:shd w:val="clear" w:color="auto" w:fill="auto"/>
            <w:noWrap/>
            <w:vAlign w:val="center"/>
            <w:hideMark/>
          </w:tcPr>
          <w:p w:rsidR="006618BA" w:rsidRDefault="006618BA" w:rsidP="006618BA">
            <w:pPr>
              <w:ind w:right="681"/>
              <w:jc w:val="right"/>
              <w:rPr>
                <w:rFonts w:ascii="Arial Narrow" w:hAnsi="Arial Narrow"/>
                <w:color w:val="000000"/>
                <w:sz w:val="16"/>
                <w:szCs w:val="16"/>
              </w:rPr>
            </w:pPr>
            <w:r>
              <w:rPr>
                <w:rFonts w:ascii="Arial Narrow" w:hAnsi="Arial Narrow"/>
                <w:color w:val="000000"/>
                <w:sz w:val="16"/>
                <w:szCs w:val="16"/>
              </w:rPr>
              <w:t>2,0</w:t>
            </w:r>
          </w:p>
        </w:tc>
        <w:tc>
          <w:tcPr>
            <w:tcW w:w="1559" w:type="dxa"/>
            <w:tcBorders>
              <w:top w:val="nil"/>
              <w:bottom w:val="nil"/>
              <w:right w:val="single" w:sz="4" w:space="0" w:color="auto"/>
            </w:tcBorders>
            <w:shd w:val="clear" w:color="auto" w:fill="auto"/>
            <w:noWrap/>
            <w:vAlign w:val="center"/>
            <w:hideMark/>
          </w:tcPr>
          <w:p w:rsidR="006618BA" w:rsidRDefault="006618BA" w:rsidP="006618BA">
            <w:pPr>
              <w:ind w:right="681"/>
              <w:jc w:val="right"/>
              <w:rPr>
                <w:rFonts w:ascii="Arial Narrow" w:hAnsi="Arial Narrow"/>
                <w:color w:val="000000"/>
                <w:sz w:val="16"/>
                <w:szCs w:val="16"/>
              </w:rPr>
            </w:pPr>
            <w:r>
              <w:rPr>
                <w:rFonts w:ascii="Arial Narrow" w:hAnsi="Arial Narrow"/>
                <w:color w:val="000000"/>
                <w:sz w:val="16"/>
                <w:szCs w:val="16"/>
              </w:rPr>
              <w:t>2,3</w:t>
            </w:r>
          </w:p>
        </w:tc>
      </w:tr>
      <w:tr w:rsidR="006618BA" w:rsidRPr="00E51833" w:rsidTr="003C79F3">
        <w:trPr>
          <w:trHeight w:val="170"/>
        </w:trPr>
        <w:tc>
          <w:tcPr>
            <w:tcW w:w="369" w:type="dxa"/>
            <w:tcBorders>
              <w:top w:val="nil"/>
              <w:left w:val="single" w:sz="4" w:space="0" w:color="auto"/>
              <w:bottom w:val="nil"/>
            </w:tcBorders>
            <w:shd w:val="clear" w:color="000000" w:fill="BFBFBF"/>
            <w:noWrap/>
            <w:vAlign w:val="center"/>
            <w:hideMark/>
          </w:tcPr>
          <w:p w:rsidR="006618BA" w:rsidRPr="00E51833" w:rsidRDefault="006618BA" w:rsidP="003C79F3">
            <w:pPr>
              <w:spacing w:before="40" w:after="40"/>
              <w:jc w:val="center"/>
              <w:rPr>
                <w:rFonts w:ascii="Arial Narrow" w:hAnsi="Arial Narrow"/>
                <w:b/>
                <w:bCs/>
                <w:color w:val="000000"/>
                <w:sz w:val="16"/>
                <w:szCs w:val="16"/>
              </w:rPr>
            </w:pPr>
            <w:r w:rsidRPr="00E51833">
              <w:rPr>
                <w:rFonts w:ascii="Arial Narrow" w:hAnsi="Arial Narrow"/>
                <w:b/>
                <w:bCs/>
                <w:color w:val="000000"/>
                <w:sz w:val="16"/>
                <w:szCs w:val="16"/>
              </w:rPr>
              <w:t>5</w:t>
            </w:r>
          </w:p>
        </w:tc>
        <w:tc>
          <w:tcPr>
            <w:tcW w:w="5585" w:type="dxa"/>
            <w:tcBorders>
              <w:top w:val="nil"/>
              <w:bottom w:val="nil"/>
            </w:tcBorders>
            <w:shd w:val="clear" w:color="000000" w:fill="BFBFBF"/>
            <w:noWrap/>
            <w:vAlign w:val="bottom"/>
            <w:hideMark/>
          </w:tcPr>
          <w:p w:rsidR="006618BA" w:rsidRPr="00E51833" w:rsidRDefault="006618BA" w:rsidP="003C79F3">
            <w:pPr>
              <w:spacing w:before="40" w:after="40"/>
              <w:rPr>
                <w:rFonts w:ascii="Arial Narrow" w:hAnsi="Arial Narrow"/>
                <w:b/>
                <w:bCs/>
                <w:color w:val="000000"/>
                <w:sz w:val="16"/>
                <w:szCs w:val="16"/>
              </w:rPr>
            </w:pPr>
            <w:r>
              <w:rPr>
                <w:rFonts w:ascii="Arial Narrow" w:hAnsi="Arial Narrow"/>
                <w:b/>
                <w:bCs/>
                <w:color w:val="000000"/>
                <w:sz w:val="16"/>
                <w:szCs w:val="16"/>
              </w:rPr>
              <w:t xml:space="preserve">ΥΠΟΥΡΓΕΙΟ </w:t>
            </w:r>
            <w:r w:rsidRPr="00E51833">
              <w:rPr>
                <w:rFonts w:ascii="Arial Narrow" w:hAnsi="Arial Narrow"/>
                <w:b/>
                <w:bCs/>
                <w:color w:val="000000"/>
                <w:sz w:val="16"/>
                <w:szCs w:val="16"/>
              </w:rPr>
              <w:t>ΑΝΑΠΤΥΞΗΣ</w:t>
            </w:r>
            <w:r>
              <w:rPr>
                <w:rFonts w:ascii="Arial Narrow" w:hAnsi="Arial Narrow"/>
                <w:b/>
                <w:bCs/>
                <w:color w:val="000000"/>
                <w:sz w:val="16"/>
                <w:szCs w:val="16"/>
              </w:rPr>
              <w:t xml:space="preserve"> ΚΑΙ ΕΠΕΝΔΥΣΕΩΝ</w:t>
            </w:r>
          </w:p>
        </w:tc>
        <w:tc>
          <w:tcPr>
            <w:tcW w:w="1701" w:type="dxa"/>
            <w:tcBorders>
              <w:top w:val="nil"/>
              <w:bottom w:val="nil"/>
            </w:tcBorders>
            <w:shd w:val="clear" w:color="000000" w:fill="BFBFBF"/>
            <w:noWrap/>
            <w:vAlign w:val="center"/>
            <w:hideMark/>
          </w:tcPr>
          <w:p w:rsidR="006618BA" w:rsidRDefault="006618BA" w:rsidP="006618BA">
            <w:pPr>
              <w:ind w:right="681"/>
              <w:jc w:val="right"/>
              <w:rPr>
                <w:rFonts w:ascii="Arial Narrow" w:hAnsi="Arial Narrow"/>
                <w:b/>
                <w:bCs/>
                <w:color w:val="000000"/>
                <w:sz w:val="16"/>
                <w:szCs w:val="16"/>
              </w:rPr>
            </w:pPr>
            <w:r>
              <w:rPr>
                <w:rFonts w:ascii="Arial Narrow" w:hAnsi="Arial Narrow"/>
                <w:b/>
                <w:bCs/>
                <w:color w:val="000000"/>
                <w:sz w:val="16"/>
                <w:szCs w:val="16"/>
              </w:rPr>
              <w:t>1,8</w:t>
            </w:r>
          </w:p>
        </w:tc>
        <w:tc>
          <w:tcPr>
            <w:tcW w:w="1559" w:type="dxa"/>
            <w:tcBorders>
              <w:top w:val="nil"/>
              <w:bottom w:val="nil"/>
              <w:right w:val="single" w:sz="4" w:space="0" w:color="auto"/>
            </w:tcBorders>
            <w:shd w:val="clear" w:color="000000" w:fill="BFBFBF"/>
            <w:noWrap/>
            <w:vAlign w:val="center"/>
            <w:hideMark/>
          </w:tcPr>
          <w:p w:rsidR="006618BA" w:rsidRDefault="006618BA" w:rsidP="006618BA">
            <w:pPr>
              <w:ind w:right="681"/>
              <w:jc w:val="right"/>
              <w:rPr>
                <w:rFonts w:ascii="Arial Narrow" w:hAnsi="Arial Narrow"/>
                <w:b/>
                <w:bCs/>
                <w:color w:val="000000"/>
                <w:sz w:val="16"/>
                <w:szCs w:val="16"/>
              </w:rPr>
            </w:pPr>
            <w:r>
              <w:rPr>
                <w:rFonts w:ascii="Arial Narrow" w:hAnsi="Arial Narrow"/>
                <w:b/>
                <w:bCs/>
                <w:color w:val="000000"/>
                <w:sz w:val="16"/>
                <w:szCs w:val="16"/>
              </w:rPr>
              <w:t>1,8</w:t>
            </w:r>
          </w:p>
        </w:tc>
      </w:tr>
      <w:tr w:rsidR="006618BA" w:rsidRPr="00E51833" w:rsidTr="003C79F3">
        <w:trPr>
          <w:trHeight w:val="170"/>
        </w:trPr>
        <w:tc>
          <w:tcPr>
            <w:tcW w:w="369" w:type="dxa"/>
            <w:tcBorders>
              <w:top w:val="nil"/>
              <w:left w:val="single" w:sz="4" w:space="0" w:color="auto"/>
              <w:bottom w:val="nil"/>
            </w:tcBorders>
            <w:shd w:val="clear" w:color="auto" w:fill="auto"/>
            <w:noWrap/>
            <w:vAlign w:val="center"/>
            <w:hideMark/>
          </w:tcPr>
          <w:p w:rsidR="006618BA" w:rsidRPr="00E51833" w:rsidRDefault="006618BA" w:rsidP="003C79F3">
            <w:pPr>
              <w:spacing w:before="40" w:after="40"/>
              <w:jc w:val="center"/>
              <w:rPr>
                <w:rFonts w:ascii="Arial Narrow" w:hAnsi="Arial Narrow"/>
                <w:color w:val="000000"/>
                <w:sz w:val="16"/>
                <w:szCs w:val="16"/>
              </w:rPr>
            </w:pPr>
            <w:r w:rsidRPr="00E51833">
              <w:rPr>
                <w:rFonts w:ascii="Arial Narrow" w:hAnsi="Arial Narrow"/>
                <w:color w:val="000000"/>
                <w:sz w:val="16"/>
                <w:szCs w:val="16"/>
              </w:rPr>
              <w:t>Α</w:t>
            </w:r>
          </w:p>
        </w:tc>
        <w:tc>
          <w:tcPr>
            <w:tcW w:w="5585" w:type="dxa"/>
            <w:tcBorders>
              <w:top w:val="nil"/>
              <w:bottom w:val="nil"/>
            </w:tcBorders>
            <w:shd w:val="clear" w:color="auto" w:fill="auto"/>
            <w:noWrap/>
            <w:hideMark/>
          </w:tcPr>
          <w:p w:rsidR="006618BA" w:rsidRPr="00E51833" w:rsidRDefault="006618BA" w:rsidP="003C79F3">
            <w:pPr>
              <w:spacing w:before="40" w:after="40"/>
              <w:rPr>
                <w:rFonts w:ascii="Arial Narrow" w:hAnsi="Arial Narrow"/>
                <w:sz w:val="16"/>
                <w:szCs w:val="16"/>
              </w:rPr>
            </w:pPr>
            <w:r w:rsidRPr="00E51833">
              <w:rPr>
                <w:rFonts w:ascii="Arial Narrow" w:hAnsi="Arial Narrow"/>
                <w:sz w:val="16"/>
                <w:szCs w:val="16"/>
              </w:rPr>
              <w:t>Συνήγορος του Καταναλωτή</w:t>
            </w:r>
          </w:p>
        </w:tc>
        <w:tc>
          <w:tcPr>
            <w:tcW w:w="1701" w:type="dxa"/>
            <w:tcBorders>
              <w:top w:val="nil"/>
              <w:bottom w:val="nil"/>
            </w:tcBorders>
            <w:shd w:val="clear" w:color="auto" w:fill="auto"/>
            <w:noWrap/>
            <w:vAlign w:val="center"/>
            <w:hideMark/>
          </w:tcPr>
          <w:p w:rsidR="006618BA" w:rsidRDefault="006618BA" w:rsidP="006618BA">
            <w:pPr>
              <w:ind w:right="681"/>
              <w:jc w:val="right"/>
              <w:rPr>
                <w:rFonts w:ascii="Arial Narrow" w:hAnsi="Arial Narrow"/>
                <w:color w:val="000000"/>
                <w:sz w:val="16"/>
                <w:szCs w:val="16"/>
              </w:rPr>
            </w:pPr>
            <w:r>
              <w:rPr>
                <w:rFonts w:ascii="Arial Narrow" w:hAnsi="Arial Narrow"/>
                <w:color w:val="000000"/>
                <w:sz w:val="16"/>
                <w:szCs w:val="16"/>
              </w:rPr>
              <w:t>1,8</w:t>
            </w:r>
          </w:p>
        </w:tc>
        <w:tc>
          <w:tcPr>
            <w:tcW w:w="1559" w:type="dxa"/>
            <w:tcBorders>
              <w:top w:val="nil"/>
              <w:bottom w:val="nil"/>
              <w:right w:val="single" w:sz="4" w:space="0" w:color="auto"/>
            </w:tcBorders>
            <w:shd w:val="clear" w:color="auto" w:fill="auto"/>
            <w:noWrap/>
            <w:vAlign w:val="center"/>
            <w:hideMark/>
          </w:tcPr>
          <w:p w:rsidR="006618BA" w:rsidRDefault="006618BA" w:rsidP="006618BA">
            <w:pPr>
              <w:ind w:right="681"/>
              <w:jc w:val="right"/>
              <w:rPr>
                <w:rFonts w:ascii="Arial Narrow" w:hAnsi="Arial Narrow"/>
                <w:color w:val="000000"/>
                <w:sz w:val="16"/>
                <w:szCs w:val="16"/>
              </w:rPr>
            </w:pPr>
            <w:r>
              <w:rPr>
                <w:rFonts w:ascii="Arial Narrow" w:hAnsi="Arial Narrow"/>
                <w:color w:val="000000"/>
                <w:sz w:val="16"/>
                <w:szCs w:val="16"/>
              </w:rPr>
              <w:t>1,8</w:t>
            </w:r>
          </w:p>
        </w:tc>
      </w:tr>
      <w:tr w:rsidR="006618BA" w:rsidRPr="00E51833" w:rsidTr="003C79F3">
        <w:trPr>
          <w:trHeight w:val="170"/>
        </w:trPr>
        <w:tc>
          <w:tcPr>
            <w:tcW w:w="369" w:type="dxa"/>
            <w:tcBorders>
              <w:top w:val="nil"/>
              <w:left w:val="single" w:sz="4" w:space="0" w:color="auto"/>
              <w:bottom w:val="nil"/>
            </w:tcBorders>
            <w:shd w:val="clear" w:color="000000" w:fill="BFBFBF"/>
            <w:noWrap/>
            <w:vAlign w:val="center"/>
            <w:hideMark/>
          </w:tcPr>
          <w:p w:rsidR="006618BA" w:rsidRPr="00E51833" w:rsidRDefault="006618BA" w:rsidP="003C79F3">
            <w:pPr>
              <w:spacing w:before="40" w:after="40"/>
              <w:jc w:val="center"/>
              <w:rPr>
                <w:rFonts w:ascii="Arial Narrow" w:hAnsi="Arial Narrow"/>
                <w:b/>
                <w:bCs/>
                <w:color w:val="000000"/>
                <w:sz w:val="16"/>
                <w:szCs w:val="16"/>
              </w:rPr>
            </w:pPr>
            <w:r w:rsidRPr="00E51833">
              <w:rPr>
                <w:rFonts w:ascii="Arial Narrow" w:hAnsi="Arial Narrow"/>
                <w:b/>
                <w:bCs/>
                <w:color w:val="000000"/>
                <w:sz w:val="16"/>
                <w:szCs w:val="16"/>
              </w:rPr>
              <w:t>6</w:t>
            </w:r>
          </w:p>
        </w:tc>
        <w:tc>
          <w:tcPr>
            <w:tcW w:w="5585" w:type="dxa"/>
            <w:tcBorders>
              <w:top w:val="nil"/>
              <w:bottom w:val="nil"/>
            </w:tcBorders>
            <w:shd w:val="clear" w:color="000000" w:fill="BFBFBF"/>
            <w:noWrap/>
            <w:vAlign w:val="bottom"/>
            <w:hideMark/>
          </w:tcPr>
          <w:p w:rsidR="006618BA" w:rsidRPr="00E51833" w:rsidRDefault="006618BA" w:rsidP="003C79F3">
            <w:pPr>
              <w:spacing w:before="40" w:after="40"/>
              <w:rPr>
                <w:rFonts w:ascii="Arial Narrow" w:hAnsi="Arial Narrow"/>
                <w:b/>
                <w:bCs/>
                <w:color w:val="000000"/>
                <w:sz w:val="16"/>
                <w:szCs w:val="16"/>
              </w:rPr>
            </w:pPr>
            <w:r>
              <w:rPr>
                <w:rFonts w:ascii="Arial Narrow" w:hAnsi="Arial Narrow"/>
                <w:b/>
                <w:bCs/>
                <w:color w:val="000000"/>
                <w:sz w:val="16"/>
                <w:szCs w:val="16"/>
              </w:rPr>
              <w:t>ΥΠΟΥΡΓΕΙΟ ΥΠΟΔΟΜΩΝ ΚΑΙ</w:t>
            </w:r>
            <w:r w:rsidRPr="00E51833">
              <w:rPr>
                <w:rFonts w:ascii="Arial Narrow" w:hAnsi="Arial Narrow"/>
                <w:b/>
                <w:bCs/>
                <w:color w:val="000000"/>
                <w:sz w:val="16"/>
                <w:szCs w:val="16"/>
              </w:rPr>
              <w:t xml:space="preserve"> ΜΕΤΑΦΟΡΩΝ</w:t>
            </w:r>
          </w:p>
        </w:tc>
        <w:tc>
          <w:tcPr>
            <w:tcW w:w="1701" w:type="dxa"/>
            <w:tcBorders>
              <w:top w:val="nil"/>
              <w:bottom w:val="nil"/>
            </w:tcBorders>
            <w:shd w:val="clear" w:color="000000" w:fill="BFBFBF"/>
            <w:noWrap/>
            <w:vAlign w:val="center"/>
            <w:hideMark/>
          </w:tcPr>
          <w:p w:rsidR="006618BA" w:rsidRDefault="006618BA" w:rsidP="006618BA">
            <w:pPr>
              <w:ind w:right="681"/>
              <w:jc w:val="right"/>
              <w:rPr>
                <w:rFonts w:ascii="Arial Narrow" w:hAnsi="Arial Narrow"/>
                <w:b/>
                <w:bCs/>
                <w:color w:val="000000"/>
                <w:sz w:val="16"/>
                <w:szCs w:val="16"/>
              </w:rPr>
            </w:pPr>
            <w:r>
              <w:rPr>
                <w:rFonts w:ascii="Arial Narrow" w:hAnsi="Arial Narrow"/>
                <w:b/>
                <w:bCs/>
                <w:color w:val="000000"/>
                <w:sz w:val="16"/>
                <w:szCs w:val="16"/>
              </w:rPr>
              <w:t>1,5</w:t>
            </w:r>
          </w:p>
        </w:tc>
        <w:tc>
          <w:tcPr>
            <w:tcW w:w="1559" w:type="dxa"/>
            <w:tcBorders>
              <w:top w:val="nil"/>
              <w:bottom w:val="nil"/>
              <w:right w:val="single" w:sz="4" w:space="0" w:color="auto"/>
            </w:tcBorders>
            <w:shd w:val="clear" w:color="000000" w:fill="BFBFBF"/>
            <w:noWrap/>
            <w:vAlign w:val="center"/>
            <w:hideMark/>
          </w:tcPr>
          <w:p w:rsidR="006618BA" w:rsidRDefault="006618BA" w:rsidP="006618BA">
            <w:pPr>
              <w:ind w:right="681"/>
              <w:jc w:val="right"/>
              <w:rPr>
                <w:rFonts w:ascii="Arial Narrow" w:hAnsi="Arial Narrow"/>
                <w:b/>
                <w:bCs/>
                <w:color w:val="000000"/>
                <w:sz w:val="16"/>
                <w:szCs w:val="16"/>
              </w:rPr>
            </w:pPr>
            <w:r>
              <w:rPr>
                <w:rFonts w:ascii="Arial Narrow" w:hAnsi="Arial Narrow"/>
                <w:b/>
                <w:bCs/>
                <w:color w:val="000000"/>
                <w:sz w:val="16"/>
                <w:szCs w:val="16"/>
              </w:rPr>
              <w:t>1,7</w:t>
            </w:r>
          </w:p>
        </w:tc>
      </w:tr>
      <w:tr w:rsidR="006618BA" w:rsidRPr="00E51833" w:rsidTr="003C79F3">
        <w:trPr>
          <w:trHeight w:val="170"/>
        </w:trPr>
        <w:tc>
          <w:tcPr>
            <w:tcW w:w="369" w:type="dxa"/>
            <w:tcBorders>
              <w:top w:val="nil"/>
              <w:left w:val="single" w:sz="4" w:space="0" w:color="auto"/>
              <w:bottom w:val="nil"/>
            </w:tcBorders>
            <w:shd w:val="clear" w:color="auto" w:fill="auto"/>
            <w:noWrap/>
            <w:vAlign w:val="center"/>
            <w:hideMark/>
          </w:tcPr>
          <w:p w:rsidR="006618BA" w:rsidRPr="00E51833" w:rsidRDefault="006618BA" w:rsidP="003C79F3">
            <w:pPr>
              <w:spacing w:before="40" w:after="40"/>
              <w:jc w:val="center"/>
              <w:rPr>
                <w:rFonts w:ascii="Arial Narrow" w:hAnsi="Arial Narrow"/>
                <w:color w:val="000000"/>
                <w:sz w:val="16"/>
                <w:szCs w:val="16"/>
              </w:rPr>
            </w:pPr>
            <w:r w:rsidRPr="00E51833">
              <w:rPr>
                <w:rFonts w:ascii="Arial Narrow" w:hAnsi="Arial Narrow"/>
                <w:color w:val="000000"/>
                <w:sz w:val="16"/>
                <w:szCs w:val="16"/>
              </w:rPr>
              <w:t>Α</w:t>
            </w:r>
          </w:p>
        </w:tc>
        <w:tc>
          <w:tcPr>
            <w:tcW w:w="5585" w:type="dxa"/>
            <w:tcBorders>
              <w:top w:val="nil"/>
              <w:bottom w:val="nil"/>
            </w:tcBorders>
            <w:shd w:val="clear" w:color="auto" w:fill="auto"/>
            <w:hideMark/>
          </w:tcPr>
          <w:p w:rsidR="006618BA" w:rsidRPr="00E51833" w:rsidRDefault="006618BA" w:rsidP="003C79F3">
            <w:pPr>
              <w:spacing w:before="40" w:after="40"/>
              <w:rPr>
                <w:rFonts w:ascii="Arial Narrow" w:hAnsi="Arial Narrow"/>
                <w:sz w:val="16"/>
                <w:szCs w:val="16"/>
              </w:rPr>
            </w:pPr>
            <w:r w:rsidRPr="00E51833">
              <w:rPr>
                <w:rFonts w:ascii="Arial Narrow" w:hAnsi="Arial Narrow"/>
                <w:sz w:val="16"/>
                <w:szCs w:val="16"/>
              </w:rPr>
              <w:t>Επιτροπή Διερεύνησης Ατυχημάτων και Ασφάλειας Πτήσεων</w:t>
            </w:r>
          </w:p>
        </w:tc>
        <w:tc>
          <w:tcPr>
            <w:tcW w:w="1701" w:type="dxa"/>
            <w:tcBorders>
              <w:top w:val="nil"/>
              <w:bottom w:val="nil"/>
            </w:tcBorders>
            <w:shd w:val="clear" w:color="auto" w:fill="auto"/>
            <w:noWrap/>
            <w:vAlign w:val="center"/>
            <w:hideMark/>
          </w:tcPr>
          <w:p w:rsidR="006618BA" w:rsidRDefault="006618BA" w:rsidP="006618BA">
            <w:pPr>
              <w:ind w:right="681"/>
              <w:jc w:val="right"/>
              <w:rPr>
                <w:rFonts w:ascii="Arial Narrow" w:hAnsi="Arial Narrow"/>
                <w:color w:val="000000"/>
                <w:sz w:val="16"/>
                <w:szCs w:val="16"/>
              </w:rPr>
            </w:pPr>
            <w:r>
              <w:rPr>
                <w:rFonts w:ascii="Arial Narrow" w:hAnsi="Arial Narrow"/>
                <w:color w:val="000000"/>
                <w:sz w:val="16"/>
                <w:szCs w:val="16"/>
              </w:rPr>
              <w:t>0,5</w:t>
            </w:r>
          </w:p>
        </w:tc>
        <w:tc>
          <w:tcPr>
            <w:tcW w:w="1559" w:type="dxa"/>
            <w:tcBorders>
              <w:top w:val="nil"/>
              <w:bottom w:val="nil"/>
              <w:right w:val="single" w:sz="4" w:space="0" w:color="auto"/>
            </w:tcBorders>
            <w:shd w:val="clear" w:color="auto" w:fill="auto"/>
            <w:noWrap/>
            <w:vAlign w:val="center"/>
            <w:hideMark/>
          </w:tcPr>
          <w:p w:rsidR="006618BA" w:rsidRDefault="006618BA" w:rsidP="006618BA">
            <w:pPr>
              <w:ind w:right="681"/>
              <w:jc w:val="right"/>
              <w:rPr>
                <w:rFonts w:ascii="Arial Narrow" w:hAnsi="Arial Narrow"/>
                <w:color w:val="000000"/>
                <w:sz w:val="16"/>
                <w:szCs w:val="16"/>
              </w:rPr>
            </w:pPr>
            <w:r>
              <w:rPr>
                <w:rFonts w:ascii="Arial Narrow" w:hAnsi="Arial Narrow"/>
                <w:color w:val="000000"/>
                <w:sz w:val="16"/>
                <w:szCs w:val="16"/>
              </w:rPr>
              <w:t>0,7</w:t>
            </w:r>
          </w:p>
        </w:tc>
      </w:tr>
      <w:tr w:rsidR="006618BA" w:rsidRPr="00E51833" w:rsidTr="003C79F3">
        <w:trPr>
          <w:trHeight w:val="170"/>
        </w:trPr>
        <w:tc>
          <w:tcPr>
            <w:tcW w:w="369" w:type="dxa"/>
            <w:tcBorders>
              <w:top w:val="nil"/>
              <w:left w:val="single" w:sz="4" w:space="0" w:color="auto"/>
              <w:bottom w:val="nil"/>
            </w:tcBorders>
            <w:shd w:val="clear" w:color="auto" w:fill="auto"/>
            <w:noWrap/>
            <w:vAlign w:val="center"/>
            <w:hideMark/>
          </w:tcPr>
          <w:p w:rsidR="006618BA" w:rsidRPr="00E51833" w:rsidRDefault="006618BA" w:rsidP="003C79F3">
            <w:pPr>
              <w:spacing w:before="40" w:after="40"/>
              <w:jc w:val="center"/>
              <w:rPr>
                <w:rFonts w:ascii="Arial Narrow" w:hAnsi="Arial Narrow"/>
                <w:color w:val="000000"/>
                <w:sz w:val="16"/>
                <w:szCs w:val="16"/>
              </w:rPr>
            </w:pPr>
            <w:r w:rsidRPr="00E51833">
              <w:rPr>
                <w:rFonts w:ascii="Arial Narrow" w:hAnsi="Arial Narrow"/>
                <w:color w:val="000000"/>
                <w:sz w:val="16"/>
                <w:szCs w:val="16"/>
              </w:rPr>
              <w:t>Β</w:t>
            </w:r>
          </w:p>
        </w:tc>
        <w:tc>
          <w:tcPr>
            <w:tcW w:w="5585" w:type="dxa"/>
            <w:tcBorders>
              <w:top w:val="nil"/>
              <w:bottom w:val="nil"/>
            </w:tcBorders>
            <w:shd w:val="clear" w:color="auto" w:fill="auto"/>
            <w:hideMark/>
          </w:tcPr>
          <w:p w:rsidR="006618BA" w:rsidRPr="00E51833" w:rsidRDefault="006618BA" w:rsidP="003C79F3">
            <w:pPr>
              <w:spacing w:before="40" w:after="40"/>
              <w:rPr>
                <w:rFonts w:ascii="Arial Narrow" w:hAnsi="Arial Narrow"/>
                <w:sz w:val="16"/>
                <w:szCs w:val="16"/>
              </w:rPr>
            </w:pPr>
            <w:r w:rsidRPr="00E51833">
              <w:rPr>
                <w:rFonts w:ascii="Arial Narrow" w:hAnsi="Arial Narrow"/>
                <w:sz w:val="16"/>
                <w:szCs w:val="16"/>
              </w:rPr>
              <w:t>Ρυθμιστική Αρχή Σιδηροδρόμων</w:t>
            </w:r>
          </w:p>
        </w:tc>
        <w:tc>
          <w:tcPr>
            <w:tcW w:w="1701" w:type="dxa"/>
            <w:tcBorders>
              <w:top w:val="nil"/>
              <w:bottom w:val="nil"/>
            </w:tcBorders>
            <w:shd w:val="clear" w:color="auto" w:fill="auto"/>
            <w:noWrap/>
            <w:vAlign w:val="center"/>
            <w:hideMark/>
          </w:tcPr>
          <w:p w:rsidR="006618BA" w:rsidRDefault="006618BA" w:rsidP="006618BA">
            <w:pPr>
              <w:ind w:right="681"/>
              <w:jc w:val="right"/>
              <w:rPr>
                <w:rFonts w:ascii="Arial Narrow" w:hAnsi="Arial Narrow"/>
                <w:color w:val="000000"/>
                <w:sz w:val="16"/>
                <w:szCs w:val="16"/>
              </w:rPr>
            </w:pPr>
            <w:r>
              <w:rPr>
                <w:rFonts w:ascii="Arial Narrow" w:hAnsi="Arial Narrow"/>
                <w:color w:val="000000"/>
                <w:sz w:val="16"/>
                <w:szCs w:val="16"/>
              </w:rPr>
              <w:t>1,0</w:t>
            </w:r>
          </w:p>
        </w:tc>
        <w:tc>
          <w:tcPr>
            <w:tcW w:w="1559" w:type="dxa"/>
            <w:tcBorders>
              <w:top w:val="nil"/>
              <w:bottom w:val="nil"/>
              <w:right w:val="single" w:sz="4" w:space="0" w:color="auto"/>
            </w:tcBorders>
            <w:shd w:val="clear" w:color="auto" w:fill="auto"/>
            <w:noWrap/>
            <w:vAlign w:val="center"/>
            <w:hideMark/>
          </w:tcPr>
          <w:p w:rsidR="006618BA" w:rsidRDefault="006618BA" w:rsidP="006618BA">
            <w:pPr>
              <w:ind w:right="681"/>
              <w:jc w:val="right"/>
              <w:rPr>
                <w:rFonts w:ascii="Arial Narrow" w:hAnsi="Arial Narrow"/>
                <w:color w:val="000000"/>
                <w:sz w:val="16"/>
                <w:szCs w:val="16"/>
              </w:rPr>
            </w:pPr>
            <w:r>
              <w:rPr>
                <w:rFonts w:ascii="Arial Narrow" w:hAnsi="Arial Narrow"/>
                <w:color w:val="000000"/>
                <w:sz w:val="16"/>
                <w:szCs w:val="16"/>
              </w:rPr>
              <w:t>1,0</w:t>
            </w:r>
          </w:p>
        </w:tc>
      </w:tr>
      <w:tr w:rsidR="006618BA" w:rsidRPr="00E51833" w:rsidTr="003C79F3">
        <w:trPr>
          <w:trHeight w:val="170"/>
        </w:trPr>
        <w:tc>
          <w:tcPr>
            <w:tcW w:w="369" w:type="dxa"/>
            <w:tcBorders>
              <w:top w:val="nil"/>
              <w:left w:val="single" w:sz="4" w:space="0" w:color="auto"/>
              <w:bottom w:val="nil"/>
            </w:tcBorders>
            <w:shd w:val="clear" w:color="auto" w:fill="auto"/>
            <w:noWrap/>
            <w:vAlign w:val="center"/>
            <w:hideMark/>
          </w:tcPr>
          <w:p w:rsidR="006618BA" w:rsidRPr="00E51833" w:rsidRDefault="006618BA" w:rsidP="003C79F3">
            <w:pPr>
              <w:spacing w:before="40" w:after="40"/>
              <w:jc w:val="center"/>
              <w:rPr>
                <w:rFonts w:ascii="Arial Narrow" w:hAnsi="Arial Narrow"/>
                <w:color w:val="000000"/>
                <w:sz w:val="16"/>
                <w:szCs w:val="16"/>
              </w:rPr>
            </w:pPr>
            <w:r>
              <w:rPr>
                <w:rFonts w:ascii="Arial Narrow" w:hAnsi="Arial Narrow"/>
                <w:color w:val="000000"/>
                <w:sz w:val="16"/>
                <w:szCs w:val="16"/>
              </w:rPr>
              <w:t>Γ</w:t>
            </w:r>
          </w:p>
        </w:tc>
        <w:tc>
          <w:tcPr>
            <w:tcW w:w="5585" w:type="dxa"/>
            <w:tcBorders>
              <w:top w:val="nil"/>
              <w:bottom w:val="nil"/>
            </w:tcBorders>
            <w:shd w:val="clear" w:color="auto" w:fill="auto"/>
            <w:hideMark/>
          </w:tcPr>
          <w:p w:rsidR="006618BA" w:rsidRPr="00E51833" w:rsidRDefault="006618BA" w:rsidP="003C79F3">
            <w:pPr>
              <w:spacing w:before="40" w:after="40"/>
              <w:rPr>
                <w:rFonts w:ascii="Arial Narrow" w:hAnsi="Arial Narrow"/>
                <w:sz w:val="16"/>
                <w:szCs w:val="16"/>
              </w:rPr>
            </w:pPr>
            <w:r>
              <w:rPr>
                <w:rFonts w:ascii="Arial Narrow" w:hAnsi="Arial Narrow"/>
                <w:sz w:val="16"/>
                <w:szCs w:val="16"/>
              </w:rPr>
              <w:t>Επιτροπή Διερεύνησης Σιδηροδρομικών Ατυχημάτων και Συμβάντων</w:t>
            </w:r>
          </w:p>
        </w:tc>
        <w:tc>
          <w:tcPr>
            <w:tcW w:w="1701" w:type="dxa"/>
            <w:tcBorders>
              <w:top w:val="nil"/>
              <w:bottom w:val="nil"/>
            </w:tcBorders>
            <w:shd w:val="clear" w:color="auto" w:fill="auto"/>
            <w:noWrap/>
            <w:vAlign w:val="center"/>
            <w:hideMark/>
          </w:tcPr>
          <w:p w:rsidR="006618BA" w:rsidRDefault="006618BA" w:rsidP="006618BA">
            <w:pPr>
              <w:ind w:right="681"/>
              <w:jc w:val="right"/>
              <w:rPr>
                <w:rFonts w:ascii="Arial Narrow" w:hAnsi="Arial Narrow"/>
                <w:color w:val="000000"/>
                <w:sz w:val="16"/>
                <w:szCs w:val="16"/>
              </w:rPr>
            </w:pPr>
            <w:r>
              <w:rPr>
                <w:rFonts w:ascii="Arial Narrow" w:hAnsi="Arial Narrow"/>
                <w:color w:val="000000"/>
                <w:sz w:val="16"/>
                <w:szCs w:val="16"/>
              </w:rPr>
              <w:t>0,0</w:t>
            </w:r>
          </w:p>
        </w:tc>
        <w:tc>
          <w:tcPr>
            <w:tcW w:w="1559" w:type="dxa"/>
            <w:tcBorders>
              <w:top w:val="nil"/>
              <w:bottom w:val="nil"/>
              <w:right w:val="single" w:sz="4" w:space="0" w:color="auto"/>
            </w:tcBorders>
            <w:shd w:val="clear" w:color="auto" w:fill="auto"/>
            <w:noWrap/>
            <w:vAlign w:val="center"/>
            <w:hideMark/>
          </w:tcPr>
          <w:p w:rsidR="006618BA" w:rsidRDefault="006618BA" w:rsidP="006618BA">
            <w:pPr>
              <w:ind w:right="681"/>
              <w:jc w:val="right"/>
              <w:rPr>
                <w:rFonts w:ascii="Arial Narrow" w:hAnsi="Arial Narrow"/>
                <w:color w:val="000000"/>
                <w:sz w:val="16"/>
                <w:szCs w:val="16"/>
              </w:rPr>
            </w:pPr>
            <w:r>
              <w:rPr>
                <w:rFonts w:ascii="Arial Narrow" w:hAnsi="Arial Narrow"/>
                <w:color w:val="000000"/>
                <w:sz w:val="16"/>
                <w:szCs w:val="16"/>
              </w:rPr>
              <w:t>0,0</w:t>
            </w:r>
          </w:p>
        </w:tc>
      </w:tr>
      <w:tr w:rsidR="006618BA" w:rsidRPr="00E51833" w:rsidTr="003C79F3">
        <w:trPr>
          <w:trHeight w:val="170"/>
        </w:trPr>
        <w:tc>
          <w:tcPr>
            <w:tcW w:w="369" w:type="dxa"/>
            <w:tcBorders>
              <w:left w:val="single" w:sz="4" w:space="0" w:color="auto"/>
              <w:bottom w:val="single" w:sz="4" w:space="0" w:color="auto"/>
            </w:tcBorders>
            <w:shd w:val="clear" w:color="000000" w:fill="BFBFBF"/>
            <w:noWrap/>
            <w:vAlign w:val="center"/>
            <w:hideMark/>
          </w:tcPr>
          <w:p w:rsidR="006618BA" w:rsidRPr="00E51833" w:rsidRDefault="006618BA" w:rsidP="003C79F3">
            <w:pPr>
              <w:tabs>
                <w:tab w:val="left" w:pos="325"/>
              </w:tabs>
              <w:spacing w:before="40" w:after="40"/>
              <w:rPr>
                <w:rFonts w:ascii="Arial Narrow" w:hAnsi="Arial Narrow"/>
                <w:b/>
                <w:bCs/>
                <w:color w:val="000000"/>
                <w:sz w:val="16"/>
                <w:szCs w:val="16"/>
              </w:rPr>
            </w:pPr>
          </w:p>
        </w:tc>
        <w:tc>
          <w:tcPr>
            <w:tcW w:w="5585" w:type="dxa"/>
            <w:tcBorders>
              <w:bottom w:val="single" w:sz="4" w:space="0" w:color="auto"/>
            </w:tcBorders>
            <w:shd w:val="clear" w:color="000000" w:fill="BFBFBF"/>
            <w:vAlign w:val="center"/>
          </w:tcPr>
          <w:p w:rsidR="006618BA" w:rsidRPr="00E51833" w:rsidRDefault="006618BA" w:rsidP="003C79F3">
            <w:pPr>
              <w:tabs>
                <w:tab w:val="left" w:pos="325"/>
              </w:tabs>
              <w:spacing w:before="40" w:after="40"/>
              <w:ind w:left="32"/>
              <w:rPr>
                <w:rFonts w:ascii="Arial Narrow" w:hAnsi="Arial Narrow"/>
                <w:b/>
                <w:bCs/>
                <w:color w:val="000000"/>
                <w:sz w:val="16"/>
                <w:szCs w:val="16"/>
              </w:rPr>
            </w:pPr>
            <w:r w:rsidRPr="00E51833">
              <w:rPr>
                <w:rFonts w:ascii="Arial Narrow" w:hAnsi="Arial Narrow"/>
                <w:b/>
                <w:bCs/>
                <w:color w:val="000000"/>
                <w:sz w:val="16"/>
                <w:szCs w:val="16"/>
              </w:rPr>
              <w:t xml:space="preserve">ΣΥΝΟΛΟ </w:t>
            </w:r>
          </w:p>
        </w:tc>
        <w:tc>
          <w:tcPr>
            <w:tcW w:w="1701" w:type="dxa"/>
            <w:tcBorders>
              <w:bottom w:val="single" w:sz="4" w:space="0" w:color="auto"/>
            </w:tcBorders>
            <w:shd w:val="clear" w:color="000000" w:fill="BFBFBF"/>
            <w:noWrap/>
            <w:vAlign w:val="center"/>
            <w:hideMark/>
          </w:tcPr>
          <w:p w:rsidR="006618BA" w:rsidRDefault="006618BA" w:rsidP="006618BA">
            <w:pPr>
              <w:ind w:right="681"/>
              <w:jc w:val="right"/>
              <w:rPr>
                <w:rFonts w:ascii="Arial Narrow" w:hAnsi="Arial Narrow"/>
                <w:b/>
                <w:bCs/>
                <w:color w:val="000000"/>
                <w:sz w:val="16"/>
                <w:szCs w:val="16"/>
              </w:rPr>
            </w:pPr>
            <w:r>
              <w:rPr>
                <w:rFonts w:ascii="Arial Narrow" w:hAnsi="Arial Narrow"/>
                <w:b/>
                <w:bCs/>
                <w:color w:val="000000"/>
                <w:sz w:val="16"/>
                <w:szCs w:val="16"/>
              </w:rPr>
              <w:t>511,4</w:t>
            </w:r>
          </w:p>
        </w:tc>
        <w:tc>
          <w:tcPr>
            <w:tcW w:w="1559" w:type="dxa"/>
            <w:tcBorders>
              <w:bottom w:val="single" w:sz="4" w:space="0" w:color="auto"/>
              <w:right w:val="single" w:sz="4" w:space="0" w:color="auto"/>
            </w:tcBorders>
            <w:shd w:val="clear" w:color="000000" w:fill="BFBFBF"/>
            <w:noWrap/>
            <w:vAlign w:val="center"/>
            <w:hideMark/>
          </w:tcPr>
          <w:p w:rsidR="006618BA" w:rsidRDefault="006618BA" w:rsidP="006618BA">
            <w:pPr>
              <w:ind w:right="681"/>
              <w:jc w:val="right"/>
              <w:rPr>
                <w:rFonts w:ascii="Arial Narrow" w:hAnsi="Arial Narrow"/>
                <w:b/>
                <w:bCs/>
                <w:color w:val="000000"/>
                <w:sz w:val="16"/>
                <w:szCs w:val="16"/>
              </w:rPr>
            </w:pPr>
            <w:r>
              <w:rPr>
                <w:rFonts w:ascii="Arial Narrow" w:hAnsi="Arial Narrow"/>
                <w:b/>
                <w:bCs/>
                <w:color w:val="000000"/>
                <w:sz w:val="16"/>
                <w:szCs w:val="16"/>
              </w:rPr>
              <w:t>541,0</w:t>
            </w:r>
          </w:p>
        </w:tc>
      </w:tr>
    </w:tbl>
    <w:p w:rsidR="006618BA" w:rsidRDefault="006618BA" w:rsidP="006618BA">
      <w:pPr>
        <w:tabs>
          <w:tab w:val="left" w:pos="284"/>
        </w:tabs>
        <w:ind w:left="284" w:right="140" w:hanging="142"/>
        <w:jc w:val="both"/>
        <w:rPr>
          <w:rFonts w:ascii="Arial Narrow" w:hAnsi="Arial Narrow"/>
          <w:color w:val="000000"/>
          <w:sz w:val="16"/>
          <w:szCs w:val="16"/>
        </w:rPr>
      </w:pPr>
      <w:r>
        <w:rPr>
          <w:rFonts w:ascii="Arial Narrow" w:hAnsi="Arial Narrow"/>
          <w:color w:val="000000"/>
          <w:sz w:val="16"/>
          <w:szCs w:val="16"/>
          <w:vertAlign w:val="superscript"/>
        </w:rPr>
        <w:t>1</w:t>
      </w:r>
      <w:r>
        <w:rPr>
          <w:rFonts w:ascii="Arial Narrow" w:hAnsi="Arial Narrow"/>
          <w:color w:val="000000"/>
          <w:sz w:val="16"/>
          <w:szCs w:val="16"/>
          <w:vertAlign w:val="superscript"/>
        </w:rPr>
        <w:tab/>
      </w:r>
      <w:r w:rsidRPr="00E51833">
        <w:rPr>
          <w:rFonts w:ascii="Arial Narrow" w:hAnsi="Arial Narrow"/>
          <w:color w:val="000000"/>
          <w:sz w:val="16"/>
          <w:szCs w:val="16"/>
        </w:rPr>
        <w:t>Οι ανωτέρω δαπάνες των ΑΔΑ είναι μέρος των ανωτάτων ορίων τ</w:t>
      </w:r>
      <w:r>
        <w:rPr>
          <w:rFonts w:ascii="Arial Narrow" w:hAnsi="Arial Narrow"/>
          <w:color w:val="000000"/>
          <w:sz w:val="16"/>
          <w:szCs w:val="16"/>
        </w:rPr>
        <w:t>ων δαπανών των Υπουργείων (βλ. π</w:t>
      </w:r>
      <w:r w:rsidRPr="00E51833">
        <w:rPr>
          <w:rFonts w:ascii="Arial Narrow" w:hAnsi="Arial Narrow"/>
          <w:color w:val="000000"/>
          <w:sz w:val="16"/>
          <w:szCs w:val="16"/>
        </w:rPr>
        <w:t xml:space="preserve">ίνακα </w:t>
      </w:r>
      <w:r w:rsidR="006D58F6">
        <w:rPr>
          <w:rFonts w:ascii="Arial Narrow" w:hAnsi="Arial Narrow"/>
          <w:color w:val="000000"/>
          <w:sz w:val="16"/>
          <w:szCs w:val="16"/>
        </w:rPr>
        <w:t>3.14</w:t>
      </w:r>
      <w:r w:rsidRPr="00E51833">
        <w:rPr>
          <w:rFonts w:ascii="Arial Narrow" w:hAnsi="Arial Narrow"/>
          <w:color w:val="000000"/>
          <w:sz w:val="16"/>
          <w:szCs w:val="16"/>
        </w:rPr>
        <w:t>) και αφορούν δαπάνες Τακτικού Προϋπολογισμού.</w:t>
      </w:r>
    </w:p>
    <w:p w:rsidR="006618BA" w:rsidRDefault="006618BA" w:rsidP="006618BA">
      <w:pPr>
        <w:tabs>
          <w:tab w:val="left" w:pos="284"/>
        </w:tabs>
        <w:ind w:left="284" w:hanging="284"/>
        <w:rPr>
          <w:rFonts w:ascii="Arial Narrow" w:hAnsi="Arial Narrow"/>
          <w:sz w:val="16"/>
          <w:szCs w:val="16"/>
        </w:rPr>
      </w:pPr>
    </w:p>
    <w:p w:rsidR="003E75A8" w:rsidRDefault="003E75A8" w:rsidP="00DF7E4C">
      <w:pPr>
        <w:tabs>
          <w:tab w:val="left" w:pos="3720"/>
        </w:tabs>
        <w:rPr>
          <w:sz w:val="22"/>
          <w:szCs w:val="22"/>
        </w:rPr>
      </w:pPr>
    </w:p>
    <w:p w:rsidR="00DF7E4C" w:rsidRDefault="00DF7E4C" w:rsidP="00DF7E4C">
      <w:pPr>
        <w:jc w:val="both"/>
        <w:rPr>
          <w:sz w:val="22"/>
          <w:szCs w:val="22"/>
        </w:rPr>
      </w:pPr>
    </w:p>
    <w:p w:rsidR="00DF7E4C" w:rsidRPr="00F36195" w:rsidRDefault="00DF7E4C" w:rsidP="00DF7E4C">
      <w:pPr>
        <w:jc w:val="both"/>
        <w:rPr>
          <w:sz w:val="22"/>
          <w:szCs w:val="22"/>
        </w:rPr>
      </w:pPr>
      <w:r w:rsidRPr="00F36195">
        <w:rPr>
          <w:sz w:val="22"/>
          <w:szCs w:val="22"/>
        </w:rPr>
        <w:t>Ειδικότερα:</w:t>
      </w:r>
    </w:p>
    <w:p w:rsidR="00DF7E4C" w:rsidRDefault="00DF7E4C" w:rsidP="00DF7E4C">
      <w:pPr>
        <w:jc w:val="both"/>
        <w:rPr>
          <w:b/>
          <w:bCs/>
          <w:sz w:val="22"/>
          <w:szCs w:val="22"/>
        </w:rPr>
      </w:pPr>
    </w:p>
    <w:p w:rsidR="00DF7E4C" w:rsidRPr="00DF7E4C" w:rsidRDefault="00DF7E4C" w:rsidP="00DF7E4C">
      <w:pPr>
        <w:jc w:val="both"/>
        <w:rPr>
          <w:rFonts w:ascii="Arial Narrow" w:hAnsi="Arial Narrow"/>
          <w:b/>
          <w:bCs/>
          <w:sz w:val="20"/>
          <w:szCs w:val="22"/>
        </w:rPr>
      </w:pPr>
      <w:r w:rsidRPr="00DF7E4C">
        <w:rPr>
          <w:rFonts w:ascii="Arial Narrow" w:hAnsi="Arial Narrow"/>
          <w:b/>
          <w:bCs/>
          <w:sz w:val="20"/>
          <w:szCs w:val="22"/>
        </w:rPr>
        <w:t>Κεντρικοί Αυτοτελείς Πόροι (ΚΑΠ) και λοιπές μεταβιβάσεις στους ΟΤΑ α’ και β’ βαθμού</w:t>
      </w:r>
    </w:p>
    <w:p w:rsidR="00DF7E4C" w:rsidRDefault="00DF7E4C" w:rsidP="00DF7E4C">
      <w:pPr>
        <w:jc w:val="both"/>
        <w:rPr>
          <w:bCs/>
          <w:sz w:val="22"/>
          <w:szCs w:val="22"/>
        </w:rPr>
      </w:pPr>
    </w:p>
    <w:p w:rsidR="00DF7E4C" w:rsidRPr="00F36195" w:rsidRDefault="00DF7E4C" w:rsidP="00DF7E4C">
      <w:pPr>
        <w:jc w:val="both"/>
        <w:rPr>
          <w:sz w:val="22"/>
          <w:szCs w:val="22"/>
        </w:rPr>
      </w:pPr>
      <w:r w:rsidRPr="00F36195">
        <w:rPr>
          <w:bCs/>
          <w:sz w:val="22"/>
          <w:szCs w:val="22"/>
        </w:rPr>
        <w:t>Η βασικότερη πηγή εσόδων των ΟΤΑ α’ και β’ βαθμού είναι οι Κεντρικοί Αυτοτελείς Πόροι (ΚΑΠ). Οι ΚΑΠ αποδίδονται μέσω του Τακτικού Προϋπολογισμού του Υπουργείου Εσωτερικών και προσδ</w:t>
      </w:r>
      <w:r w:rsidRPr="00F36195">
        <w:rPr>
          <w:bCs/>
          <w:sz w:val="22"/>
          <w:szCs w:val="22"/>
        </w:rPr>
        <w:t>ι</w:t>
      </w:r>
      <w:r w:rsidRPr="00F36195">
        <w:rPr>
          <w:bCs/>
          <w:sz w:val="22"/>
          <w:szCs w:val="22"/>
        </w:rPr>
        <w:t>ορίζονται βάσει σχετικών διατάξεων με σκοπό την κάλυψη των λειτουργικών και επενδυτικών δαπ</w:t>
      </w:r>
      <w:r w:rsidRPr="00F36195">
        <w:rPr>
          <w:bCs/>
          <w:sz w:val="22"/>
          <w:szCs w:val="22"/>
        </w:rPr>
        <w:t>α</w:t>
      </w:r>
      <w:r w:rsidRPr="00F36195">
        <w:rPr>
          <w:bCs/>
          <w:sz w:val="22"/>
          <w:szCs w:val="22"/>
        </w:rPr>
        <w:t>νών τους. Οι ΟΤΑ α’ βαθμού λαμβάνουν περαιτέρω ειδική επιχορήγηση για την κάλυψη συγκεκριμ</w:t>
      </w:r>
      <w:r w:rsidRPr="00F36195">
        <w:rPr>
          <w:bCs/>
          <w:sz w:val="22"/>
          <w:szCs w:val="22"/>
        </w:rPr>
        <w:t>έ</w:t>
      </w:r>
      <w:r w:rsidRPr="00F36195">
        <w:rPr>
          <w:bCs/>
          <w:sz w:val="22"/>
          <w:szCs w:val="22"/>
        </w:rPr>
        <w:t>νων αναγκών, επιχορήγηση για βοηθήματα ένδειας και αντιμετώπισης άμεσων βιοτικών αναγκών λ</w:t>
      </w:r>
      <w:r w:rsidRPr="00F36195">
        <w:rPr>
          <w:bCs/>
          <w:sz w:val="22"/>
          <w:szCs w:val="22"/>
        </w:rPr>
        <w:t>ό</w:t>
      </w:r>
      <w:r w:rsidRPr="00F36195">
        <w:rPr>
          <w:bCs/>
          <w:sz w:val="22"/>
          <w:szCs w:val="22"/>
        </w:rPr>
        <w:t>γω</w:t>
      </w:r>
      <w:r w:rsidRPr="00F36195">
        <w:rPr>
          <w:sz w:val="22"/>
          <w:szCs w:val="22"/>
        </w:rPr>
        <w:t xml:space="preserve"> φυσικών καταστροφών και αποδόσεις για λοιπούς σκοπούς.</w:t>
      </w:r>
    </w:p>
    <w:p w:rsidR="00DF7E4C" w:rsidRDefault="00DF7E4C" w:rsidP="00DF7E4C">
      <w:pPr>
        <w:jc w:val="both"/>
        <w:rPr>
          <w:b/>
          <w:sz w:val="22"/>
          <w:szCs w:val="22"/>
        </w:rPr>
      </w:pPr>
    </w:p>
    <w:p w:rsidR="00DF7E4C" w:rsidRDefault="00DF7E4C" w:rsidP="00DF7E4C">
      <w:pPr>
        <w:jc w:val="both"/>
        <w:rPr>
          <w:rFonts w:ascii="Arial Narrow" w:hAnsi="Arial Narrow"/>
          <w:b/>
          <w:bCs/>
          <w:sz w:val="20"/>
          <w:szCs w:val="22"/>
        </w:rPr>
      </w:pPr>
      <w:r w:rsidRPr="00DF7E4C">
        <w:rPr>
          <w:rFonts w:ascii="Arial Narrow" w:hAnsi="Arial Narrow"/>
          <w:b/>
          <w:bCs/>
          <w:sz w:val="20"/>
          <w:szCs w:val="22"/>
        </w:rPr>
        <w:t>ΟΤΑ α’ βαθμού</w:t>
      </w:r>
    </w:p>
    <w:p w:rsidR="00DF7E4C" w:rsidRPr="00DF7E4C" w:rsidRDefault="00DF7E4C" w:rsidP="00DF7E4C">
      <w:pPr>
        <w:jc w:val="both"/>
        <w:rPr>
          <w:rFonts w:ascii="Arial Narrow" w:hAnsi="Arial Narrow"/>
          <w:b/>
          <w:bCs/>
          <w:sz w:val="20"/>
          <w:szCs w:val="22"/>
        </w:rPr>
      </w:pPr>
    </w:p>
    <w:p w:rsidR="00DF7E4C" w:rsidRDefault="00DF7E4C" w:rsidP="00DF7E4C">
      <w:pPr>
        <w:jc w:val="both"/>
        <w:rPr>
          <w:bCs/>
          <w:sz w:val="22"/>
          <w:szCs w:val="22"/>
        </w:rPr>
      </w:pPr>
      <w:r w:rsidRPr="00F36195">
        <w:rPr>
          <w:sz w:val="22"/>
          <w:szCs w:val="22"/>
        </w:rPr>
        <w:t>Το 2020, οι</w:t>
      </w:r>
      <w:r>
        <w:rPr>
          <w:sz w:val="22"/>
          <w:szCs w:val="22"/>
        </w:rPr>
        <w:t xml:space="preserve"> αποδόσεις των</w:t>
      </w:r>
      <w:r w:rsidRPr="00F36195">
        <w:rPr>
          <w:sz w:val="22"/>
          <w:szCs w:val="22"/>
        </w:rPr>
        <w:t xml:space="preserve"> </w:t>
      </w:r>
      <w:r w:rsidRPr="00F36195">
        <w:rPr>
          <w:bCs/>
          <w:sz w:val="22"/>
          <w:szCs w:val="22"/>
        </w:rPr>
        <w:t xml:space="preserve">ΚΑΠ </w:t>
      </w:r>
      <w:r>
        <w:rPr>
          <w:bCs/>
          <w:sz w:val="22"/>
          <w:szCs w:val="22"/>
        </w:rPr>
        <w:t>στους</w:t>
      </w:r>
      <w:r w:rsidRPr="00F36195">
        <w:rPr>
          <w:bCs/>
          <w:sz w:val="22"/>
          <w:szCs w:val="22"/>
        </w:rPr>
        <w:t xml:space="preserve"> </w:t>
      </w:r>
      <w:r w:rsidRPr="00BD4BB7">
        <w:rPr>
          <w:sz w:val="22"/>
          <w:szCs w:val="22"/>
        </w:rPr>
        <w:t xml:space="preserve">ΟΤΑ </w:t>
      </w:r>
      <w:r w:rsidRPr="00BD4BB7">
        <w:rPr>
          <w:bCs/>
          <w:sz w:val="22"/>
          <w:szCs w:val="22"/>
        </w:rPr>
        <w:t>α’</w:t>
      </w:r>
      <w:r w:rsidRPr="00BD4BB7">
        <w:rPr>
          <w:sz w:val="22"/>
          <w:szCs w:val="22"/>
        </w:rPr>
        <w:t xml:space="preserve"> βαθμού</w:t>
      </w:r>
      <w:r w:rsidRPr="00F36195">
        <w:rPr>
          <w:bCs/>
          <w:sz w:val="22"/>
          <w:szCs w:val="22"/>
        </w:rPr>
        <w:t xml:space="preserve"> εκτιμάται ότι θα διαμορφωθούν στο ποσό των 1.857 εκατ. ευρώ. </w:t>
      </w:r>
      <w:r>
        <w:rPr>
          <w:bCs/>
          <w:sz w:val="22"/>
          <w:szCs w:val="22"/>
        </w:rPr>
        <w:t>Πέραν των αποδόσεων</w:t>
      </w:r>
      <w:r w:rsidRPr="00F36195">
        <w:rPr>
          <w:bCs/>
          <w:sz w:val="22"/>
          <w:szCs w:val="22"/>
        </w:rPr>
        <w:t xml:space="preserve"> ΚΑΠ οι </w:t>
      </w:r>
      <w:r w:rsidRPr="00BD4BB7">
        <w:rPr>
          <w:sz w:val="22"/>
          <w:szCs w:val="22"/>
        </w:rPr>
        <w:t xml:space="preserve">ΟΤΑ </w:t>
      </w:r>
      <w:r w:rsidRPr="00BD4BB7">
        <w:rPr>
          <w:bCs/>
          <w:sz w:val="22"/>
          <w:szCs w:val="22"/>
        </w:rPr>
        <w:t>α’</w:t>
      </w:r>
      <w:r w:rsidRPr="00BD4BB7">
        <w:rPr>
          <w:sz w:val="22"/>
          <w:szCs w:val="22"/>
        </w:rPr>
        <w:t xml:space="preserve"> βαθμού</w:t>
      </w:r>
      <w:r>
        <w:rPr>
          <w:bCs/>
          <w:sz w:val="22"/>
          <w:szCs w:val="22"/>
        </w:rPr>
        <w:t xml:space="preserve"> </w:t>
      </w:r>
      <w:r w:rsidRPr="00F36195">
        <w:rPr>
          <w:bCs/>
          <w:sz w:val="22"/>
          <w:szCs w:val="22"/>
        </w:rPr>
        <w:t>θα λάβουν</w:t>
      </w:r>
      <w:r>
        <w:rPr>
          <w:bCs/>
          <w:sz w:val="22"/>
          <w:szCs w:val="22"/>
        </w:rPr>
        <w:t xml:space="preserve"> επιπλέον</w:t>
      </w:r>
      <w:r w:rsidRPr="00F36195">
        <w:rPr>
          <w:bCs/>
          <w:sz w:val="22"/>
          <w:szCs w:val="22"/>
        </w:rPr>
        <w:t xml:space="preserve">: </w:t>
      </w:r>
    </w:p>
    <w:p w:rsidR="00DF7E4C" w:rsidRPr="00BD4BB7" w:rsidRDefault="00DF7E4C" w:rsidP="00DF7E4C">
      <w:pPr>
        <w:jc w:val="both"/>
        <w:rPr>
          <w:bCs/>
          <w:sz w:val="22"/>
          <w:szCs w:val="22"/>
        </w:rPr>
      </w:pPr>
    </w:p>
    <w:p w:rsidR="00DF7E4C" w:rsidRPr="00F36195" w:rsidRDefault="00DF7E4C" w:rsidP="00DF7E4C">
      <w:pPr>
        <w:numPr>
          <w:ilvl w:val="0"/>
          <w:numId w:val="1"/>
        </w:numPr>
        <w:ind w:left="284" w:hanging="284"/>
        <w:jc w:val="both"/>
        <w:rPr>
          <w:sz w:val="22"/>
          <w:szCs w:val="22"/>
        </w:rPr>
      </w:pPr>
      <w:r w:rsidRPr="00F36195">
        <w:rPr>
          <w:sz w:val="22"/>
          <w:szCs w:val="22"/>
        </w:rPr>
        <w:t>ειδική επιχορήγηση ποσ</w:t>
      </w:r>
      <w:r>
        <w:rPr>
          <w:sz w:val="22"/>
          <w:szCs w:val="22"/>
        </w:rPr>
        <w:t>ού</w:t>
      </w:r>
      <w:r w:rsidRPr="00F36195">
        <w:rPr>
          <w:sz w:val="22"/>
          <w:szCs w:val="22"/>
        </w:rPr>
        <w:t xml:space="preserve"> ύψους 172 εκατ. ευρώ, προκειμένου να αντιμετωπιστεί η δαπάνη μ</w:t>
      </w:r>
      <w:r w:rsidRPr="00F36195">
        <w:rPr>
          <w:sz w:val="22"/>
          <w:szCs w:val="22"/>
        </w:rPr>
        <w:t>ι</w:t>
      </w:r>
      <w:r w:rsidRPr="00F36195">
        <w:rPr>
          <w:sz w:val="22"/>
          <w:szCs w:val="22"/>
        </w:rPr>
        <w:t>σθοδοσίας των σχολικών τροχονόμων, των σχολικών καθαριστριών, το κόστος του Προγράμματος «Βοήθεια στο σπίτι» και η συνέχιση της Δράσης «Εναρμόνιση οικογενειακής και επαγγελματικής ζωής» έτους 2019-2020</w:t>
      </w:r>
      <w:r>
        <w:rPr>
          <w:sz w:val="22"/>
          <w:szCs w:val="22"/>
        </w:rPr>
        <w:t>,</w:t>
      </w:r>
    </w:p>
    <w:p w:rsidR="00DF7E4C" w:rsidRPr="00F36195" w:rsidRDefault="00DF7E4C" w:rsidP="00DF7E4C">
      <w:pPr>
        <w:numPr>
          <w:ilvl w:val="0"/>
          <w:numId w:val="1"/>
        </w:numPr>
        <w:ind w:left="284" w:hanging="284"/>
        <w:jc w:val="both"/>
        <w:rPr>
          <w:sz w:val="22"/>
          <w:szCs w:val="22"/>
        </w:rPr>
      </w:pPr>
      <w:r w:rsidRPr="00F36195">
        <w:rPr>
          <w:sz w:val="22"/>
          <w:szCs w:val="22"/>
        </w:rPr>
        <w:lastRenderedPageBreak/>
        <w:t xml:space="preserve"> επιχορήγηση ποσ</w:t>
      </w:r>
      <w:r>
        <w:rPr>
          <w:sz w:val="22"/>
          <w:szCs w:val="22"/>
        </w:rPr>
        <w:t>ού</w:t>
      </w:r>
      <w:r w:rsidRPr="00F36195">
        <w:rPr>
          <w:sz w:val="22"/>
          <w:szCs w:val="22"/>
        </w:rPr>
        <w:t xml:space="preserve"> ύψους 28 εκατ. ευρώ για βοηθήματα ένδειας και αντιμετώπισης άμεσων βι</w:t>
      </w:r>
      <w:r w:rsidRPr="00F36195">
        <w:rPr>
          <w:sz w:val="22"/>
          <w:szCs w:val="22"/>
        </w:rPr>
        <w:t>ο</w:t>
      </w:r>
      <w:r w:rsidRPr="00F36195">
        <w:rPr>
          <w:sz w:val="22"/>
          <w:szCs w:val="22"/>
        </w:rPr>
        <w:t>τικών αναγκών λόγω φυσικών καταστροφών</w:t>
      </w:r>
      <w:r>
        <w:rPr>
          <w:sz w:val="22"/>
          <w:szCs w:val="22"/>
        </w:rPr>
        <w:t>,</w:t>
      </w:r>
    </w:p>
    <w:p w:rsidR="00DF7E4C" w:rsidRPr="00F36195" w:rsidRDefault="00DF7E4C" w:rsidP="00DF7E4C">
      <w:pPr>
        <w:numPr>
          <w:ilvl w:val="0"/>
          <w:numId w:val="1"/>
        </w:numPr>
        <w:ind w:left="284" w:hanging="284"/>
        <w:jc w:val="both"/>
        <w:rPr>
          <w:sz w:val="22"/>
          <w:szCs w:val="22"/>
        </w:rPr>
      </w:pPr>
      <w:r w:rsidRPr="00F36195">
        <w:rPr>
          <w:sz w:val="22"/>
          <w:szCs w:val="22"/>
        </w:rPr>
        <w:t xml:space="preserve"> έκτακτη επιχορήγηση ποσ</w:t>
      </w:r>
      <w:r>
        <w:rPr>
          <w:sz w:val="22"/>
          <w:szCs w:val="22"/>
        </w:rPr>
        <w:t>ού</w:t>
      </w:r>
      <w:r w:rsidRPr="00F36195">
        <w:rPr>
          <w:sz w:val="22"/>
          <w:szCs w:val="22"/>
        </w:rPr>
        <w:t xml:space="preserve"> ύψους 116 εκατ. ευρώ για την εξόφληση ληξιπρόθεσμων οφειλών</w:t>
      </w:r>
      <w:r>
        <w:rPr>
          <w:sz w:val="22"/>
          <w:szCs w:val="22"/>
        </w:rPr>
        <w:t>,</w:t>
      </w:r>
      <w:r w:rsidRPr="00F36195">
        <w:rPr>
          <w:sz w:val="22"/>
          <w:szCs w:val="22"/>
        </w:rPr>
        <w:t xml:space="preserve"> </w:t>
      </w:r>
    </w:p>
    <w:p w:rsidR="00DF7E4C" w:rsidRPr="00F36195" w:rsidRDefault="00DF7E4C" w:rsidP="00DF7E4C">
      <w:pPr>
        <w:numPr>
          <w:ilvl w:val="0"/>
          <w:numId w:val="1"/>
        </w:numPr>
        <w:ind w:left="284" w:hanging="284"/>
        <w:jc w:val="both"/>
        <w:rPr>
          <w:sz w:val="22"/>
          <w:szCs w:val="22"/>
        </w:rPr>
      </w:pPr>
      <w:r w:rsidRPr="00F36195">
        <w:rPr>
          <w:sz w:val="22"/>
          <w:szCs w:val="22"/>
        </w:rPr>
        <w:t xml:space="preserve"> επιχορήγηση πο</w:t>
      </w:r>
      <w:r>
        <w:rPr>
          <w:sz w:val="22"/>
          <w:szCs w:val="22"/>
        </w:rPr>
        <w:t>σού ύψους</w:t>
      </w:r>
      <w:r w:rsidRPr="00F36195">
        <w:rPr>
          <w:sz w:val="22"/>
          <w:szCs w:val="22"/>
        </w:rPr>
        <w:t xml:space="preserve"> </w:t>
      </w:r>
      <w:r w:rsidR="00EF6898">
        <w:rPr>
          <w:sz w:val="22"/>
          <w:szCs w:val="22"/>
        </w:rPr>
        <w:t>171</w:t>
      </w:r>
      <w:r w:rsidR="00EF6898" w:rsidRPr="00F36195">
        <w:rPr>
          <w:sz w:val="22"/>
          <w:szCs w:val="22"/>
        </w:rPr>
        <w:t xml:space="preserve"> </w:t>
      </w:r>
      <w:r w:rsidRPr="00F36195">
        <w:rPr>
          <w:sz w:val="22"/>
          <w:szCs w:val="22"/>
        </w:rPr>
        <w:t>εκατ. ευρώ</w:t>
      </w:r>
      <w:r w:rsidR="003A25F4">
        <w:rPr>
          <w:sz w:val="22"/>
          <w:szCs w:val="22"/>
        </w:rPr>
        <w:t xml:space="preserve"> (εκ των οποίων 60 εκατ. περιλαμβάνονται στις Γενικές Κρατικές Δαπάνες)</w:t>
      </w:r>
      <w:r w:rsidR="00EF6898">
        <w:rPr>
          <w:sz w:val="22"/>
          <w:szCs w:val="22"/>
        </w:rPr>
        <w:t xml:space="preserve"> </w:t>
      </w:r>
      <w:r w:rsidRPr="00F36195">
        <w:rPr>
          <w:sz w:val="22"/>
          <w:szCs w:val="22"/>
        </w:rPr>
        <w:t>για την αντιμετώπιση των αναγκών της πανδημίας του κορωνοϊού Covid-19</w:t>
      </w:r>
      <w:r>
        <w:rPr>
          <w:sz w:val="22"/>
          <w:szCs w:val="22"/>
        </w:rPr>
        <w:t>,</w:t>
      </w:r>
      <w:r w:rsidRPr="00F36195">
        <w:rPr>
          <w:sz w:val="22"/>
          <w:szCs w:val="22"/>
        </w:rPr>
        <w:t xml:space="preserve"> και</w:t>
      </w:r>
    </w:p>
    <w:p w:rsidR="00DF7E4C" w:rsidRPr="00F36195" w:rsidRDefault="00DF7E4C" w:rsidP="00DF7E4C">
      <w:pPr>
        <w:numPr>
          <w:ilvl w:val="0"/>
          <w:numId w:val="1"/>
        </w:numPr>
        <w:ind w:left="284" w:hanging="284"/>
        <w:jc w:val="both"/>
        <w:rPr>
          <w:sz w:val="22"/>
          <w:szCs w:val="22"/>
        </w:rPr>
      </w:pPr>
      <w:r w:rsidRPr="00F36195">
        <w:rPr>
          <w:sz w:val="22"/>
          <w:szCs w:val="22"/>
        </w:rPr>
        <w:t>λοιπές αποδόσεις ποσ</w:t>
      </w:r>
      <w:r>
        <w:rPr>
          <w:sz w:val="22"/>
          <w:szCs w:val="22"/>
        </w:rPr>
        <w:t>ού</w:t>
      </w:r>
      <w:r w:rsidRPr="00F36195">
        <w:rPr>
          <w:sz w:val="22"/>
          <w:szCs w:val="22"/>
        </w:rPr>
        <w:t xml:space="preserve"> ύψους 5 εκατ. ευρώ ως έκτακτο αντισταθμιστικό τέλος στους Οργαν</w:t>
      </w:r>
      <w:r w:rsidRPr="00F36195">
        <w:rPr>
          <w:sz w:val="22"/>
          <w:szCs w:val="22"/>
        </w:rPr>
        <w:t>ι</w:t>
      </w:r>
      <w:r w:rsidRPr="00F36195">
        <w:rPr>
          <w:sz w:val="22"/>
          <w:szCs w:val="22"/>
        </w:rPr>
        <w:t>σμούς Λιμένος Πειραιώς και Θεσσαλονίκης ΑΕ.</w:t>
      </w:r>
    </w:p>
    <w:p w:rsidR="00DF7E4C" w:rsidRPr="00F36195" w:rsidRDefault="00DF7E4C" w:rsidP="00DF7E4C">
      <w:pPr>
        <w:jc w:val="both"/>
        <w:rPr>
          <w:bCs/>
          <w:sz w:val="22"/>
          <w:szCs w:val="22"/>
        </w:rPr>
      </w:pPr>
    </w:p>
    <w:p w:rsidR="00DF7E4C" w:rsidRPr="00F36195" w:rsidRDefault="00DF7E4C" w:rsidP="00DF7E4C">
      <w:pPr>
        <w:jc w:val="both"/>
        <w:rPr>
          <w:bCs/>
          <w:sz w:val="22"/>
          <w:szCs w:val="22"/>
        </w:rPr>
      </w:pPr>
      <w:r w:rsidRPr="00F36195">
        <w:rPr>
          <w:bCs/>
          <w:sz w:val="22"/>
          <w:szCs w:val="22"/>
        </w:rPr>
        <w:t>Το 2021</w:t>
      </w:r>
      <w:r w:rsidRPr="00F36195">
        <w:rPr>
          <w:sz w:val="22"/>
          <w:szCs w:val="22"/>
        </w:rPr>
        <w:t>, οι</w:t>
      </w:r>
      <w:r>
        <w:rPr>
          <w:sz w:val="22"/>
          <w:szCs w:val="22"/>
        </w:rPr>
        <w:t xml:space="preserve"> αποδόσεις των</w:t>
      </w:r>
      <w:r w:rsidRPr="00F36195">
        <w:rPr>
          <w:sz w:val="22"/>
          <w:szCs w:val="22"/>
        </w:rPr>
        <w:t xml:space="preserve"> </w:t>
      </w:r>
      <w:r w:rsidRPr="00F36195">
        <w:rPr>
          <w:bCs/>
          <w:sz w:val="22"/>
          <w:szCs w:val="22"/>
        </w:rPr>
        <w:t xml:space="preserve">ΚΑΠ </w:t>
      </w:r>
      <w:r>
        <w:rPr>
          <w:bCs/>
          <w:sz w:val="22"/>
          <w:szCs w:val="22"/>
        </w:rPr>
        <w:t>στους</w:t>
      </w:r>
      <w:r w:rsidRPr="00F36195">
        <w:rPr>
          <w:bCs/>
          <w:sz w:val="22"/>
          <w:szCs w:val="22"/>
        </w:rPr>
        <w:t xml:space="preserve"> </w:t>
      </w:r>
      <w:r w:rsidRPr="00BD4BB7">
        <w:rPr>
          <w:sz w:val="22"/>
          <w:szCs w:val="22"/>
        </w:rPr>
        <w:t xml:space="preserve">ΟΤΑ </w:t>
      </w:r>
      <w:r w:rsidRPr="00BD4BB7">
        <w:rPr>
          <w:bCs/>
          <w:sz w:val="22"/>
          <w:szCs w:val="22"/>
        </w:rPr>
        <w:t>α’</w:t>
      </w:r>
      <w:r w:rsidRPr="00BD4BB7">
        <w:rPr>
          <w:sz w:val="22"/>
          <w:szCs w:val="22"/>
        </w:rPr>
        <w:t xml:space="preserve"> βαθμού</w:t>
      </w:r>
      <w:r w:rsidRPr="00F36195">
        <w:rPr>
          <w:bCs/>
          <w:sz w:val="22"/>
          <w:szCs w:val="22"/>
        </w:rPr>
        <w:t>, προβλέπεται ν</w:t>
      </w:r>
      <w:r>
        <w:rPr>
          <w:bCs/>
          <w:sz w:val="22"/>
          <w:szCs w:val="22"/>
        </w:rPr>
        <w:t>α</w:t>
      </w:r>
      <w:r w:rsidRPr="00F36195">
        <w:rPr>
          <w:bCs/>
          <w:sz w:val="22"/>
          <w:szCs w:val="22"/>
        </w:rPr>
        <w:t xml:space="preserve"> ανέλθουν </w:t>
      </w:r>
      <w:r>
        <w:rPr>
          <w:bCs/>
          <w:sz w:val="22"/>
          <w:szCs w:val="22"/>
        </w:rPr>
        <w:t>στο</w:t>
      </w:r>
      <w:r w:rsidRPr="00F36195">
        <w:rPr>
          <w:bCs/>
          <w:sz w:val="22"/>
          <w:szCs w:val="22"/>
        </w:rPr>
        <w:t xml:space="preserve"> ποσό </w:t>
      </w:r>
      <w:r>
        <w:rPr>
          <w:bCs/>
          <w:sz w:val="22"/>
          <w:szCs w:val="22"/>
        </w:rPr>
        <w:t>των</w:t>
      </w:r>
      <w:r w:rsidRPr="00F36195">
        <w:rPr>
          <w:bCs/>
          <w:sz w:val="22"/>
          <w:szCs w:val="22"/>
        </w:rPr>
        <w:t xml:space="preserve"> 1.914 εκατ. ευρώ. Επιπλέον, θα λάβουν ειδική επιχορήγηση ύψους 155 εκατ. ευρώ, η οποία θα καλ</w:t>
      </w:r>
      <w:r w:rsidRPr="00F36195">
        <w:rPr>
          <w:bCs/>
          <w:sz w:val="22"/>
          <w:szCs w:val="22"/>
        </w:rPr>
        <w:t>ύ</w:t>
      </w:r>
      <w:r w:rsidRPr="00F36195">
        <w:rPr>
          <w:bCs/>
          <w:sz w:val="22"/>
          <w:szCs w:val="22"/>
        </w:rPr>
        <w:t>ψει το κόστος μισθοδοσίας των σχολικών τροχονόμων, του προσωπικού καθαριότητας των σχολικών μονάδων καθώς και το κόστος του Προγράμματος «Βοήθεια στο σπίτι», λοιπές αποδόσεις ύψους 5 εκατ</w:t>
      </w:r>
      <w:r>
        <w:rPr>
          <w:bCs/>
          <w:sz w:val="22"/>
          <w:szCs w:val="22"/>
        </w:rPr>
        <w:t>. ευρώ</w:t>
      </w:r>
      <w:r w:rsidRPr="00F36195">
        <w:rPr>
          <w:bCs/>
          <w:sz w:val="22"/>
          <w:szCs w:val="22"/>
        </w:rPr>
        <w:t xml:space="preserve"> και</w:t>
      </w:r>
      <w:r>
        <w:rPr>
          <w:bCs/>
          <w:sz w:val="22"/>
          <w:szCs w:val="22"/>
        </w:rPr>
        <w:t xml:space="preserve"> λοιπές επιχορηγήσεις</w:t>
      </w:r>
      <w:r w:rsidRPr="00F36195">
        <w:rPr>
          <w:bCs/>
          <w:sz w:val="22"/>
          <w:szCs w:val="22"/>
        </w:rPr>
        <w:t xml:space="preserve"> 2 εκατ</w:t>
      </w:r>
      <w:r>
        <w:rPr>
          <w:bCs/>
          <w:sz w:val="22"/>
          <w:szCs w:val="22"/>
        </w:rPr>
        <w:t>. ευρώ</w:t>
      </w:r>
      <w:r w:rsidRPr="00F36195">
        <w:rPr>
          <w:bCs/>
          <w:sz w:val="22"/>
          <w:szCs w:val="22"/>
        </w:rPr>
        <w:t xml:space="preserve"> για την αντιμετώπιση φυσικών καταστροφών.</w:t>
      </w:r>
    </w:p>
    <w:p w:rsidR="00DF7E4C" w:rsidRPr="003011A0" w:rsidRDefault="00DF7E4C" w:rsidP="00DF7E4C">
      <w:pPr>
        <w:jc w:val="both"/>
        <w:rPr>
          <w:b/>
          <w:bCs/>
          <w:sz w:val="22"/>
          <w:szCs w:val="22"/>
        </w:rPr>
      </w:pPr>
    </w:p>
    <w:p w:rsidR="00DF7E4C" w:rsidRPr="00DF7E4C" w:rsidRDefault="00DF7E4C" w:rsidP="00DF7E4C">
      <w:pPr>
        <w:jc w:val="both"/>
        <w:rPr>
          <w:rFonts w:ascii="Arial Narrow" w:hAnsi="Arial Narrow"/>
          <w:b/>
          <w:bCs/>
          <w:sz w:val="20"/>
          <w:szCs w:val="22"/>
        </w:rPr>
      </w:pPr>
      <w:r w:rsidRPr="00DF7E4C">
        <w:rPr>
          <w:rFonts w:ascii="Arial Narrow" w:hAnsi="Arial Narrow"/>
          <w:b/>
          <w:bCs/>
          <w:sz w:val="20"/>
          <w:szCs w:val="22"/>
        </w:rPr>
        <w:t>ΟΤΑ β’ βαθμού</w:t>
      </w:r>
    </w:p>
    <w:p w:rsidR="00DF7E4C" w:rsidRDefault="00DF7E4C" w:rsidP="00DF7E4C">
      <w:pPr>
        <w:jc w:val="both"/>
        <w:rPr>
          <w:bCs/>
          <w:sz w:val="22"/>
          <w:szCs w:val="22"/>
        </w:rPr>
      </w:pPr>
    </w:p>
    <w:p w:rsidR="00DF7E4C" w:rsidRPr="00E500EA" w:rsidRDefault="00DF7E4C" w:rsidP="00DF7E4C">
      <w:pPr>
        <w:jc w:val="both"/>
        <w:rPr>
          <w:bCs/>
          <w:sz w:val="22"/>
          <w:szCs w:val="22"/>
        </w:rPr>
      </w:pPr>
      <w:r w:rsidRPr="00F36195">
        <w:rPr>
          <w:bCs/>
          <w:sz w:val="22"/>
          <w:szCs w:val="22"/>
        </w:rPr>
        <w:t>Το 2020 οι</w:t>
      </w:r>
      <w:r>
        <w:rPr>
          <w:bCs/>
          <w:sz w:val="22"/>
          <w:szCs w:val="22"/>
        </w:rPr>
        <w:t xml:space="preserve"> αποδόσεις των</w:t>
      </w:r>
      <w:r w:rsidRPr="00F36195">
        <w:rPr>
          <w:bCs/>
          <w:sz w:val="22"/>
          <w:szCs w:val="22"/>
        </w:rPr>
        <w:t xml:space="preserve"> ΚΑΠ </w:t>
      </w:r>
      <w:r>
        <w:rPr>
          <w:bCs/>
          <w:sz w:val="22"/>
          <w:szCs w:val="22"/>
        </w:rPr>
        <w:t>στους</w:t>
      </w:r>
      <w:r w:rsidRPr="00F36195">
        <w:rPr>
          <w:bCs/>
          <w:sz w:val="22"/>
          <w:szCs w:val="22"/>
        </w:rPr>
        <w:t xml:space="preserve"> </w:t>
      </w:r>
      <w:r w:rsidRPr="00375C86">
        <w:rPr>
          <w:sz w:val="22"/>
          <w:szCs w:val="22"/>
        </w:rPr>
        <w:t>ΟΤΑ β</w:t>
      </w:r>
      <w:r w:rsidRPr="00375C86">
        <w:rPr>
          <w:bCs/>
          <w:sz w:val="22"/>
          <w:szCs w:val="22"/>
        </w:rPr>
        <w:t>’</w:t>
      </w:r>
      <w:r w:rsidRPr="00375C86">
        <w:rPr>
          <w:sz w:val="22"/>
          <w:szCs w:val="22"/>
        </w:rPr>
        <w:t xml:space="preserve"> βαθμού</w:t>
      </w:r>
      <w:r w:rsidRPr="00F36195">
        <w:rPr>
          <w:bCs/>
          <w:sz w:val="22"/>
          <w:szCs w:val="22"/>
        </w:rPr>
        <w:t>,</w:t>
      </w:r>
      <w:r>
        <w:rPr>
          <w:bCs/>
          <w:sz w:val="22"/>
          <w:szCs w:val="22"/>
        </w:rPr>
        <w:t xml:space="preserve"> </w:t>
      </w:r>
      <w:r w:rsidRPr="00F36195">
        <w:rPr>
          <w:bCs/>
          <w:sz w:val="22"/>
          <w:szCs w:val="22"/>
        </w:rPr>
        <w:t xml:space="preserve">εκτιμάται να διαμορφωθούν στα 652 εκατ. ευρώ, </w:t>
      </w:r>
      <w:r>
        <w:rPr>
          <w:bCs/>
          <w:sz w:val="22"/>
          <w:szCs w:val="22"/>
        </w:rPr>
        <w:t>ενώ</w:t>
      </w:r>
      <w:r w:rsidR="005B507B">
        <w:rPr>
          <w:bCs/>
          <w:sz w:val="22"/>
          <w:szCs w:val="22"/>
        </w:rPr>
        <w:t xml:space="preserve"> για το 2021</w:t>
      </w:r>
      <w:r w:rsidRPr="00F36195">
        <w:rPr>
          <w:bCs/>
          <w:sz w:val="22"/>
          <w:szCs w:val="22"/>
        </w:rPr>
        <w:t xml:space="preserve"> προβλέπεται ν</w:t>
      </w:r>
      <w:r>
        <w:rPr>
          <w:bCs/>
          <w:sz w:val="22"/>
          <w:szCs w:val="22"/>
        </w:rPr>
        <w:t>α</w:t>
      </w:r>
      <w:r w:rsidRPr="00F36195">
        <w:rPr>
          <w:bCs/>
          <w:sz w:val="22"/>
          <w:szCs w:val="22"/>
        </w:rPr>
        <w:t xml:space="preserve"> ανέλθουν στα 646 εκατ. ευρώ.</w:t>
      </w:r>
    </w:p>
    <w:p w:rsidR="00DF7E4C" w:rsidRPr="00E500EA" w:rsidRDefault="00DF7E4C" w:rsidP="00DF7E4C">
      <w:pPr>
        <w:jc w:val="both"/>
        <w:rPr>
          <w:bCs/>
          <w:sz w:val="22"/>
          <w:szCs w:val="22"/>
        </w:rPr>
      </w:pPr>
    </w:p>
    <w:p w:rsidR="001A440D" w:rsidRDefault="001A440D" w:rsidP="001A440D">
      <w:pPr>
        <w:jc w:val="both"/>
        <w:rPr>
          <w:bCs/>
          <w:sz w:val="22"/>
          <w:szCs w:val="22"/>
        </w:r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tblPr>
      <w:tblGrid>
        <w:gridCol w:w="6019"/>
        <w:gridCol w:w="1213"/>
        <w:gridCol w:w="1276"/>
      </w:tblGrid>
      <w:tr w:rsidR="001A440D" w:rsidRPr="006B2DB8" w:rsidTr="001A440D">
        <w:trPr>
          <w:cantSplit/>
          <w:jc w:val="center"/>
        </w:trPr>
        <w:tc>
          <w:tcPr>
            <w:tcW w:w="8508" w:type="dxa"/>
            <w:gridSpan w:val="3"/>
            <w:tcBorders>
              <w:top w:val="single" w:sz="6" w:space="0" w:color="auto"/>
              <w:left w:val="single" w:sz="4" w:space="0" w:color="auto"/>
              <w:bottom w:val="nil"/>
              <w:right w:val="single" w:sz="4" w:space="0" w:color="auto"/>
            </w:tcBorders>
            <w:shd w:val="clear" w:color="auto" w:fill="404040" w:themeFill="text1" w:themeFillTint="BF"/>
            <w:vAlign w:val="center"/>
          </w:tcPr>
          <w:p w:rsidR="00BE4C27" w:rsidRDefault="006D58F6" w:rsidP="00BE4C27">
            <w:pPr>
              <w:spacing w:before="20"/>
              <w:jc w:val="center"/>
              <w:rPr>
                <w:rFonts w:ascii="Arial Narrow" w:hAnsi="Arial Narrow"/>
                <w:b/>
                <w:color w:val="FFFFFF" w:themeColor="background1"/>
              </w:rPr>
            </w:pPr>
            <w:r>
              <w:rPr>
                <w:rFonts w:ascii="Arial Narrow" w:hAnsi="Arial Narrow"/>
                <w:b/>
                <w:color w:val="FFFFFF" w:themeColor="background1"/>
              </w:rPr>
              <w:t xml:space="preserve">Πίνακας 3.16 </w:t>
            </w:r>
            <w:r w:rsidR="001A440D" w:rsidRPr="006B2DB8">
              <w:rPr>
                <w:rFonts w:ascii="Arial Narrow" w:hAnsi="Arial Narrow"/>
                <w:b/>
                <w:color w:val="FFFFFF" w:themeColor="background1"/>
              </w:rPr>
              <w:t xml:space="preserve"> </w:t>
            </w:r>
            <w:r w:rsidR="00BE4C27">
              <w:rPr>
                <w:rFonts w:ascii="Arial Narrow" w:hAnsi="Arial Narrow"/>
                <w:b/>
                <w:color w:val="FFFFFF" w:themeColor="background1"/>
              </w:rPr>
              <w:t>Μεταβιβάσεις από τον Τακτικό Προϋπολογισμό του</w:t>
            </w:r>
          </w:p>
          <w:p w:rsidR="001A440D" w:rsidRPr="006B2DB8" w:rsidRDefault="00BE4C27" w:rsidP="00BE4C27">
            <w:pPr>
              <w:spacing w:before="20"/>
              <w:jc w:val="center"/>
              <w:rPr>
                <w:rFonts w:ascii="Arial Narrow" w:hAnsi="Arial Narrow"/>
                <w:b/>
                <w:color w:val="FFFFFF"/>
              </w:rPr>
            </w:pPr>
            <w:r>
              <w:rPr>
                <w:rFonts w:ascii="Arial Narrow" w:hAnsi="Arial Narrow"/>
                <w:b/>
                <w:color w:val="FFFFFF" w:themeColor="background1"/>
              </w:rPr>
              <w:t>Υπουργείου Εσωτερικών στους ΟΤΑ α΄ και β΄ βαθμού</w:t>
            </w:r>
          </w:p>
          <w:p w:rsidR="001A440D" w:rsidRPr="006B2DB8" w:rsidRDefault="001A440D" w:rsidP="001A440D">
            <w:pPr>
              <w:spacing w:after="20"/>
              <w:jc w:val="center"/>
              <w:rPr>
                <w:rFonts w:ascii="Arial Narrow" w:hAnsi="Arial Narrow"/>
                <w:b/>
                <w:sz w:val="16"/>
                <w:szCs w:val="16"/>
              </w:rPr>
            </w:pPr>
            <w:r>
              <w:rPr>
                <w:rFonts w:ascii="Arial Narrow" w:hAnsi="Arial Narrow"/>
                <w:b/>
                <w:color w:val="FFFFFF"/>
              </w:rPr>
              <w:t>(</w:t>
            </w:r>
            <w:r w:rsidRPr="006B2DB8">
              <w:rPr>
                <w:rFonts w:ascii="Arial Narrow" w:hAnsi="Arial Narrow"/>
                <w:b/>
                <w:color w:val="FFFFFF"/>
              </w:rPr>
              <w:t>σε εκατ. ευρώ)</w:t>
            </w:r>
          </w:p>
        </w:tc>
      </w:tr>
      <w:tr w:rsidR="001A440D" w:rsidRPr="009D6AB4" w:rsidTr="001A440D">
        <w:trPr>
          <w:cantSplit/>
          <w:jc w:val="center"/>
        </w:trPr>
        <w:tc>
          <w:tcPr>
            <w:tcW w:w="8508" w:type="dxa"/>
            <w:gridSpan w:val="3"/>
            <w:tcBorders>
              <w:top w:val="nil"/>
              <w:left w:val="single" w:sz="4" w:space="0" w:color="auto"/>
              <w:bottom w:val="single" w:sz="4" w:space="0" w:color="auto"/>
              <w:right w:val="single" w:sz="4" w:space="0" w:color="auto"/>
            </w:tcBorders>
            <w:shd w:val="clear" w:color="auto" w:fill="auto"/>
            <w:vAlign w:val="center"/>
          </w:tcPr>
          <w:p w:rsidR="001A440D" w:rsidRPr="009D6AB4" w:rsidRDefault="001A440D" w:rsidP="001A440D">
            <w:pPr>
              <w:jc w:val="center"/>
              <w:rPr>
                <w:rFonts w:ascii="Arial Narrow" w:hAnsi="Arial Narrow"/>
                <w:b/>
                <w:sz w:val="10"/>
                <w:szCs w:val="16"/>
              </w:rPr>
            </w:pPr>
          </w:p>
        </w:tc>
      </w:tr>
      <w:tr w:rsidR="001A440D" w:rsidRPr="006B2DB8" w:rsidTr="001A440D">
        <w:trPr>
          <w:cantSplit/>
          <w:jc w:val="center"/>
        </w:trPr>
        <w:tc>
          <w:tcPr>
            <w:tcW w:w="6019" w:type="dxa"/>
            <w:vMerge w:val="restart"/>
            <w:tcBorders>
              <w:top w:val="single" w:sz="4" w:space="0" w:color="auto"/>
              <w:left w:val="single" w:sz="4" w:space="0" w:color="auto"/>
              <w:bottom w:val="nil"/>
              <w:right w:val="single" w:sz="4" w:space="0" w:color="auto"/>
            </w:tcBorders>
            <w:shd w:val="clear" w:color="auto" w:fill="auto"/>
            <w:vAlign w:val="center"/>
          </w:tcPr>
          <w:p w:rsidR="001A440D" w:rsidRPr="006B2DB8" w:rsidRDefault="00B16A50" w:rsidP="00B16A50">
            <w:pPr>
              <w:spacing w:before="20" w:after="20"/>
              <w:rPr>
                <w:rFonts w:ascii="Arial Narrow" w:hAnsi="Arial Narrow"/>
                <w:b/>
                <w:sz w:val="16"/>
                <w:szCs w:val="16"/>
              </w:rPr>
            </w:pPr>
            <w:r>
              <w:rPr>
                <w:rFonts w:ascii="Arial Narrow" w:hAnsi="Arial Narrow"/>
                <w:b/>
                <w:sz w:val="16"/>
                <w:szCs w:val="16"/>
              </w:rPr>
              <w:t xml:space="preserve">    </w:t>
            </w:r>
            <w:r w:rsidR="001A440D" w:rsidRPr="006B2DB8">
              <w:rPr>
                <w:rFonts w:ascii="Arial Narrow" w:hAnsi="Arial Narrow"/>
                <w:b/>
                <w:sz w:val="16"/>
                <w:szCs w:val="16"/>
              </w:rPr>
              <w:t>Κατηγορία</w:t>
            </w:r>
          </w:p>
        </w:tc>
        <w:tc>
          <w:tcPr>
            <w:tcW w:w="1213" w:type="dxa"/>
            <w:tcBorders>
              <w:top w:val="single" w:sz="4" w:space="0" w:color="auto"/>
              <w:left w:val="nil"/>
              <w:bottom w:val="single" w:sz="4" w:space="0" w:color="auto"/>
              <w:right w:val="single" w:sz="4" w:space="0" w:color="auto"/>
            </w:tcBorders>
            <w:shd w:val="clear" w:color="auto" w:fill="auto"/>
          </w:tcPr>
          <w:p w:rsidR="001A440D" w:rsidRPr="00CB1BDA" w:rsidRDefault="008A0B65" w:rsidP="001A440D">
            <w:pPr>
              <w:spacing w:before="20" w:after="20"/>
              <w:jc w:val="center"/>
              <w:rPr>
                <w:rFonts w:ascii="Arial Narrow" w:hAnsi="Arial Narrow"/>
                <w:b/>
                <w:sz w:val="16"/>
                <w:szCs w:val="16"/>
              </w:rPr>
            </w:pPr>
            <w:r>
              <w:rPr>
                <w:rFonts w:ascii="Arial Narrow" w:hAnsi="Arial Narrow"/>
                <w:b/>
                <w:sz w:val="16"/>
                <w:szCs w:val="16"/>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440D" w:rsidRPr="00CB1BDA" w:rsidRDefault="001A440D" w:rsidP="001A440D">
            <w:pPr>
              <w:spacing w:before="20" w:after="20"/>
              <w:jc w:val="center"/>
              <w:rPr>
                <w:rFonts w:ascii="Arial Narrow" w:hAnsi="Arial Narrow"/>
                <w:b/>
                <w:sz w:val="16"/>
                <w:szCs w:val="16"/>
              </w:rPr>
            </w:pPr>
            <w:r>
              <w:rPr>
                <w:rFonts w:ascii="Arial Narrow" w:hAnsi="Arial Narrow"/>
                <w:b/>
                <w:sz w:val="16"/>
                <w:szCs w:val="16"/>
              </w:rPr>
              <w:t>202</w:t>
            </w:r>
            <w:r w:rsidR="008A0B65">
              <w:rPr>
                <w:rFonts w:ascii="Arial Narrow" w:hAnsi="Arial Narrow"/>
                <w:b/>
                <w:sz w:val="16"/>
                <w:szCs w:val="16"/>
              </w:rPr>
              <w:t>1</w:t>
            </w:r>
          </w:p>
        </w:tc>
      </w:tr>
      <w:tr w:rsidR="001A440D" w:rsidRPr="006B2DB8" w:rsidTr="001A440D">
        <w:trPr>
          <w:cantSplit/>
          <w:jc w:val="center"/>
        </w:trPr>
        <w:tc>
          <w:tcPr>
            <w:tcW w:w="6019" w:type="dxa"/>
            <w:vMerge/>
            <w:tcBorders>
              <w:top w:val="nil"/>
              <w:left w:val="single" w:sz="4" w:space="0" w:color="auto"/>
              <w:bottom w:val="single" w:sz="4" w:space="0" w:color="auto"/>
              <w:right w:val="single" w:sz="4" w:space="0" w:color="auto"/>
            </w:tcBorders>
            <w:shd w:val="clear" w:color="auto" w:fill="auto"/>
            <w:vAlign w:val="center"/>
          </w:tcPr>
          <w:p w:rsidR="001A440D" w:rsidRPr="006B2DB8" w:rsidRDefault="001A440D" w:rsidP="001A440D">
            <w:pPr>
              <w:spacing w:before="20" w:after="20"/>
              <w:jc w:val="center"/>
              <w:rPr>
                <w:rFonts w:ascii="Arial Narrow" w:hAnsi="Arial Narrow"/>
                <w:b/>
                <w:sz w:val="16"/>
                <w:szCs w:val="16"/>
              </w:rPr>
            </w:pPr>
          </w:p>
        </w:tc>
        <w:tc>
          <w:tcPr>
            <w:tcW w:w="1213" w:type="dxa"/>
            <w:tcBorders>
              <w:top w:val="single" w:sz="4" w:space="0" w:color="auto"/>
              <w:left w:val="nil"/>
              <w:bottom w:val="single" w:sz="4" w:space="0" w:color="auto"/>
              <w:right w:val="single" w:sz="4" w:space="0" w:color="auto"/>
            </w:tcBorders>
            <w:shd w:val="clear" w:color="auto" w:fill="auto"/>
            <w:vAlign w:val="center"/>
          </w:tcPr>
          <w:p w:rsidR="001A440D" w:rsidRPr="006B2DB8" w:rsidRDefault="001A440D" w:rsidP="001A440D">
            <w:pPr>
              <w:spacing w:before="20" w:after="20"/>
              <w:jc w:val="center"/>
              <w:rPr>
                <w:rFonts w:ascii="Arial Narrow" w:hAnsi="Arial Narrow"/>
                <w:b/>
                <w:sz w:val="16"/>
                <w:szCs w:val="16"/>
              </w:rPr>
            </w:pPr>
            <w:r w:rsidRPr="006B2DB8">
              <w:rPr>
                <w:rFonts w:ascii="Arial Narrow" w:hAnsi="Arial Narrow"/>
                <w:b/>
                <w:sz w:val="16"/>
                <w:szCs w:val="16"/>
              </w:rPr>
              <w:t>Εκτιμήσεις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A440D" w:rsidRPr="006B2DB8" w:rsidRDefault="001A440D" w:rsidP="001A440D">
            <w:pPr>
              <w:spacing w:before="20" w:after="20"/>
              <w:jc w:val="center"/>
              <w:rPr>
                <w:rFonts w:ascii="Arial Narrow" w:hAnsi="Arial Narrow"/>
                <w:b/>
                <w:sz w:val="16"/>
                <w:szCs w:val="16"/>
              </w:rPr>
            </w:pPr>
            <w:r w:rsidRPr="006B2DB8">
              <w:rPr>
                <w:rFonts w:ascii="Arial Narrow" w:hAnsi="Arial Narrow"/>
                <w:b/>
                <w:sz w:val="16"/>
                <w:szCs w:val="16"/>
              </w:rPr>
              <w:t>Προβλέψεις</w:t>
            </w:r>
          </w:p>
        </w:tc>
      </w:tr>
      <w:tr w:rsidR="001A440D" w:rsidRPr="00256726" w:rsidTr="001A440D">
        <w:trPr>
          <w:cantSplit/>
          <w:jc w:val="center"/>
        </w:trPr>
        <w:tc>
          <w:tcPr>
            <w:tcW w:w="6019" w:type="dxa"/>
            <w:tcBorders>
              <w:top w:val="single" w:sz="4" w:space="0" w:color="auto"/>
              <w:left w:val="single" w:sz="4" w:space="0" w:color="auto"/>
              <w:bottom w:val="nil"/>
              <w:right w:val="single" w:sz="4" w:space="0" w:color="auto"/>
            </w:tcBorders>
            <w:shd w:val="clear" w:color="auto" w:fill="auto"/>
            <w:vAlign w:val="center"/>
          </w:tcPr>
          <w:p w:rsidR="001A440D" w:rsidRPr="00256726" w:rsidRDefault="001A440D" w:rsidP="001A440D">
            <w:pPr>
              <w:spacing w:before="20" w:after="20"/>
              <w:jc w:val="center"/>
              <w:rPr>
                <w:rFonts w:ascii="Arial Narrow" w:hAnsi="Arial Narrow"/>
                <w:b/>
                <w:sz w:val="6"/>
                <w:szCs w:val="16"/>
              </w:rPr>
            </w:pPr>
          </w:p>
        </w:tc>
        <w:tc>
          <w:tcPr>
            <w:tcW w:w="1213" w:type="dxa"/>
            <w:tcBorders>
              <w:top w:val="single" w:sz="4" w:space="0" w:color="auto"/>
              <w:left w:val="nil"/>
              <w:bottom w:val="nil"/>
              <w:right w:val="nil"/>
            </w:tcBorders>
            <w:shd w:val="clear" w:color="auto" w:fill="auto"/>
            <w:vAlign w:val="center"/>
          </w:tcPr>
          <w:p w:rsidR="001A440D" w:rsidRPr="00256726" w:rsidRDefault="001A440D" w:rsidP="001A440D">
            <w:pPr>
              <w:spacing w:before="20" w:after="20"/>
              <w:jc w:val="center"/>
              <w:rPr>
                <w:rFonts w:ascii="Arial Narrow" w:hAnsi="Arial Narrow"/>
                <w:b/>
                <w:sz w:val="6"/>
                <w:szCs w:val="16"/>
              </w:rPr>
            </w:pPr>
          </w:p>
        </w:tc>
        <w:tc>
          <w:tcPr>
            <w:tcW w:w="1276" w:type="dxa"/>
            <w:tcBorders>
              <w:top w:val="single" w:sz="4" w:space="0" w:color="auto"/>
              <w:left w:val="nil"/>
              <w:bottom w:val="nil"/>
              <w:right w:val="single" w:sz="4" w:space="0" w:color="auto"/>
            </w:tcBorders>
            <w:shd w:val="clear" w:color="auto" w:fill="auto"/>
            <w:vAlign w:val="center"/>
          </w:tcPr>
          <w:p w:rsidR="001A440D" w:rsidRPr="00256726" w:rsidRDefault="001A440D" w:rsidP="001A440D">
            <w:pPr>
              <w:spacing w:before="20" w:after="20"/>
              <w:jc w:val="center"/>
              <w:rPr>
                <w:rFonts w:ascii="Arial Narrow" w:hAnsi="Arial Narrow"/>
                <w:b/>
                <w:sz w:val="6"/>
                <w:szCs w:val="16"/>
              </w:rPr>
            </w:pPr>
          </w:p>
        </w:tc>
      </w:tr>
      <w:tr w:rsidR="008A0B65" w:rsidRPr="006B2DB8" w:rsidTr="003F3709">
        <w:trPr>
          <w:cantSplit/>
          <w:trHeight w:val="227"/>
          <w:jc w:val="center"/>
        </w:trPr>
        <w:tc>
          <w:tcPr>
            <w:tcW w:w="6019" w:type="dxa"/>
            <w:tcBorders>
              <w:top w:val="nil"/>
              <w:left w:val="single" w:sz="4" w:space="0" w:color="auto"/>
              <w:bottom w:val="nil"/>
              <w:right w:val="nil"/>
            </w:tcBorders>
            <w:shd w:val="clear" w:color="auto" w:fill="D9D9D9" w:themeFill="background1" w:themeFillShade="D9"/>
            <w:vAlign w:val="center"/>
          </w:tcPr>
          <w:p w:rsidR="008A0B65" w:rsidRPr="006B2DB8" w:rsidRDefault="008A0B65" w:rsidP="001A440D">
            <w:pPr>
              <w:spacing w:before="20" w:after="20"/>
              <w:ind w:left="258" w:hanging="258"/>
              <w:rPr>
                <w:rFonts w:ascii="Arial Narrow" w:hAnsi="Arial Narrow"/>
                <w:b/>
                <w:sz w:val="16"/>
                <w:szCs w:val="16"/>
              </w:rPr>
            </w:pPr>
            <w:r>
              <w:rPr>
                <w:rFonts w:ascii="Arial Narrow" w:hAnsi="Arial Narrow"/>
                <w:b/>
                <w:sz w:val="16"/>
                <w:szCs w:val="16"/>
              </w:rPr>
              <w:t>Α.</w:t>
            </w:r>
            <w:r>
              <w:rPr>
                <w:rFonts w:ascii="Arial Narrow" w:hAnsi="Arial Narrow"/>
                <w:b/>
                <w:sz w:val="16"/>
                <w:szCs w:val="16"/>
              </w:rPr>
              <w:tab/>
              <w:t xml:space="preserve">ΟΤΑ Α΄ βαθμού – Δήμοι (Ι + ΙΙ + ΙΙΙ + </w:t>
            </w:r>
            <w:r>
              <w:rPr>
                <w:rFonts w:ascii="Arial Narrow" w:hAnsi="Arial Narrow"/>
                <w:b/>
                <w:sz w:val="16"/>
                <w:szCs w:val="16"/>
                <w:lang w:val="en-GB"/>
              </w:rPr>
              <w:t>IV</w:t>
            </w:r>
            <w:r w:rsidRPr="008A0B65">
              <w:rPr>
                <w:rFonts w:ascii="Arial Narrow" w:hAnsi="Arial Narrow"/>
                <w:b/>
                <w:sz w:val="16"/>
                <w:szCs w:val="16"/>
              </w:rPr>
              <w:t xml:space="preserve"> + </w:t>
            </w:r>
            <w:r>
              <w:rPr>
                <w:rFonts w:ascii="Arial Narrow" w:hAnsi="Arial Narrow"/>
                <w:b/>
                <w:sz w:val="16"/>
                <w:szCs w:val="16"/>
                <w:lang w:val="en-GB"/>
              </w:rPr>
              <w:t>V</w:t>
            </w:r>
            <w:r w:rsidRPr="008A0B65">
              <w:rPr>
                <w:rFonts w:ascii="Arial Narrow" w:hAnsi="Arial Narrow"/>
                <w:b/>
                <w:sz w:val="16"/>
                <w:szCs w:val="16"/>
              </w:rPr>
              <w:t xml:space="preserve"> + </w:t>
            </w:r>
            <w:r>
              <w:rPr>
                <w:rFonts w:ascii="Arial Narrow" w:hAnsi="Arial Narrow"/>
                <w:b/>
                <w:sz w:val="16"/>
                <w:szCs w:val="16"/>
                <w:lang w:val="en-GB"/>
              </w:rPr>
              <w:t>VI</w:t>
            </w:r>
            <w:r>
              <w:rPr>
                <w:rFonts w:ascii="Arial Narrow" w:hAnsi="Arial Narrow"/>
                <w:b/>
                <w:sz w:val="16"/>
                <w:szCs w:val="16"/>
              </w:rPr>
              <w:t>)</w:t>
            </w:r>
          </w:p>
        </w:tc>
        <w:tc>
          <w:tcPr>
            <w:tcW w:w="1213" w:type="dxa"/>
            <w:tcBorders>
              <w:top w:val="nil"/>
              <w:left w:val="nil"/>
              <w:bottom w:val="nil"/>
              <w:right w:val="nil"/>
            </w:tcBorders>
            <w:shd w:val="clear" w:color="auto" w:fill="D9D9D9" w:themeFill="background1" w:themeFillShade="D9"/>
            <w:vAlign w:val="bottom"/>
          </w:tcPr>
          <w:p w:rsidR="008A0B65" w:rsidRPr="006509FE" w:rsidRDefault="008A0B65" w:rsidP="008A0B65">
            <w:pPr>
              <w:ind w:right="337"/>
              <w:jc w:val="right"/>
              <w:rPr>
                <w:rFonts w:ascii="Arial Narrow" w:hAnsi="Arial Narrow"/>
                <w:b/>
                <w:bCs/>
                <w:sz w:val="16"/>
                <w:szCs w:val="16"/>
              </w:rPr>
            </w:pPr>
            <w:r w:rsidRPr="006509FE">
              <w:rPr>
                <w:rFonts w:ascii="Arial Narrow" w:hAnsi="Arial Narrow"/>
                <w:b/>
                <w:bCs/>
                <w:sz w:val="16"/>
                <w:szCs w:val="16"/>
              </w:rPr>
              <w:t>2.290</w:t>
            </w:r>
          </w:p>
        </w:tc>
        <w:tc>
          <w:tcPr>
            <w:tcW w:w="1276" w:type="dxa"/>
            <w:tcBorders>
              <w:top w:val="nil"/>
              <w:left w:val="nil"/>
              <w:bottom w:val="nil"/>
              <w:right w:val="single" w:sz="4" w:space="0" w:color="auto"/>
            </w:tcBorders>
            <w:shd w:val="clear" w:color="auto" w:fill="D9D9D9" w:themeFill="background1" w:themeFillShade="D9"/>
            <w:vAlign w:val="bottom"/>
          </w:tcPr>
          <w:p w:rsidR="008A0B65" w:rsidRPr="006509FE" w:rsidRDefault="008A0B65" w:rsidP="008A0B65">
            <w:pPr>
              <w:ind w:right="337"/>
              <w:jc w:val="right"/>
              <w:rPr>
                <w:rFonts w:ascii="Arial Narrow" w:hAnsi="Arial Narrow"/>
                <w:b/>
                <w:bCs/>
                <w:sz w:val="16"/>
                <w:szCs w:val="16"/>
              </w:rPr>
            </w:pPr>
            <w:r w:rsidRPr="006509FE">
              <w:rPr>
                <w:rFonts w:ascii="Arial Narrow" w:hAnsi="Arial Narrow"/>
                <w:b/>
                <w:bCs/>
                <w:sz w:val="16"/>
                <w:szCs w:val="16"/>
              </w:rPr>
              <w:t>2.076</w:t>
            </w:r>
          </w:p>
        </w:tc>
      </w:tr>
      <w:tr w:rsidR="008A0B65" w:rsidRPr="006B2DB8" w:rsidTr="003F3709">
        <w:trPr>
          <w:cantSplit/>
          <w:trHeight w:val="227"/>
          <w:jc w:val="center"/>
        </w:trPr>
        <w:tc>
          <w:tcPr>
            <w:tcW w:w="6019" w:type="dxa"/>
            <w:tcBorders>
              <w:top w:val="nil"/>
              <w:left w:val="single" w:sz="4" w:space="0" w:color="auto"/>
              <w:bottom w:val="nil"/>
              <w:right w:val="nil"/>
            </w:tcBorders>
            <w:shd w:val="clear" w:color="auto" w:fill="auto"/>
            <w:vAlign w:val="center"/>
          </w:tcPr>
          <w:p w:rsidR="008A0B65" w:rsidRPr="006B2DB8" w:rsidRDefault="008A0B65" w:rsidP="001A440D">
            <w:pPr>
              <w:tabs>
                <w:tab w:val="left" w:pos="258"/>
              </w:tabs>
              <w:spacing w:before="20" w:after="20"/>
              <w:ind w:left="476" w:hanging="476"/>
              <w:rPr>
                <w:rFonts w:ascii="Arial Narrow" w:hAnsi="Arial Narrow"/>
                <w:b/>
                <w:sz w:val="16"/>
                <w:szCs w:val="16"/>
              </w:rPr>
            </w:pPr>
            <w:r w:rsidRPr="00301426">
              <w:rPr>
                <w:rFonts w:ascii="Arial Narrow" w:hAnsi="Arial Narrow"/>
                <w:b/>
                <w:sz w:val="16"/>
                <w:szCs w:val="16"/>
              </w:rPr>
              <w:t xml:space="preserve"> </w:t>
            </w:r>
            <w:r>
              <w:rPr>
                <w:rFonts w:ascii="Arial Narrow" w:hAnsi="Arial Narrow"/>
                <w:b/>
                <w:sz w:val="16"/>
                <w:szCs w:val="16"/>
              </w:rPr>
              <w:tab/>
              <w:t xml:space="preserve">Ι. </w:t>
            </w:r>
            <w:r w:rsidRPr="00301426">
              <w:rPr>
                <w:rFonts w:ascii="Arial Narrow" w:hAnsi="Arial Narrow"/>
                <w:b/>
                <w:sz w:val="16"/>
                <w:szCs w:val="16"/>
              </w:rPr>
              <w:tab/>
            </w:r>
            <w:r w:rsidRPr="006B2DB8">
              <w:rPr>
                <w:rFonts w:ascii="Arial Narrow" w:hAnsi="Arial Narrow"/>
                <w:b/>
                <w:sz w:val="16"/>
                <w:szCs w:val="16"/>
              </w:rPr>
              <w:t>ΚΑΠ Δήμων</w:t>
            </w:r>
            <w:r>
              <w:rPr>
                <w:rFonts w:ascii="Arial Narrow" w:hAnsi="Arial Narrow"/>
                <w:b/>
                <w:sz w:val="16"/>
                <w:szCs w:val="16"/>
              </w:rPr>
              <w:t xml:space="preserve"> (α</w:t>
            </w:r>
            <w:r w:rsidRPr="00E263FF">
              <w:rPr>
                <w:rFonts w:ascii="Arial Narrow" w:hAnsi="Arial Narrow"/>
                <w:b/>
                <w:sz w:val="16"/>
                <w:szCs w:val="16"/>
              </w:rPr>
              <w:t xml:space="preserve"> </w:t>
            </w:r>
            <w:r>
              <w:rPr>
                <w:rFonts w:ascii="Arial Narrow" w:hAnsi="Arial Narrow"/>
                <w:b/>
                <w:sz w:val="16"/>
                <w:szCs w:val="16"/>
              </w:rPr>
              <w:t>+</w:t>
            </w:r>
            <w:r w:rsidRPr="00E263FF">
              <w:rPr>
                <w:rFonts w:ascii="Arial Narrow" w:hAnsi="Arial Narrow"/>
                <w:b/>
                <w:sz w:val="16"/>
                <w:szCs w:val="16"/>
              </w:rPr>
              <w:t xml:space="preserve"> </w:t>
            </w:r>
            <w:r>
              <w:rPr>
                <w:rFonts w:ascii="Arial Narrow" w:hAnsi="Arial Narrow"/>
                <w:b/>
                <w:sz w:val="16"/>
                <w:szCs w:val="16"/>
              </w:rPr>
              <w:t>β + γ)</w:t>
            </w:r>
          </w:p>
        </w:tc>
        <w:tc>
          <w:tcPr>
            <w:tcW w:w="1213" w:type="dxa"/>
            <w:tcBorders>
              <w:top w:val="nil"/>
              <w:left w:val="nil"/>
              <w:bottom w:val="nil"/>
              <w:right w:val="nil"/>
            </w:tcBorders>
            <w:shd w:val="clear" w:color="auto" w:fill="auto"/>
            <w:vAlign w:val="bottom"/>
          </w:tcPr>
          <w:p w:rsidR="008A0B65" w:rsidRPr="001C6090" w:rsidRDefault="008A0B65" w:rsidP="008A0B65">
            <w:pPr>
              <w:ind w:right="337"/>
              <w:jc w:val="right"/>
              <w:rPr>
                <w:rFonts w:ascii="Arial Narrow" w:hAnsi="Arial Narrow"/>
                <w:b/>
                <w:sz w:val="16"/>
                <w:szCs w:val="16"/>
              </w:rPr>
            </w:pPr>
            <w:r w:rsidRPr="001C6090">
              <w:rPr>
                <w:rFonts w:ascii="Arial Narrow" w:hAnsi="Arial Narrow"/>
                <w:b/>
                <w:sz w:val="16"/>
                <w:szCs w:val="16"/>
              </w:rPr>
              <w:t>1.857</w:t>
            </w:r>
          </w:p>
        </w:tc>
        <w:tc>
          <w:tcPr>
            <w:tcW w:w="1276" w:type="dxa"/>
            <w:tcBorders>
              <w:top w:val="nil"/>
              <w:left w:val="nil"/>
              <w:bottom w:val="nil"/>
              <w:right w:val="single" w:sz="4" w:space="0" w:color="auto"/>
            </w:tcBorders>
            <w:shd w:val="clear" w:color="auto" w:fill="auto"/>
            <w:vAlign w:val="bottom"/>
          </w:tcPr>
          <w:p w:rsidR="008A0B65" w:rsidRPr="001C6090" w:rsidRDefault="008A0B65" w:rsidP="008A0B65">
            <w:pPr>
              <w:ind w:right="337"/>
              <w:jc w:val="right"/>
              <w:rPr>
                <w:rFonts w:ascii="Arial Narrow" w:hAnsi="Arial Narrow"/>
                <w:b/>
                <w:sz w:val="16"/>
                <w:szCs w:val="16"/>
              </w:rPr>
            </w:pPr>
            <w:r w:rsidRPr="001C6090">
              <w:rPr>
                <w:rFonts w:ascii="Arial Narrow" w:hAnsi="Arial Narrow"/>
                <w:b/>
                <w:sz w:val="16"/>
                <w:szCs w:val="16"/>
              </w:rPr>
              <w:t>1.914</w:t>
            </w:r>
          </w:p>
        </w:tc>
      </w:tr>
      <w:tr w:rsidR="008A0B65" w:rsidRPr="006B2DB8" w:rsidTr="003F3709">
        <w:trPr>
          <w:cantSplit/>
          <w:trHeight w:val="227"/>
          <w:jc w:val="center"/>
        </w:trPr>
        <w:tc>
          <w:tcPr>
            <w:tcW w:w="6019" w:type="dxa"/>
            <w:tcBorders>
              <w:top w:val="nil"/>
              <w:left w:val="single" w:sz="4" w:space="0" w:color="auto"/>
              <w:bottom w:val="nil"/>
              <w:right w:val="nil"/>
            </w:tcBorders>
            <w:shd w:val="clear" w:color="auto" w:fill="auto"/>
          </w:tcPr>
          <w:p w:rsidR="008A0B65" w:rsidRPr="006B2DB8" w:rsidRDefault="008A0B65" w:rsidP="001A440D">
            <w:pPr>
              <w:tabs>
                <w:tab w:val="left" w:pos="258"/>
              </w:tabs>
              <w:spacing w:before="20" w:after="20"/>
              <w:ind w:left="477" w:hanging="477"/>
              <w:jc w:val="both"/>
              <w:rPr>
                <w:rFonts w:ascii="Arial Narrow" w:hAnsi="Arial Narrow"/>
                <w:sz w:val="16"/>
                <w:szCs w:val="16"/>
              </w:rPr>
            </w:pPr>
            <w:r w:rsidRPr="00EB2253">
              <w:rPr>
                <w:rFonts w:ascii="Arial Narrow" w:hAnsi="Arial Narrow"/>
                <w:sz w:val="16"/>
                <w:szCs w:val="16"/>
              </w:rPr>
              <w:tab/>
            </w:r>
            <w:r>
              <w:rPr>
                <w:rFonts w:ascii="Arial Narrow" w:hAnsi="Arial Narrow"/>
                <w:sz w:val="16"/>
                <w:szCs w:val="16"/>
              </w:rPr>
              <w:t>α.</w:t>
            </w:r>
            <w:r>
              <w:rPr>
                <w:rFonts w:ascii="Arial Narrow" w:hAnsi="Arial Narrow"/>
                <w:sz w:val="16"/>
                <w:szCs w:val="16"/>
              </w:rPr>
              <w:tab/>
            </w:r>
            <w:r w:rsidRPr="006B2DB8">
              <w:rPr>
                <w:rFonts w:ascii="Arial Narrow" w:hAnsi="Arial Narrow"/>
                <w:sz w:val="16"/>
                <w:szCs w:val="16"/>
              </w:rPr>
              <w:t>Απόδοση στους Δήμους ποσοστού επί του φόρου προστιθέμενης αξίας</w:t>
            </w:r>
          </w:p>
        </w:tc>
        <w:tc>
          <w:tcPr>
            <w:tcW w:w="1213" w:type="dxa"/>
            <w:tcBorders>
              <w:top w:val="nil"/>
              <w:left w:val="nil"/>
              <w:bottom w:val="nil"/>
              <w:right w:val="nil"/>
            </w:tcBorders>
            <w:shd w:val="clear" w:color="auto" w:fill="auto"/>
            <w:vAlign w:val="bottom"/>
          </w:tcPr>
          <w:p w:rsidR="008A0B65" w:rsidRPr="006509FE" w:rsidRDefault="008A0B65" w:rsidP="008A0B65">
            <w:pPr>
              <w:ind w:right="337"/>
              <w:jc w:val="right"/>
              <w:rPr>
                <w:rFonts w:ascii="Arial Narrow" w:hAnsi="Arial Narrow"/>
                <w:sz w:val="16"/>
                <w:szCs w:val="16"/>
              </w:rPr>
            </w:pPr>
            <w:r w:rsidRPr="006509FE">
              <w:rPr>
                <w:rFonts w:ascii="Arial Narrow" w:hAnsi="Arial Narrow"/>
                <w:sz w:val="16"/>
                <w:szCs w:val="16"/>
              </w:rPr>
              <w:t>668</w:t>
            </w:r>
          </w:p>
        </w:tc>
        <w:tc>
          <w:tcPr>
            <w:tcW w:w="1276" w:type="dxa"/>
            <w:tcBorders>
              <w:top w:val="nil"/>
              <w:left w:val="nil"/>
              <w:bottom w:val="nil"/>
              <w:right w:val="single" w:sz="4" w:space="0" w:color="auto"/>
            </w:tcBorders>
            <w:shd w:val="clear" w:color="auto" w:fill="auto"/>
            <w:vAlign w:val="bottom"/>
          </w:tcPr>
          <w:p w:rsidR="008A0B65" w:rsidRPr="006509FE" w:rsidRDefault="008A0B65" w:rsidP="008A0B65">
            <w:pPr>
              <w:ind w:right="337"/>
              <w:jc w:val="right"/>
              <w:rPr>
                <w:rFonts w:ascii="Arial Narrow" w:hAnsi="Arial Narrow"/>
                <w:sz w:val="16"/>
                <w:szCs w:val="16"/>
              </w:rPr>
            </w:pPr>
            <w:r w:rsidRPr="006509FE">
              <w:rPr>
                <w:rFonts w:ascii="Arial Narrow" w:hAnsi="Arial Narrow"/>
                <w:sz w:val="16"/>
                <w:szCs w:val="16"/>
              </w:rPr>
              <w:t>725</w:t>
            </w:r>
          </w:p>
        </w:tc>
      </w:tr>
      <w:tr w:rsidR="008A0B65" w:rsidRPr="006B2DB8" w:rsidTr="003F3709">
        <w:trPr>
          <w:cantSplit/>
          <w:trHeight w:val="227"/>
          <w:jc w:val="center"/>
        </w:trPr>
        <w:tc>
          <w:tcPr>
            <w:tcW w:w="6019" w:type="dxa"/>
            <w:tcBorders>
              <w:top w:val="nil"/>
              <w:left w:val="single" w:sz="4" w:space="0" w:color="auto"/>
              <w:bottom w:val="nil"/>
              <w:right w:val="nil"/>
            </w:tcBorders>
            <w:shd w:val="clear" w:color="auto" w:fill="auto"/>
          </w:tcPr>
          <w:p w:rsidR="008A0B65" w:rsidRPr="006B2DB8" w:rsidRDefault="008A0B65" w:rsidP="001A440D">
            <w:pPr>
              <w:tabs>
                <w:tab w:val="left" w:pos="258"/>
              </w:tabs>
              <w:spacing w:before="20" w:after="20"/>
              <w:ind w:left="477" w:hanging="477"/>
              <w:jc w:val="both"/>
              <w:rPr>
                <w:rFonts w:ascii="Arial Narrow" w:hAnsi="Arial Narrow"/>
                <w:sz w:val="16"/>
                <w:szCs w:val="16"/>
              </w:rPr>
            </w:pPr>
            <w:r w:rsidRPr="00301426">
              <w:rPr>
                <w:rFonts w:ascii="Arial Narrow" w:hAnsi="Arial Narrow"/>
                <w:sz w:val="16"/>
                <w:szCs w:val="16"/>
              </w:rPr>
              <w:tab/>
            </w:r>
            <w:r>
              <w:rPr>
                <w:rFonts w:ascii="Arial Narrow" w:hAnsi="Arial Narrow"/>
                <w:sz w:val="16"/>
                <w:szCs w:val="16"/>
              </w:rPr>
              <w:t>β.</w:t>
            </w:r>
            <w:r>
              <w:rPr>
                <w:rFonts w:ascii="Arial Narrow" w:hAnsi="Arial Narrow"/>
                <w:sz w:val="16"/>
                <w:szCs w:val="16"/>
              </w:rPr>
              <w:tab/>
            </w:r>
            <w:r w:rsidRPr="006B2DB8">
              <w:rPr>
                <w:rFonts w:ascii="Arial Narrow" w:hAnsi="Arial Narrow"/>
                <w:sz w:val="16"/>
                <w:szCs w:val="16"/>
              </w:rPr>
              <w:t>Απόδοση στους Δήμους ποσοστού επί των καθαρών συνολικών ετήσιων εισπράξεων του φόρου εισοδήματος φυσικών και νομικών προσώπων</w:t>
            </w:r>
          </w:p>
        </w:tc>
        <w:tc>
          <w:tcPr>
            <w:tcW w:w="1213" w:type="dxa"/>
            <w:tcBorders>
              <w:top w:val="nil"/>
              <w:left w:val="nil"/>
              <w:bottom w:val="nil"/>
              <w:right w:val="nil"/>
            </w:tcBorders>
            <w:shd w:val="clear" w:color="auto" w:fill="auto"/>
            <w:vAlign w:val="bottom"/>
          </w:tcPr>
          <w:p w:rsidR="008A0B65" w:rsidRPr="006509FE" w:rsidRDefault="008A0B65" w:rsidP="008A0B65">
            <w:pPr>
              <w:ind w:right="337"/>
              <w:jc w:val="right"/>
              <w:rPr>
                <w:rFonts w:ascii="Arial Narrow" w:hAnsi="Arial Narrow"/>
                <w:sz w:val="16"/>
                <w:szCs w:val="16"/>
              </w:rPr>
            </w:pPr>
            <w:r w:rsidRPr="006509FE">
              <w:rPr>
                <w:rFonts w:ascii="Arial Narrow" w:hAnsi="Arial Narrow"/>
                <w:sz w:val="16"/>
                <w:szCs w:val="16"/>
              </w:rPr>
              <w:t>1088</w:t>
            </w:r>
          </w:p>
        </w:tc>
        <w:tc>
          <w:tcPr>
            <w:tcW w:w="1276" w:type="dxa"/>
            <w:tcBorders>
              <w:top w:val="nil"/>
              <w:left w:val="nil"/>
              <w:bottom w:val="nil"/>
              <w:right w:val="single" w:sz="4" w:space="0" w:color="auto"/>
            </w:tcBorders>
            <w:shd w:val="clear" w:color="auto" w:fill="auto"/>
            <w:vAlign w:val="bottom"/>
          </w:tcPr>
          <w:p w:rsidR="008A0B65" w:rsidRPr="006509FE" w:rsidRDefault="008A0B65" w:rsidP="008A0B65">
            <w:pPr>
              <w:ind w:right="337"/>
              <w:jc w:val="right"/>
              <w:rPr>
                <w:rFonts w:ascii="Arial Narrow" w:hAnsi="Arial Narrow"/>
                <w:sz w:val="16"/>
                <w:szCs w:val="16"/>
              </w:rPr>
            </w:pPr>
            <w:r w:rsidRPr="006509FE">
              <w:rPr>
                <w:rFonts w:ascii="Arial Narrow" w:hAnsi="Arial Narrow"/>
                <w:sz w:val="16"/>
                <w:szCs w:val="16"/>
              </w:rPr>
              <w:t>1.088</w:t>
            </w:r>
          </w:p>
        </w:tc>
      </w:tr>
      <w:tr w:rsidR="008A0B65" w:rsidRPr="006B2DB8" w:rsidTr="003F3709">
        <w:trPr>
          <w:cantSplit/>
          <w:trHeight w:val="227"/>
          <w:jc w:val="center"/>
        </w:trPr>
        <w:tc>
          <w:tcPr>
            <w:tcW w:w="6019" w:type="dxa"/>
            <w:tcBorders>
              <w:top w:val="nil"/>
              <w:left w:val="single" w:sz="4" w:space="0" w:color="auto"/>
              <w:bottom w:val="nil"/>
              <w:right w:val="nil"/>
            </w:tcBorders>
            <w:shd w:val="clear" w:color="auto" w:fill="auto"/>
          </w:tcPr>
          <w:p w:rsidR="008A0B65" w:rsidRPr="006B2DB8" w:rsidRDefault="008A0B65" w:rsidP="001A440D">
            <w:pPr>
              <w:tabs>
                <w:tab w:val="left" w:pos="258"/>
              </w:tabs>
              <w:spacing w:before="20" w:after="20"/>
              <w:ind w:left="477" w:hanging="477"/>
              <w:jc w:val="both"/>
              <w:rPr>
                <w:rFonts w:ascii="Arial Narrow" w:hAnsi="Arial Narrow"/>
                <w:sz w:val="16"/>
                <w:szCs w:val="16"/>
              </w:rPr>
            </w:pPr>
            <w:r w:rsidRPr="00301426">
              <w:rPr>
                <w:rFonts w:ascii="Arial Narrow" w:hAnsi="Arial Narrow"/>
                <w:sz w:val="16"/>
                <w:szCs w:val="16"/>
              </w:rPr>
              <w:tab/>
            </w:r>
            <w:r>
              <w:rPr>
                <w:rFonts w:ascii="Arial Narrow" w:hAnsi="Arial Narrow"/>
                <w:sz w:val="16"/>
                <w:szCs w:val="16"/>
              </w:rPr>
              <w:t>γ.</w:t>
            </w:r>
            <w:r>
              <w:rPr>
                <w:rFonts w:ascii="Arial Narrow" w:hAnsi="Arial Narrow"/>
                <w:sz w:val="16"/>
                <w:szCs w:val="16"/>
              </w:rPr>
              <w:tab/>
            </w:r>
            <w:r w:rsidRPr="006B2DB8">
              <w:rPr>
                <w:rFonts w:ascii="Arial Narrow" w:hAnsi="Arial Narrow"/>
                <w:sz w:val="16"/>
                <w:szCs w:val="16"/>
              </w:rPr>
              <w:t>Απόδοση στου</w:t>
            </w:r>
            <w:r>
              <w:rPr>
                <w:rFonts w:ascii="Arial Narrow" w:hAnsi="Arial Narrow"/>
                <w:sz w:val="16"/>
                <w:szCs w:val="16"/>
              </w:rPr>
              <w:t>ς Δήμους ποσοστού επί του ΕΝΦΙΑ</w:t>
            </w:r>
          </w:p>
        </w:tc>
        <w:tc>
          <w:tcPr>
            <w:tcW w:w="1213" w:type="dxa"/>
            <w:tcBorders>
              <w:top w:val="nil"/>
              <w:left w:val="nil"/>
              <w:bottom w:val="nil"/>
              <w:right w:val="nil"/>
            </w:tcBorders>
            <w:shd w:val="clear" w:color="auto" w:fill="auto"/>
            <w:vAlign w:val="bottom"/>
          </w:tcPr>
          <w:p w:rsidR="008A0B65" w:rsidRPr="006509FE" w:rsidRDefault="008A0B65" w:rsidP="008A0B65">
            <w:pPr>
              <w:ind w:right="337"/>
              <w:jc w:val="right"/>
              <w:rPr>
                <w:rFonts w:ascii="Arial Narrow" w:hAnsi="Arial Narrow"/>
                <w:sz w:val="16"/>
                <w:szCs w:val="16"/>
              </w:rPr>
            </w:pPr>
            <w:r w:rsidRPr="006509FE">
              <w:rPr>
                <w:rFonts w:ascii="Arial Narrow" w:hAnsi="Arial Narrow"/>
                <w:sz w:val="16"/>
                <w:szCs w:val="16"/>
              </w:rPr>
              <w:t>101</w:t>
            </w:r>
          </w:p>
        </w:tc>
        <w:tc>
          <w:tcPr>
            <w:tcW w:w="1276" w:type="dxa"/>
            <w:tcBorders>
              <w:top w:val="nil"/>
              <w:left w:val="nil"/>
              <w:bottom w:val="nil"/>
              <w:right w:val="single" w:sz="4" w:space="0" w:color="auto"/>
            </w:tcBorders>
            <w:shd w:val="clear" w:color="auto" w:fill="auto"/>
            <w:vAlign w:val="bottom"/>
          </w:tcPr>
          <w:p w:rsidR="008A0B65" w:rsidRPr="006509FE" w:rsidRDefault="008A0B65" w:rsidP="008A0B65">
            <w:pPr>
              <w:ind w:right="337"/>
              <w:jc w:val="right"/>
              <w:rPr>
                <w:rFonts w:ascii="Arial Narrow" w:hAnsi="Arial Narrow"/>
                <w:sz w:val="16"/>
                <w:szCs w:val="16"/>
              </w:rPr>
            </w:pPr>
            <w:r w:rsidRPr="006509FE">
              <w:rPr>
                <w:rFonts w:ascii="Arial Narrow" w:hAnsi="Arial Narrow"/>
                <w:sz w:val="16"/>
                <w:szCs w:val="16"/>
              </w:rPr>
              <w:t>101</w:t>
            </w:r>
          </w:p>
        </w:tc>
      </w:tr>
      <w:tr w:rsidR="008A0B65" w:rsidRPr="006B2DB8" w:rsidTr="003F3709">
        <w:trPr>
          <w:cantSplit/>
          <w:trHeight w:val="227"/>
          <w:jc w:val="center"/>
        </w:trPr>
        <w:tc>
          <w:tcPr>
            <w:tcW w:w="6019" w:type="dxa"/>
            <w:tcBorders>
              <w:top w:val="nil"/>
              <w:left w:val="single" w:sz="4" w:space="0" w:color="auto"/>
              <w:bottom w:val="nil"/>
              <w:right w:val="nil"/>
            </w:tcBorders>
            <w:shd w:val="clear" w:color="auto" w:fill="auto"/>
            <w:vAlign w:val="center"/>
          </w:tcPr>
          <w:p w:rsidR="008A0B65" w:rsidRPr="006B2DB8" w:rsidRDefault="008A0B65" w:rsidP="001A440D">
            <w:pPr>
              <w:tabs>
                <w:tab w:val="left" w:pos="258"/>
              </w:tabs>
              <w:spacing w:before="20" w:after="20"/>
              <w:ind w:left="476" w:hanging="476"/>
              <w:rPr>
                <w:rFonts w:ascii="Arial Narrow" w:hAnsi="Arial Narrow"/>
                <w:b/>
                <w:sz w:val="16"/>
                <w:szCs w:val="16"/>
              </w:rPr>
            </w:pPr>
            <w:r w:rsidRPr="00301426">
              <w:rPr>
                <w:rFonts w:ascii="Arial Narrow" w:hAnsi="Arial Narrow"/>
                <w:b/>
                <w:sz w:val="16"/>
                <w:szCs w:val="16"/>
              </w:rPr>
              <w:t xml:space="preserve"> </w:t>
            </w:r>
            <w:r>
              <w:rPr>
                <w:rFonts w:ascii="Arial Narrow" w:hAnsi="Arial Narrow"/>
                <w:b/>
                <w:sz w:val="16"/>
                <w:szCs w:val="16"/>
              </w:rPr>
              <w:tab/>
              <w:t>ΙΙ.</w:t>
            </w:r>
            <w:r>
              <w:rPr>
                <w:rFonts w:ascii="Arial Narrow" w:hAnsi="Arial Narrow"/>
                <w:b/>
                <w:sz w:val="16"/>
                <w:szCs w:val="16"/>
              </w:rPr>
              <w:tab/>
              <w:t>Ειδική επιχορήγηση σε ΟΤΑ α</w:t>
            </w:r>
            <w:r w:rsidRPr="00E263FF">
              <w:rPr>
                <w:rFonts w:ascii="Arial Narrow" w:hAnsi="Arial Narrow"/>
                <w:b/>
                <w:sz w:val="16"/>
                <w:szCs w:val="16"/>
              </w:rPr>
              <w:t xml:space="preserve">’ </w:t>
            </w:r>
            <w:r w:rsidRPr="006B2DB8">
              <w:rPr>
                <w:rFonts w:ascii="Arial Narrow" w:hAnsi="Arial Narrow"/>
                <w:b/>
                <w:sz w:val="16"/>
                <w:szCs w:val="16"/>
              </w:rPr>
              <w:t>βαθμού</w:t>
            </w:r>
          </w:p>
        </w:tc>
        <w:tc>
          <w:tcPr>
            <w:tcW w:w="1213" w:type="dxa"/>
            <w:tcBorders>
              <w:top w:val="nil"/>
              <w:left w:val="nil"/>
              <w:bottom w:val="nil"/>
              <w:right w:val="nil"/>
            </w:tcBorders>
            <w:shd w:val="clear" w:color="auto" w:fill="auto"/>
            <w:vAlign w:val="bottom"/>
          </w:tcPr>
          <w:p w:rsidR="008A0B65" w:rsidRPr="001C6090" w:rsidRDefault="008A0B65" w:rsidP="008A0B65">
            <w:pPr>
              <w:ind w:right="337"/>
              <w:jc w:val="right"/>
              <w:rPr>
                <w:rFonts w:ascii="Arial Narrow" w:hAnsi="Arial Narrow"/>
                <w:b/>
                <w:sz w:val="16"/>
                <w:szCs w:val="16"/>
              </w:rPr>
            </w:pPr>
            <w:r w:rsidRPr="001C6090">
              <w:rPr>
                <w:rFonts w:ascii="Arial Narrow" w:hAnsi="Arial Narrow"/>
                <w:b/>
                <w:sz w:val="16"/>
                <w:szCs w:val="16"/>
              </w:rPr>
              <w:t>172</w:t>
            </w:r>
          </w:p>
        </w:tc>
        <w:tc>
          <w:tcPr>
            <w:tcW w:w="1276" w:type="dxa"/>
            <w:tcBorders>
              <w:top w:val="nil"/>
              <w:left w:val="nil"/>
              <w:bottom w:val="nil"/>
              <w:right w:val="single" w:sz="4" w:space="0" w:color="auto"/>
            </w:tcBorders>
            <w:shd w:val="clear" w:color="auto" w:fill="auto"/>
            <w:vAlign w:val="bottom"/>
          </w:tcPr>
          <w:p w:rsidR="008A0B65" w:rsidRPr="001C6090" w:rsidRDefault="008A0B65" w:rsidP="008A0B65">
            <w:pPr>
              <w:ind w:right="337"/>
              <w:jc w:val="right"/>
              <w:rPr>
                <w:rFonts w:ascii="Arial Narrow" w:hAnsi="Arial Narrow"/>
                <w:b/>
                <w:sz w:val="16"/>
                <w:szCs w:val="16"/>
              </w:rPr>
            </w:pPr>
            <w:r w:rsidRPr="001C6090">
              <w:rPr>
                <w:rFonts w:ascii="Arial Narrow" w:hAnsi="Arial Narrow"/>
                <w:b/>
                <w:sz w:val="16"/>
                <w:szCs w:val="16"/>
              </w:rPr>
              <w:t>155</w:t>
            </w:r>
          </w:p>
        </w:tc>
      </w:tr>
      <w:tr w:rsidR="008A0B65" w:rsidRPr="006B2DB8" w:rsidTr="003F3709">
        <w:trPr>
          <w:cantSplit/>
          <w:trHeight w:val="227"/>
          <w:jc w:val="center"/>
        </w:trPr>
        <w:tc>
          <w:tcPr>
            <w:tcW w:w="6019" w:type="dxa"/>
            <w:tcBorders>
              <w:top w:val="nil"/>
              <w:left w:val="single" w:sz="4" w:space="0" w:color="auto"/>
              <w:bottom w:val="nil"/>
              <w:right w:val="nil"/>
            </w:tcBorders>
            <w:shd w:val="clear" w:color="auto" w:fill="auto"/>
            <w:vAlign w:val="center"/>
          </w:tcPr>
          <w:p w:rsidR="008A0B65" w:rsidRPr="00E263FF" w:rsidRDefault="008A0B65" w:rsidP="001A440D">
            <w:pPr>
              <w:tabs>
                <w:tab w:val="left" w:pos="258"/>
              </w:tabs>
              <w:spacing w:before="20" w:after="20"/>
              <w:ind w:left="476" w:hanging="476"/>
              <w:rPr>
                <w:rFonts w:ascii="Arial Narrow" w:hAnsi="Arial Narrow"/>
                <w:b/>
                <w:sz w:val="16"/>
                <w:szCs w:val="16"/>
              </w:rPr>
            </w:pPr>
            <w:r w:rsidRPr="00876098">
              <w:rPr>
                <w:rFonts w:ascii="Arial Narrow" w:hAnsi="Arial Narrow"/>
                <w:b/>
                <w:sz w:val="16"/>
                <w:szCs w:val="16"/>
              </w:rPr>
              <w:tab/>
            </w:r>
            <w:r>
              <w:rPr>
                <w:rFonts w:ascii="Arial Narrow" w:hAnsi="Arial Narrow"/>
                <w:b/>
                <w:sz w:val="16"/>
                <w:szCs w:val="16"/>
                <w:lang w:val="en-US"/>
              </w:rPr>
              <w:t>III</w:t>
            </w:r>
            <w:r w:rsidRPr="00E263FF">
              <w:rPr>
                <w:rFonts w:ascii="Arial Narrow" w:hAnsi="Arial Narrow"/>
                <w:b/>
                <w:sz w:val="16"/>
                <w:szCs w:val="16"/>
              </w:rPr>
              <w:t>.</w:t>
            </w:r>
            <w:r>
              <w:rPr>
                <w:rFonts w:ascii="Arial Narrow" w:hAnsi="Arial Narrow"/>
                <w:b/>
                <w:sz w:val="16"/>
                <w:szCs w:val="16"/>
              </w:rPr>
              <w:tab/>
              <w:t>Λοιπές αποδόσεις σε ΟΤΑ α’ βαθμού</w:t>
            </w:r>
            <w:r w:rsidRPr="00E263FF">
              <w:rPr>
                <w:rFonts w:ascii="Arial Narrow" w:hAnsi="Arial Narrow"/>
                <w:b/>
                <w:sz w:val="16"/>
                <w:szCs w:val="16"/>
              </w:rPr>
              <w:tab/>
            </w:r>
          </w:p>
        </w:tc>
        <w:tc>
          <w:tcPr>
            <w:tcW w:w="1213" w:type="dxa"/>
            <w:tcBorders>
              <w:top w:val="nil"/>
              <w:left w:val="nil"/>
              <w:bottom w:val="nil"/>
              <w:right w:val="nil"/>
            </w:tcBorders>
            <w:shd w:val="clear" w:color="auto" w:fill="auto"/>
            <w:vAlign w:val="bottom"/>
          </w:tcPr>
          <w:p w:rsidR="008A0B65" w:rsidRPr="001C6090" w:rsidRDefault="008A0B65" w:rsidP="008A0B65">
            <w:pPr>
              <w:ind w:right="337"/>
              <w:jc w:val="right"/>
              <w:rPr>
                <w:rFonts w:ascii="Arial Narrow" w:hAnsi="Arial Narrow"/>
                <w:b/>
                <w:sz w:val="16"/>
                <w:szCs w:val="16"/>
              </w:rPr>
            </w:pPr>
            <w:r w:rsidRPr="001C6090">
              <w:rPr>
                <w:rFonts w:ascii="Arial Narrow" w:hAnsi="Arial Narrow"/>
                <w:b/>
                <w:sz w:val="16"/>
                <w:szCs w:val="16"/>
              </w:rPr>
              <w:t>5</w:t>
            </w:r>
          </w:p>
        </w:tc>
        <w:tc>
          <w:tcPr>
            <w:tcW w:w="1276" w:type="dxa"/>
            <w:tcBorders>
              <w:top w:val="nil"/>
              <w:left w:val="nil"/>
              <w:bottom w:val="nil"/>
              <w:right w:val="single" w:sz="4" w:space="0" w:color="auto"/>
            </w:tcBorders>
            <w:shd w:val="clear" w:color="auto" w:fill="auto"/>
            <w:vAlign w:val="bottom"/>
          </w:tcPr>
          <w:p w:rsidR="008A0B65" w:rsidRPr="001C6090" w:rsidRDefault="008A0B65" w:rsidP="008A0B65">
            <w:pPr>
              <w:ind w:right="337"/>
              <w:jc w:val="right"/>
              <w:rPr>
                <w:rFonts w:ascii="Arial Narrow" w:hAnsi="Arial Narrow"/>
                <w:b/>
                <w:sz w:val="16"/>
                <w:szCs w:val="16"/>
              </w:rPr>
            </w:pPr>
            <w:r w:rsidRPr="001C6090">
              <w:rPr>
                <w:rFonts w:ascii="Arial Narrow" w:hAnsi="Arial Narrow"/>
                <w:b/>
                <w:sz w:val="16"/>
                <w:szCs w:val="16"/>
              </w:rPr>
              <w:t>5</w:t>
            </w:r>
          </w:p>
        </w:tc>
      </w:tr>
      <w:tr w:rsidR="008A0B65" w:rsidRPr="006B2DB8" w:rsidTr="003F3709">
        <w:trPr>
          <w:cantSplit/>
          <w:trHeight w:val="227"/>
          <w:jc w:val="center"/>
        </w:trPr>
        <w:tc>
          <w:tcPr>
            <w:tcW w:w="6019" w:type="dxa"/>
            <w:tcBorders>
              <w:top w:val="nil"/>
              <w:left w:val="single" w:sz="4" w:space="0" w:color="auto"/>
              <w:bottom w:val="nil"/>
              <w:right w:val="nil"/>
            </w:tcBorders>
            <w:shd w:val="clear" w:color="auto" w:fill="auto"/>
            <w:vAlign w:val="center"/>
          </w:tcPr>
          <w:p w:rsidR="008A0B65" w:rsidRPr="00E263FF" w:rsidRDefault="008A0B65" w:rsidP="001A440D">
            <w:pPr>
              <w:tabs>
                <w:tab w:val="left" w:pos="258"/>
              </w:tabs>
              <w:spacing w:before="20" w:after="20"/>
              <w:ind w:left="476" w:hanging="476"/>
              <w:rPr>
                <w:rFonts w:ascii="Arial Narrow" w:hAnsi="Arial Narrow"/>
                <w:b/>
                <w:sz w:val="16"/>
                <w:szCs w:val="16"/>
              </w:rPr>
            </w:pPr>
            <w:r w:rsidRPr="00E263FF">
              <w:rPr>
                <w:rFonts w:ascii="Arial Narrow" w:hAnsi="Arial Narrow"/>
                <w:b/>
                <w:sz w:val="16"/>
                <w:szCs w:val="16"/>
              </w:rPr>
              <w:tab/>
            </w:r>
            <w:r>
              <w:rPr>
                <w:rFonts w:ascii="Arial Narrow" w:hAnsi="Arial Narrow"/>
                <w:b/>
                <w:sz w:val="16"/>
                <w:szCs w:val="16"/>
                <w:lang w:val="en-US"/>
              </w:rPr>
              <w:t>IV</w:t>
            </w:r>
            <w:r w:rsidRPr="00E263FF">
              <w:rPr>
                <w:rFonts w:ascii="Arial Narrow" w:hAnsi="Arial Narrow"/>
                <w:b/>
                <w:sz w:val="16"/>
                <w:szCs w:val="16"/>
              </w:rPr>
              <w:t>.</w:t>
            </w:r>
            <w:r>
              <w:rPr>
                <w:rFonts w:ascii="Arial Narrow" w:hAnsi="Arial Narrow"/>
                <w:b/>
                <w:sz w:val="16"/>
                <w:szCs w:val="16"/>
              </w:rPr>
              <w:tab/>
              <w:t>Λοιπές επιχορηγήσεις σε ΟΤΑ α’ βαθμού</w:t>
            </w:r>
          </w:p>
        </w:tc>
        <w:tc>
          <w:tcPr>
            <w:tcW w:w="1213" w:type="dxa"/>
            <w:tcBorders>
              <w:top w:val="nil"/>
              <w:left w:val="nil"/>
              <w:bottom w:val="nil"/>
              <w:right w:val="nil"/>
            </w:tcBorders>
            <w:shd w:val="clear" w:color="auto" w:fill="auto"/>
            <w:vAlign w:val="bottom"/>
          </w:tcPr>
          <w:p w:rsidR="008A0B65" w:rsidRPr="001C6090" w:rsidRDefault="008A0B65" w:rsidP="008A0B65">
            <w:pPr>
              <w:ind w:right="337"/>
              <w:jc w:val="right"/>
              <w:rPr>
                <w:rFonts w:ascii="Arial Narrow" w:hAnsi="Arial Narrow"/>
                <w:b/>
                <w:sz w:val="16"/>
                <w:szCs w:val="16"/>
              </w:rPr>
            </w:pPr>
            <w:r w:rsidRPr="001C6090">
              <w:rPr>
                <w:rFonts w:ascii="Arial Narrow" w:hAnsi="Arial Narrow"/>
                <w:b/>
                <w:sz w:val="16"/>
                <w:szCs w:val="16"/>
              </w:rPr>
              <w:t>29</w:t>
            </w:r>
          </w:p>
        </w:tc>
        <w:tc>
          <w:tcPr>
            <w:tcW w:w="1276" w:type="dxa"/>
            <w:tcBorders>
              <w:top w:val="nil"/>
              <w:left w:val="nil"/>
              <w:bottom w:val="nil"/>
              <w:right w:val="single" w:sz="4" w:space="0" w:color="auto"/>
            </w:tcBorders>
            <w:shd w:val="clear" w:color="auto" w:fill="auto"/>
            <w:vAlign w:val="bottom"/>
          </w:tcPr>
          <w:p w:rsidR="008A0B65" w:rsidRPr="001C6090" w:rsidRDefault="008A0B65" w:rsidP="008A0B65">
            <w:pPr>
              <w:ind w:right="337"/>
              <w:jc w:val="right"/>
              <w:rPr>
                <w:rFonts w:ascii="Arial Narrow" w:hAnsi="Arial Narrow"/>
                <w:b/>
                <w:sz w:val="16"/>
                <w:szCs w:val="16"/>
              </w:rPr>
            </w:pPr>
            <w:r w:rsidRPr="001C6090">
              <w:rPr>
                <w:rFonts w:ascii="Arial Narrow" w:hAnsi="Arial Narrow"/>
                <w:b/>
                <w:sz w:val="16"/>
                <w:szCs w:val="16"/>
              </w:rPr>
              <w:t>2</w:t>
            </w:r>
          </w:p>
        </w:tc>
      </w:tr>
      <w:tr w:rsidR="008A0B65" w:rsidRPr="006B2DB8" w:rsidTr="003F3709">
        <w:trPr>
          <w:cantSplit/>
          <w:trHeight w:val="227"/>
          <w:jc w:val="center"/>
        </w:trPr>
        <w:tc>
          <w:tcPr>
            <w:tcW w:w="6019" w:type="dxa"/>
            <w:tcBorders>
              <w:top w:val="nil"/>
              <w:left w:val="single" w:sz="4" w:space="0" w:color="auto"/>
              <w:bottom w:val="nil"/>
              <w:right w:val="nil"/>
            </w:tcBorders>
            <w:shd w:val="clear" w:color="auto" w:fill="auto"/>
            <w:vAlign w:val="center"/>
          </w:tcPr>
          <w:p w:rsidR="008A0B65" w:rsidRPr="008A0B65" w:rsidRDefault="008A0B65" w:rsidP="001A440D">
            <w:pPr>
              <w:tabs>
                <w:tab w:val="left" w:pos="258"/>
              </w:tabs>
              <w:spacing w:before="20" w:after="20"/>
              <w:ind w:left="476" w:hanging="476"/>
              <w:rPr>
                <w:rFonts w:ascii="Arial Narrow" w:hAnsi="Arial Narrow"/>
                <w:b/>
                <w:sz w:val="16"/>
                <w:szCs w:val="16"/>
              </w:rPr>
            </w:pPr>
            <w:r>
              <w:rPr>
                <w:rFonts w:ascii="Arial Narrow" w:hAnsi="Arial Narrow"/>
                <w:b/>
                <w:sz w:val="16"/>
                <w:szCs w:val="16"/>
              </w:rPr>
              <w:tab/>
            </w:r>
            <w:r>
              <w:rPr>
                <w:rFonts w:ascii="Arial Narrow" w:hAnsi="Arial Narrow"/>
                <w:b/>
                <w:sz w:val="16"/>
                <w:szCs w:val="16"/>
                <w:lang w:val="en-US"/>
              </w:rPr>
              <w:t>V</w:t>
            </w:r>
            <w:r w:rsidRPr="008A0B65">
              <w:rPr>
                <w:rFonts w:ascii="Arial Narrow" w:hAnsi="Arial Narrow"/>
                <w:b/>
                <w:sz w:val="16"/>
                <w:szCs w:val="16"/>
              </w:rPr>
              <w:t>.</w:t>
            </w:r>
            <w:r>
              <w:rPr>
                <w:rFonts w:ascii="Arial Narrow" w:hAnsi="Arial Narrow"/>
                <w:b/>
                <w:sz w:val="16"/>
                <w:szCs w:val="16"/>
              </w:rPr>
              <w:tab/>
              <w:t>Έκτακτη επιχορήγηση εξόφλησης ληξιπρόθεσμων οφειλών</w:t>
            </w:r>
          </w:p>
        </w:tc>
        <w:tc>
          <w:tcPr>
            <w:tcW w:w="1213" w:type="dxa"/>
            <w:tcBorders>
              <w:top w:val="nil"/>
              <w:left w:val="nil"/>
              <w:bottom w:val="nil"/>
              <w:right w:val="nil"/>
            </w:tcBorders>
            <w:shd w:val="clear" w:color="auto" w:fill="auto"/>
            <w:vAlign w:val="bottom"/>
          </w:tcPr>
          <w:p w:rsidR="008A0B65" w:rsidRPr="001C6090" w:rsidRDefault="008A0B65" w:rsidP="008A0B65">
            <w:pPr>
              <w:ind w:right="337"/>
              <w:jc w:val="right"/>
              <w:rPr>
                <w:rFonts w:ascii="Arial Narrow" w:hAnsi="Arial Narrow"/>
                <w:b/>
                <w:sz w:val="16"/>
                <w:szCs w:val="16"/>
              </w:rPr>
            </w:pPr>
            <w:r w:rsidRPr="001C6090">
              <w:rPr>
                <w:rFonts w:ascii="Arial Narrow" w:hAnsi="Arial Narrow"/>
                <w:b/>
                <w:sz w:val="16"/>
                <w:szCs w:val="16"/>
              </w:rPr>
              <w:t>116</w:t>
            </w:r>
          </w:p>
        </w:tc>
        <w:tc>
          <w:tcPr>
            <w:tcW w:w="1276" w:type="dxa"/>
            <w:tcBorders>
              <w:top w:val="nil"/>
              <w:left w:val="nil"/>
              <w:bottom w:val="nil"/>
              <w:right w:val="single" w:sz="4" w:space="0" w:color="auto"/>
            </w:tcBorders>
            <w:shd w:val="clear" w:color="auto" w:fill="auto"/>
            <w:vAlign w:val="bottom"/>
          </w:tcPr>
          <w:p w:rsidR="008A0B65" w:rsidRPr="001C6090" w:rsidRDefault="008A0B65" w:rsidP="008A0B65">
            <w:pPr>
              <w:ind w:right="337"/>
              <w:jc w:val="right"/>
              <w:rPr>
                <w:rFonts w:ascii="Arial Narrow" w:hAnsi="Arial Narrow"/>
                <w:b/>
                <w:sz w:val="16"/>
                <w:szCs w:val="16"/>
              </w:rPr>
            </w:pPr>
            <w:r w:rsidRPr="001C6090">
              <w:rPr>
                <w:rFonts w:ascii="Arial Narrow" w:hAnsi="Arial Narrow"/>
                <w:b/>
                <w:sz w:val="16"/>
                <w:szCs w:val="16"/>
              </w:rPr>
              <w:t>0</w:t>
            </w:r>
          </w:p>
        </w:tc>
      </w:tr>
      <w:tr w:rsidR="008A0B65" w:rsidRPr="006B2DB8" w:rsidTr="003F3709">
        <w:trPr>
          <w:cantSplit/>
          <w:trHeight w:val="227"/>
          <w:jc w:val="center"/>
        </w:trPr>
        <w:tc>
          <w:tcPr>
            <w:tcW w:w="6019" w:type="dxa"/>
            <w:tcBorders>
              <w:top w:val="nil"/>
              <w:left w:val="single" w:sz="4" w:space="0" w:color="auto"/>
              <w:bottom w:val="nil"/>
              <w:right w:val="nil"/>
            </w:tcBorders>
            <w:shd w:val="clear" w:color="auto" w:fill="auto"/>
            <w:vAlign w:val="center"/>
          </w:tcPr>
          <w:p w:rsidR="008A0B65" w:rsidRPr="008A0B65" w:rsidRDefault="008A0B65" w:rsidP="001A440D">
            <w:pPr>
              <w:tabs>
                <w:tab w:val="left" w:pos="258"/>
              </w:tabs>
              <w:spacing w:before="20" w:after="20"/>
              <w:ind w:left="476" w:hanging="476"/>
              <w:rPr>
                <w:rFonts w:ascii="Arial Narrow" w:hAnsi="Arial Narrow"/>
                <w:b/>
                <w:sz w:val="16"/>
                <w:szCs w:val="16"/>
                <w:lang w:val="en-US"/>
              </w:rPr>
            </w:pPr>
            <w:r w:rsidRPr="008A0B65">
              <w:rPr>
                <w:rFonts w:ascii="Arial Narrow" w:hAnsi="Arial Narrow"/>
                <w:b/>
                <w:sz w:val="16"/>
                <w:szCs w:val="16"/>
              </w:rPr>
              <w:tab/>
            </w:r>
            <w:r>
              <w:rPr>
                <w:rFonts w:ascii="Arial Narrow" w:hAnsi="Arial Narrow"/>
                <w:b/>
                <w:sz w:val="16"/>
                <w:szCs w:val="16"/>
                <w:lang w:val="en-US"/>
              </w:rPr>
              <w:t>VI.</w:t>
            </w:r>
            <w:r>
              <w:rPr>
                <w:rFonts w:ascii="Arial Narrow" w:hAnsi="Arial Narrow"/>
                <w:b/>
                <w:sz w:val="16"/>
                <w:szCs w:val="16"/>
              </w:rPr>
              <w:tab/>
              <w:t xml:space="preserve">Δαπάνες </w:t>
            </w:r>
            <w:r>
              <w:rPr>
                <w:rFonts w:ascii="Arial Narrow" w:hAnsi="Arial Narrow"/>
                <w:b/>
                <w:sz w:val="16"/>
                <w:szCs w:val="16"/>
                <w:lang w:val="en-US"/>
              </w:rPr>
              <w:t>Covid-19</w:t>
            </w:r>
          </w:p>
        </w:tc>
        <w:tc>
          <w:tcPr>
            <w:tcW w:w="1213" w:type="dxa"/>
            <w:tcBorders>
              <w:top w:val="nil"/>
              <w:left w:val="nil"/>
              <w:bottom w:val="nil"/>
              <w:right w:val="nil"/>
            </w:tcBorders>
            <w:shd w:val="clear" w:color="auto" w:fill="auto"/>
            <w:vAlign w:val="bottom"/>
          </w:tcPr>
          <w:p w:rsidR="008A0B65" w:rsidRPr="001C6090" w:rsidRDefault="008A0B65" w:rsidP="008A0B65">
            <w:pPr>
              <w:ind w:right="337"/>
              <w:jc w:val="right"/>
              <w:rPr>
                <w:rFonts w:ascii="Arial Narrow" w:hAnsi="Arial Narrow"/>
                <w:b/>
                <w:sz w:val="16"/>
                <w:szCs w:val="16"/>
              </w:rPr>
            </w:pPr>
            <w:r w:rsidRPr="001C6090">
              <w:rPr>
                <w:rFonts w:ascii="Arial Narrow" w:hAnsi="Arial Narrow"/>
                <w:b/>
                <w:sz w:val="16"/>
                <w:szCs w:val="16"/>
              </w:rPr>
              <w:t>111</w:t>
            </w:r>
          </w:p>
        </w:tc>
        <w:tc>
          <w:tcPr>
            <w:tcW w:w="1276" w:type="dxa"/>
            <w:tcBorders>
              <w:top w:val="nil"/>
              <w:left w:val="nil"/>
              <w:bottom w:val="nil"/>
              <w:right w:val="single" w:sz="4" w:space="0" w:color="auto"/>
            </w:tcBorders>
            <w:shd w:val="clear" w:color="auto" w:fill="auto"/>
            <w:vAlign w:val="bottom"/>
          </w:tcPr>
          <w:p w:rsidR="008A0B65" w:rsidRPr="001C6090" w:rsidRDefault="008A0B65" w:rsidP="008A0B65">
            <w:pPr>
              <w:ind w:right="337"/>
              <w:jc w:val="right"/>
              <w:rPr>
                <w:rFonts w:ascii="Arial Narrow" w:hAnsi="Arial Narrow"/>
                <w:b/>
                <w:sz w:val="16"/>
                <w:szCs w:val="16"/>
              </w:rPr>
            </w:pPr>
            <w:r w:rsidRPr="001C6090">
              <w:rPr>
                <w:rFonts w:ascii="Arial Narrow" w:hAnsi="Arial Narrow"/>
                <w:b/>
                <w:sz w:val="16"/>
                <w:szCs w:val="16"/>
              </w:rPr>
              <w:t>0</w:t>
            </w:r>
          </w:p>
        </w:tc>
      </w:tr>
      <w:tr w:rsidR="008A0B65" w:rsidRPr="006B2DB8" w:rsidTr="003F3709">
        <w:trPr>
          <w:cantSplit/>
          <w:trHeight w:val="227"/>
          <w:jc w:val="center"/>
        </w:trPr>
        <w:tc>
          <w:tcPr>
            <w:tcW w:w="6019" w:type="dxa"/>
            <w:tcBorders>
              <w:top w:val="nil"/>
              <w:left w:val="single" w:sz="4" w:space="0" w:color="auto"/>
              <w:bottom w:val="nil"/>
              <w:right w:val="nil"/>
            </w:tcBorders>
            <w:shd w:val="clear" w:color="auto" w:fill="D9D9D9" w:themeFill="background1" w:themeFillShade="D9"/>
            <w:vAlign w:val="center"/>
          </w:tcPr>
          <w:p w:rsidR="008A0B65" w:rsidRPr="006B2DB8" w:rsidRDefault="008A0B65" w:rsidP="001A440D">
            <w:pPr>
              <w:spacing w:before="20" w:after="20"/>
              <w:ind w:left="258" w:hanging="258"/>
              <w:rPr>
                <w:rFonts w:ascii="Arial Narrow" w:hAnsi="Arial Narrow"/>
                <w:b/>
                <w:sz w:val="16"/>
                <w:szCs w:val="16"/>
              </w:rPr>
            </w:pPr>
            <w:r>
              <w:rPr>
                <w:rFonts w:ascii="Arial Narrow" w:hAnsi="Arial Narrow"/>
                <w:b/>
                <w:sz w:val="16"/>
                <w:szCs w:val="16"/>
              </w:rPr>
              <w:t>Β.</w:t>
            </w:r>
            <w:r>
              <w:rPr>
                <w:rFonts w:ascii="Arial Narrow" w:hAnsi="Arial Narrow"/>
                <w:b/>
                <w:sz w:val="16"/>
                <w:szCs w:val="16"/>
              </w:rPr>
              <w:tab/>
              <w:t>ΟΤΑ Β’ βαθμού – Περιφέρειες (Ι + ΙΙ)</w:t>
            </w:r>
          </w:p>
        </w:tc>
        <w:tc>
          <w:tcPr>
            <w:tcW w:w="1213" w:type="dxa"/>
            <w:tcBorders>
              <w:top w:val="nil"/>
              <w:left w:val="nil"/>
              <w:bottom w:val="nil"/>
              <w:right w:val="nil"/>
            </w:tcBorders>
            <w:shd w:val="clear" w:color="auto" w:fill="D9D9D9" w:themeFill="background1" w:themeFillShade="D9"/>
            <w:vAlign w:val="bottom"/>
          </w:tcPr>
          <w:p w:rsidR="008A0B65" w:rsidRPr="006509FE" w:rsidRDefault="008A0B65" w:rsidP="008A0B65">
            <w:pPr>
              <w:ind w:right="337"/>
              <w:jc w:val="right"/>
              <w:rPr>
                <w:rFonts w:ascii="Arial Narrow" w:hAnsi="Arial Narrow"/>
                <w:b/>
                <w:bCs/>
                <w:sz w:val="16"/>
                <w:szCs w:val="16"/>
              </w:rPr>
            </w:pPr>
            <w:r w:rsidRPr="006509FE">
              <w:rPr>
                <w:rFonts w:ascii="Arial Narrow" w:hAnsi="Arial Narrow"/>
                <w:b/>
                <w:bCs/>
                <w:sz w:val="16"/>
                <w:szCs w:val="16"/>
              </w:rPr>
              <w:t>652</w:t>
            </w:r>
          </w:p>
        </w:tc>
        <w:tc>
          <w:tcPr>
            <w:tcW w:w="1276" w:type="dxa"/>
            <w:tcBorders>
              <w:top w:val="nil"/>
              <w:left w:val="nil"/>
              <w:bottom w:val="nil"/>
              <w:right w:val="single" w:sz="4" w:space="0" w:color="auto"/>
            </w:tcBorders>
            <w:shd w:val="clear" w:color="auto" w:fill="D9D9D9" w:themeFill="background1" w:themeFillShade="D9"/>
            <w:vAlign w:val="bottom"/>
          </w:tcPr>
          <w:p w:rsidR="008A0B65" w:rsidRPr="006509FE" w:rsidRDefault="008A0B65" w:rsidP="008A0B65">
            <w:pPr>
              <w:ind w:right="337"/>
              <w:jc w:val="right"/>
              <w:rPr>
                <w:rFonts w:ascii="Arial Narrow" w:hAnsi="Arial Narrow"/>
                <w:b/>
                <w:bCs/>
                <w:sz w:val="16"/>
                <w:szCs w:val="16"/>
              </w:rPr>
            </w:pPr>
            <w:r w:rsidRPr="006509FE">
              <w:rPr>
                <w:rFonts w:ascii="Arial Narrow" w:hAnsi="Arial Narrow"/>
                <w:b/>
                <w:bCs/>
                <w:sz w:val="16"/>
                <w:szCs w:val="16"/>
              </w:rPr>
              <w:t>646</w:t>
            </w:r>
          </w:p>
        </w:tc>
      </w:tr>
      <w:tr w:rsidR="008A0B65" w:rsidRPr="006B2DB8" w:rsidTr="003F3709">
        <w:trPr>
          <w:cantSplit/>
          <w:trHeight w:val="227"/>
          <w:jc w:val="center"/>
        </w:trPr>
        <w:tc>
          <w:tcPr>
            <w:tcW w:w="6019" w:type="dxa"/>
            <w:tcBorders>
              <w:top w:val="nil"/>
              <w:left w:val="single" w:sz="4" w:space="0" w:color="auto"/>
              <w:bottom w:val="nil"/>
              <w:right w:val="nil"/>
            </w:tcBorders>
            <w:shd w:val="clear" w:color="auto" w:fill="auto"/>
            <w:vAlign w:val="center"/>
          </w:tcPr>
          <w:p w:rsidR="008A0B65" w:rsidRPr="006B2DB8" w:rsidRDefault="008A0B65" w:rsidP="001A440D">
            <w:pPr>
              <w:tabs>
                <w:tab w:val="left" w:pos="258"/>
              </w:tabs>
              <w:spacing w:before="20" w:after="20"/>
              <w:ind w:left="476" w:hanging="476"/>
              <w:rPr>
                <w:rFonts w:ascii="Arial Narrow" w:hAnsi="Arial Narrow"/>
                <w:b/>
                <w:sz w:val="16"/>
                <w:szCs w:val="16"/>
              </w:rPr>
            </w:pPr>
            <w:r w:rsidRPr="00301426">
              <w:rPr>
                <w:rFonts w:ascii="Arial Narrow" w:hAnsi="Arial Narrow"/>
                <w:b/>
                <w:sz w:val="16"/>
                <w:szCs w:val="16"/>
              </w:rPr>
              <w:t xml:space="preserve"> </w:t>
            </w:r>
            <w:r>
              <w:rPr>
                <w:rFonts w:ascii="Arial Narrow" w:hAnsi="Arial Narrow"/>
                <w:b/>
                <w:sz w:val="16"/>
                <w:szCs w:val="16"/>
              </w:rPr>
              <w:tab/>
              <w:t xml:space="preserve">Ι. </w:t>
            </w:r>
            <w:r w:rsidRPr="00301426">
              <w:rPr>
                <w:rFonts w:ascii="Arial Narrow" w:hAnsi="Arial Narrow"/>
                <w:b/>
                <w:sz w:val="16"/>
                <w:szCs w:val="16"/>
              </w:rPr>
              <w:tab/>
            </w:r>
            <w:r w:rsidRPr="006B2DB8">
              <w:rPr>
                <w:rFonts w:ascii="Arial Narrow" w:hAnsi="Arial Narrow"/>
                <w:b/>
                <w:sz w:val="16"/>
                <w:szCs w:val="16"/>
              </w:rPr>
              <w:t xml:space="preserve">ΚΑΠ </w:t>
            </w:r>
            <w:r>
              <w:rPr>
                <w:rFonts w:ascii="Arial Narrow" w:hAnsi="Arial Narrow"/>
                <w:b/>
                <w:sz w:val="16"/>
                <w:szCs w:val="16"/>
              </w:rPr>
              <w:t>Περιφερειών (α+β)</w:t>
            </w:r>
          </w:p>
        </w:tc>
        <w:tc>
          <w:tcPr>
            <w:tcW w:w="1213" w:type="dxa"/>
            <w:tcBorders>
              <w:top w:val="nil"/>
              <w:left w:val="nil"/>
              <w:bottom w:val="nil"/>
              <w:right w:val="nil"/>
            </w:tcBorders>
            <w:shd w:val="clear" w:color="auto" w:fill="auto"/>
            <w:vAlign w:val="bottom"/>
          </w:tcPr>
          <w:p w:rsidR="008A0B65" w:rsidRPr="001C6090" w:rsidRDefault="008A0B65" w:rsidP="008A0B65">
            <w:pPr>
              <w:ind w:right="337"/>
              <w:jc w:val="right"/>
              <w:rPr>
                <w:rFonts w:ascii="Arial Narrow" w:hAnsi="Arial Narrow"/>
                <w:b/>
                <w:sz w:val="16"/>
                <w:szCs w:val="16"/>
              </w:rPr>
            </w:pPr>
            <w:r w:rsidRPr="001C6090">
              <w:rPr>
                <w:rFonts w:ascii="Arial Narrow" w:hAnsi="Arial Narrow"/>
                <w:b/>
                <w:sz w:val="16"/>
                <w:szCs w:val="16"/>
              </w:rPr>
              <w:t>652</w:t>
            </w:r>
          </w:p>
        </w:tc>
        <w:tc>
          <w:tcPr>
            <w:tcW w:w="1276" w:type="dxa"/>
            <w:tcBorders>
              <w:top w:val="nil"/>
              <w:left w:val="nil"/>
              <w:bottom w:val="nil"/>
              <w:right w:val="single" w:sz="4" w:space="0" w:color="auto"/>
            </w:tcBorders>
            <w:shd w:val="clear" w:color="auto" w:fill="auto"/>
            <w:vAlign w:val="bottom"/>
          </w:tcPr>
          <w:p w:rsidR="008A0B65" w:rsidRPr="001C6090" w:rsidRDefault="008A0B65" w:rsidP="008A0B65">
            <w:pPr>
              <w:ind w:right="337"/>
              <w:jc w:val="right"/>
              <w:rPr>
                <w:rFonts w:ascii="Arial Narrow" w:hAnsi="Arial Narrow"/>
                <w:b/>
                <w:sz w:val="16"/>
                <w:szCs w:val="16"/>
              </w:rPr>
            </w:pPr>
            <w:r w:rsidRPr="001C6090">
              <w:rPr>
                <w:rFonts w:ascii="Arial Narrow" w:hAnsi="Arial Narrow"/>
                <w:b/>
                <w:sz w:val="16"/>
                <w:szCs w:val="16"/>
              </w:rPr>
              <w:t>646</w:t>
            </w:r>
          </w:p>
        </w:tc>
      </w:tr>
      <w:tr w:rsidR="008A0B65" w:rsidRPr="006B2DB8" w:rsidTr="003F3709">
        <w:trPr>
          <w:cantSplit/>
          <w:trHeight w:val="227"/>
          <w:jc w:val="center"/>
        </w:trPr>
        <w:tc>
          <w:tcPr>
            <w:tcW w:w="6019" w:type="dxa"/>
            <w:tcBorders>
              <w:top w:val="nil"/>
              <w:left w:val="single" w:sz="4" w:space="0" w:color="auto"/>
              <w:bottom w:val="nil"/>
              <w:right w:val="nil"/>
            </w:tcBorders>
            <w:shd w:val="clear" w:color="auto" w:fill="auto"/>
          </w:tcPr>
          <w:p w:rsidR="008A0B65" w:rsidRPr="006B2DB8" w:rsidRDefault="008A0B65" w:rsidP="001A440D">
            <w:pPr>
              <w:tabs>
                <w:tab w:val="left" w:pos="258"/>
              </w:tabs>
              <w:spacing w:before="20" w:after="20"/>
              <w:ind w:left="477" w:hanging="477"/>
              <w:jc w:val="both"/>
              <w:rPr>
                <w:rFonts w:ascii="Arial Narrow" w:hAnsi="Arial Narrow"/>
                <w:sz w:val="16"/>
                <w:szCs w:val="16"/>
              </w:rPr>
            </w:pPr>
            <w:r w:rsidRPr="00EB2253">
              <w:rPr>
                <w:rFonts w:ascii="Arial Narrow" w:hAnsi="Arial Narrow"/>
                <w:sz w:val="16"/>
                <w:szCs w:val="16"/>
              </w:rPr>
              <w:tab/>
            </w:r>
            <w:r>
              <w:rPr>
                <w:rFonts w:ascii="Arial Narrow" w:hAnsi="Arial Narrow"/>
                <w:sz w:val="16"/>
                <w:szCs w:val="16"/>
              </w:rPr>
              <w:t>α.</w:t>
            </w:r>
            <w:r>
              <w:rPr>
                <w:rFonts w:ascii="Arial Narrow" w:hAnsi="Arial Narrow"/>
                <w:sz w:val="16"/>
                <w:szCs w:val="16"/>
              </w:rPr>
              <w:tab/>
            </w:r>
            <w:r w:rsidRPr="006B2DB8">
              <w:rPr>
                <w:rFonts w:ascii="Arial Narrow" w:hAnsi="Arial Narrow"/>
                <w:sz w:val="16"/>
                <w:szCs w:val="16"/>
              </w:rPr>
              <w:t xml:space="preserve">Απόδοση </w:t>
            </w:r>
            <w:r>
              <w:rPr>
                <w:rFonts w:ascii="Arial Narrow" w:hAnsi="Arial Narrow"/>
                <w:sz w:val="16"/>
                <w:szCs w:val="16"/>
              </w:rPr>
              <w:t>στις Περιφέρειες</w:t>
            </w:r>
            <w:r w:rsidRPr="006B2DB8">
              <w:rPr>
                <w:rFonts w:ascii="Arial Narrow" w:hAnsi="Arial Narrow"/>
                <w:sz w:val="16"/>
                <w:szCs w:val="16"/>
              </w:rPr>
              <w:t xml:space="preserve"> ποσοστού επί του φόρου προστιθέμενης αξίας</w:t>
            </w:r>
          </w:p>
        </w:tc>
        <w:tc>
          <w:tcPr>
            <w:tcW w:w="1213" w:type="dxa"/>
            <w:tcBorders>
              <w:top w:val="nil"/>
              <w:left w:val="nil"/>
              <w:bottom w:val="nil"/>
              <w:right w:val="nil"/>
            </w:tcBorders>
            <w:shd w:val="clear" w:color="auto" w:fill="auto"/>
            <w:vAlign w:val="bottom"/>
          </w:tcPr>
          <w:p w:rsidR="008A0B65" w:rsidRPr="006509FE" w:rsidRDefault="008A0B65" w:rsidP="008A0B65">
            <w:pPr>
              <w:ind w:right="337"/>
              <w:jc w:val="right"/>
              <w:rPr>
                <w:rFonts w:ascii="Arial Narrow" w:hAnsi="Arial Narrow"/>
                <w:sz w:val="16"/>
                <w:szCs w:val="16"/>
              </w:rPr>
            </w:pPr>
            <w:r w:rsidRPr="006509FE">
              <w:rPr>
                <w:rFonts w:ascii="Arial Narrow" w:hAnsi="Arial Narrow"/>
                <w:sz w:val="16"/>
                <w:szCs w:val="16"/>
              </w:rPr>
              <w:t>202</w:t>
            </w:r>
          </w:p>
        </w:tc>
        <w:tc>
          <w:tcPr>
            <w:tcW w:w="1276" w:type="dxa"/>
            <w:tcBorders>
              <w:top w:val="nil"/>
              <w:left w:val="nil"/>
              <w:bottom w:val="nil"/>
              <w:right w:val="single" w:sz="4" w:space="0" w:color="auto"/>
            </w:tcBorders>
            <w:shd w:val="clear" w:color="auto" w:fill="auto"/>
            <w:vAlign w:val="bottom"/>
          </w:tcPr>
          <w:p w:rsidR="008A0B65" w:rsidRPr="006509FE" w:rsidRDefault="008A0B65" w:rsidP="008A0B65">
            <w:pPr>
              <w:ind w:right="337"/>
              <w:jc w:val="right"/>
              <w:rPr>
                <w:rFonts w:ascii="Arial Narrow" w:hAnsi="Arial Narrow"/>
                <w:sz w:val="16"/>
                <w:szCs w:val="16"/>
              </w:rPr>
            </w:pPr>
            <w:r w:rsidRPr="006509FE">
              <w:rPr>
                <w:rFonts w:ascii="Arial Narrow" w:hAnsi="Arial Narrow"/>
                <w:sz w:val="16"/>
                <w:szCs w:val="16"/>
              </w:rPr>
              <w:t>190</w:t>
            </w:r>
          </w:p>
        </w:tc>
      </w:tr>
      <w:tr w:rsidR="008A0B65" w:rsidRPr="006B2DB8" w:rsidTr="003F3709">
        <w:trPr>
          <w:cantSplit/>
          <w:trHeight w:val="227"/>
          <w:jc w:val="center"/>
        </w:trPr>
        <w:tc>
          <w:tcPr>
            <w:tcW w:w="6019" w:type="dxa"/>
            <w:tcBorders>
              <w:top w:val="nil"/>
              <w:left w:val="single" w:sz="4" w:space="0" w:color="auto"/>
              <w:bottom w:val="nil"/>
              <w:right w:val="nil"/>
            </w:tcBorders>
            <w:shd w:val="clear" w:color="auto" w:fill="auto"/>
          </w:tcPr>
          <w:p w:rsidR="008A0B65" w:rsidRPr="006B2DB8" w:rsidRDefault="008A0B65" w:rsidP="001A440D">
            <w:pPr>
              <w:tabs>
                <w:tab w:val="left" w:pos="258"/>
              </w:tabs>
              <w:spacing w:before="20" w:after="20"/>
              <w:ind w:left="477" w:hanging="477"/>
              <w:jc w:val="both"/>
              <w:rPr>
                <w:rFonts w:ascii="Arial Narrow" w:hAnsi="Arial Narrow"/>
                <w:sz w:val="16"/>
                <w:szCs w:val="16"/>
              </w:rPr>
            </w:pPr>
            <w:r w:rsidRPr="00301426">
              <w:rPr>
                <w:rFonts w:ascii="Arial Narrow" w:hAnsi="Arial Narrow"/>
                <w:sz w:val="16"/>
                <w:szCs w:val="16"/>
              </w:rPr>
              <w:tab/>
            </w:r>
            <w:r>
              <w:rPr>
                <w:rFonts w:ascii="Arial Narrow" w:hAnsi="Arial Narrow"/>
                <w:sz w:val="16"/>
                <w:szCs w:val="16"/>
              </w:rPr>
              <w:t>β.</w:t>
            </w:r>
            <w:r>
              <w:rPr>
                <w:rFonts w:ascii="Arial Narrow" w:hAnsi="Arial Narrow"/>
                <w:sz w:val="16"/>
                <w:szCs w:val="16"/>
              </w:rPr>
              <w:tab/>
            </w:r>
            <w:r w:rsidRPr="006B2DB8">
              <w:rPr>
                <w:rFonts w:ascii="Arial Narrow" w:hAnsi="Arial Narrow"/>
                <w:sz w:val="16"/>
                <w:szCs w:val="16"/>
              </w:rPr>
              <w:t xml:space="preserve">Απόδοση </w:t>
            </w:r>
            <w:r>
              <w:rPr>
                <w:rFonts w:ascii="Arial Narrow" w:hAnsi="Arial Narrow"/>
                <w:sz w:val="16"/>
                <w:szCs w:val="16"/>
              </w:rPr>
              <w:t>στις Περιφέρειες</w:t>
            </w:r>
            <w:r w:rsidRPr="006B2DB8">
              <w:rPr>
                <w:rFonts w:ascii="Arial Narrow" w:hAnsi="Arial Narrow"/>
                <w:sz w:val="16"/>
                <w:szCs w:val="16"/>
              </w:rPr>
              <w:t xml:space="preserve"> ποσοστού επί των καθαρών συνολικών ετήσιων εισπράξεων του φόρου εισοδήματος φυσικών και νομικών προσώπων</w:t>
            </w:r>
          </w:p>
        </w:tc>
        <w:tc>
          <w:tcPr>
            <w:tcW w:w="1213" w:type="dxa"/>
            <w:tcBorders>
              <w:top w:val="nil"/>
              <w:left w:val="nil"/>
              <w:bottom w:val="nil"/>
              <w:right w:val="nil"/>
            </w:tcBorders>
            <w:shd w:val="clear" w:color="auto" w:fill="auto"/>
            <w:vAlign w:val="bottom"/>
          </w:tcPr>
          <w:p w:rsidR="008A0B65" w:rsidRPr="006509FE" w:rsidRDefault="008A0B65" w:rsidP="008A0B65">
            <w:pPr>
              <w:ind w:right="337"/>
              <w:jc w:val="right"/>
              <w:rPr>
                <w:rFonts w:ascii="Arial Narrow" w:hAnsi="Arial Narrow"/>
                <w:sz w:val="16"/>
                <w:szCs w:val="16"/>
              </w:rPr>
            </w:pPr>
            <w:r w:rsidRPr="006509FE">
              <w:rPr>
                <w:rFonts w:ascii="Arial Narrow" w:hAnsi="Arial Narrow"/>
                <w:sz w:val="16"/>
                <w:szCs w:val="16"/>
              </w:rPr>
              <w:t>450</w:t>
            </w:r>
          </w:p>
        </w:tc>
        <w:tc>
          <w:tcPr>
            <w:tcW w:w="1276" w:type="dxa"/>
            <w:tcBorders>
              <w:top w:val="nil"/>
              <w:left w:val="nil"/>
              <w:bottom w:val="nil"/>
              <w:right w:val="single" w:sz="4" w:space="0" w:color="auto"/>
            </w:tcBorders>
            <w:shd w:val="clear" w:color="auto" w:fill="auto"/>
            <w:vAlign w:val="bottom"/>
          </w:tcPr>
          <w:p w:rsidR="008A0B65" w:rsidRPr="006509FE" w:rsidRDefault="008A0B65" w:rsidP="008A0B65">
            <w:pPr>
              <w:ind w:right="337"/>
              <w:jc w:val="right"/>
              <w:rPr>
                <w:rFonts w:ascii="Arial Narrow" w:hAnsi="Arial Narrow"/>
                <w:sz w:val="16"/>
                <w:szCs w:val="16"/>
              </w:rPr>
            </w:pPr>
            <w:r w:rsidRPr="006509FE">
              <w:rPr>
                <w:rFonts w:ascii="Arial Narrow" w:hAnsi="Arial Narrow"/>
                <w:sz w:val="16"/>
                <w:szCs w:val="16"/>
              </w:rPr>
              <w:t>456</w:t>
            </w:r>
          </w:p>
        </w:tc>
      </w:tr>
      <w:tr w:rsidR="008A0B65" w:rsidRPr="006B2DB8" w:rsidTr="003F3709">
        <w:trPr>
          <w:cantSplit/>
          <w:trHeight w:val="227"/>
          <w:jc w:val="center"/>
        </w:trPr>
        <w:tc>
          <w:tcPr>
            <w:tcW w:w="6019" w:type="dxa"/>
            <w:tcBorders>
              <w:top w:val="nil"/>
              <w:left w:val="single" w:sz="4" w:space="0" w:color="auto"/>
              <w:bottom w:val="nil"/>
              <w:right w:val="nil"/>
            </w:tcBorders>
            <w:shd w:val="clear" w:color="auto" w:fill="auto"/>
            <w:vAlign w:val="center"/>
          </w:tcPr>
          <w:p w:rsidR="008A0B65" w:rsidRPr="00E263FF" w:rsidRDefault="008A0B65" w:rsidP="001A440D">
            <w:pPr>
              <w:tabs>
                <w:tab w:val="left" w:pos="258"/>
              </w:tabs>
              <w:spacing w:before="20" w:after="20"/>
              <w:ind w:left="477" w:hanging="477"/>
              <w:rPr>
                <w:rFonts w:ascii="Arial Narrow" w:hAnsi="Arial Narrow"/>
                <w:b/>
                <w:sz w:val="16"/>
                <w:szCs w:val="16"/>
              </w:rPr>
            </w:pPr>
            <w:r>
              <w:rPr>
                <w:rFonts w:ascii="Arial Narrow" w:hAnsi="Arial Narrow"/>
                <w:sz w:val="16"/>
                <w:szCs w:val="16"/>
              </w:rPr>
              <w:tab/>
            </w:r>
            <w:r>
              <w:rPr>
                <w:rFonts w:ascii="Arial Narrow" w:hAnsi="Arial Narrow"/>
                <w:b/>
                <w:sz w:val="16"/>
                <w:szCs w:val="16"/>
              </w:rPr>
              <w:t>ΙΙ.</w:t>
            </w:r>
            <w:r>
              <w:rPr>
                <w:rFonts w:ascii="Arial Narrow" w:hAnsi="Arial Narrow"/>
                <w:b/>
                <w:sz w:val="16"/>
                <w:szCs w:val="16"/>
              </w:rPr>
              <w:tab/>
              <w:t>Λοιπές επιχορηγήσεις σε ΟΤΑ β’ βαθμού</w:t>
            </w:r>
          </w:p>
        </w:tc>
        <w:tc>
          <w:tcPr>
            <w:tcW w:w="1213" w:type="dxa"/>
            <w:tcBorders>
              <w:top w:val="nil"/>
              <w:left w:val="nil"/>
              <w:bottom w:val="nil"/>
              <w:right w:val="nil"/>
            </w:tcBorders>
            <w:shd w:val="clear" w:color="auto" w:fill="auto"/>
            <w:vAlign w:val="bottom"/>
          </w:tcPr>
          <w:p w:rsidR="008A0B65" w:rsidRPr="001C6090" w:rsidRDefault="008A0B65" w:rsidP="008A0B65">
            <w:pPr>
              <w:ind w:right="337"/>
              <w:jc w:val="right"/>
              <w:rPr>
                <w:rFonts w:ascii="Arial Narrow" w:hAnsi="Arial Narrow"/>
                <w:b/>
                <w:sz w:val="16"/>
                <w:szCs w:val="16"/>
              </w:rPr>
            </w:pPr>
            <w:r w:rsidRPr="001C6090">
              <w:rPr>
                <w:rFonts w:ascii="Arial Narrow" w:hAnsi="Arial Narrow"/>
                <w:b/>
                <w:sz w:val="16"/>
                <w:szCs w:val="16"/>
              </w:rPr>
              <w:t>0</w:t>
            </w:r>
          </w:p>
        </w:tc>
        <w:tc>
          <w:tcPr>
            <w:tcW w:w="1276" w:type="dxa"/>
            <w:tcBorders>
              <w:top w:val="nil"/>
              <w:left w:val="nil"/>
              <w:bottom w:val="nil"/>
              <w:right w:val="single" w:sz="4" w:space="0" w:color="auto"/>
            </w:tcBorders>
            <w:shd w:val="clear" w:color="auto" w:fill="auto"/>
            <w:vAlign w:val="bottom"/>
          </w:tcPr>
          <w:p w:rsidR="008A0B65" w:rsidRPr="001C6090" w:rsidRDefault="008A0B65" w:rsidP="008A0B65">
            <w:pPr>
              <w:ind w:right="337"/>
              <w:jc w:val="right"/>
              <w:rPr>
                <w:rFonts w:ascii="Arial Narrow" w:hAnsi="Arial Narrow"/>
                <w:b/>
                <w:sz w:val="16"/>
                <w:szCs w:val="16"/>
              </w:rPr>
            </w:pPr>
            <w:r w:rsidRPr="001C6090">
              <w:rPr>
                <w:rFonts w:ascii="Arial Narrow" w:hAnsi="Arial Narrow"/>
                <w:b/>
                <w:sz w:val="16"/>
                <w:szCs w:val="16"/>
              </w:rPr>
              <w:t>0</w:t>
            </w:r>
          </w:p>
        </w:tc>
      </w:tr>
      <w:tr w:rsidR="008A0B65" w:rsidRPr="006B2DB8" w:rsidTr="003F3709">
        <w:trPr>
          <w:cantSplit/>
          <w:trHeight w:val="227"/>
          <w:jc w:val="center"/>
        </w:trPr>
        <w:tc>
          <w:tcPr>
            <w:tcW w:w="6019" w:type="dxa"/>
            <w:tcBorders>
              <w:top w:val="nil"/>
              <w:left w:val="single" w:sz="4" w:space="0" w:color="auto"/>
              <w:bottom w:val="nil"/>
              <w:right w:val="nil"/>
            </w:tcBorders>
            <w:shd w:val="clear" w:color="auto" w:fill="D9D9D9" w:themeFill="background1" w:themeFillShade="D9"/>
            <w:vAlign w:val="center"/>
          </w:tcPr>
          <w:p w:rsidR="008A0B65" w:rsidRPr="006B2DB8" w:rsidRDefault="008A0B65" w:rsidP="001A440D">
            <w:pPr>
              <w:spacing w:before="20" w:after="20"/>
              <w:ind w:left="258" w:hanging="258"/>
              <w:rPr>
                <w:rFonts w:ascii="Arial Narrow" w:hAnsi="Arial Narrow"/>
                <w:b/>
                <w:sz w:val="16"/>
                <w:szCs w:val="16"/>
              </w:rPr>
            </w:pPr>
            <w:r>
              <w:rPr>
                <w:rFonts w:ascii="Arial Narrow" w:hAnsi="Arial Narrow"/>
                <w:b/>
                <w:sz w:val="16"/>
                <w:szCs w:val="16"/>
              </w:rPr>
              <w:t>Γ.</w:t>
            </w:r>
            <w:r>
              <w:rPr>
                <w:rFonts w:ascii="Arial Narrow" w:hAnsi="Arial Narrow"/>
                <w:b/>
                <w:sz w:val="16"/>
                <w:szCs w:val="16"/>
              </w:rPr>
              <w:tab/>
              <w:t xml:space="preserve">ΚΑΠ </w:t>
            </w:r>
            <w:r>
              <w:rPr>
                <w:rFonts w:ascii="Arial Narrow" w:hAnsi="Arial Narrow"/>
                <w:b/>
                <w:sz w:val="16"/>
                <w:szCs w:val="16"/>
                <w:lang w:val="en-US"/>
              </w:rPr>
              <w:t>OTA</w:t>
            </w:r>
            <w:r w:rsidRPr="008B486A">
              <w:rPr>
                <w:rFonts w:ascii="Arial Narrow" w:hAnsi="Arial Narrow"/>
                <w:b/>
                <w:sz w:val="16"/>
                <w:szCs w:val="16"/>
              </w:rPr>
              <w:t xml:space="preserve"> </w:t>
            </w:r>
            <w:r>
              <w:rPr>
                <w:rFonts w:ascii="Arial Narrow" w:hAnsi="Arial Narrow"/>
                <w:b/>
                <w:sz w:val="16"/>
                <w:szCs w:val="16"/>
              </w:rPr>
              <w:t>α’ και β’ βαθμού (Α.Ι + Β.Ι)</w:t>
            </w:r>
          </w:p>
        </w:tc>
        <w:tc>
          <w:tcPr>
            <w:tcW w:w="1213" w:type="dxa"/>
            <w:tcBorders>
              <w:top w:val="nil"/>
              <w:left w:val="nil"/>
              <w:bottom w:val="nil"/>
              <w:right w:val="nil"/>
            </w:tcBorders>
            <w:shd w:val="clear" w:color="auto" w:fill="D9D9D9" w:themeFill="background1" w:themeFillShade="D9"/>
            <w:vAlign w:val="bottom"/>
          </w:tcPr>
          <w:p w:rsidR="008A0B65" w:rsidRPr="006509FE" w:rsidRDefault="008A0B65" w:rsidP="008A0B65">
            <w:pPr>
              <w:ind w:right="337"/>
              <w:jc w:val="right"/>
              <w:rPr>
                <w:rFonts w:ascii="Arial Narrow" w:hAnsi="Arial Narrow"/>
                <w:b/>
                <w:bCs/>
                <w:sz w:val="16"/>
                <w:szCs w:val="16"/>
              </w:rPr>
            </w:pPr>
            <w:r w:rsidRPr="006509FE">
              <w:rPr>
                <w:rFonts w:ascii="Arial Narrow" w:hAnsi="Arial Narrow"/>
                <w:b/>
                <w:bCs/>
                <w:sz w:val="16"/>
                <w:szCs w:val="16"/>
              </w:rPr>
              <w:t>2.509</w:t>
            </w:r>
          </w:p>
        </w:tc>
        <w:tc>
          <w:tcPr>
            <w:tcW w:w="1276" w:type="dxa"/>
            <w:tcBorders>
              <w:top w:val="nil"/>
              <w:left w:val="nil"/>
              <w:bottom w:val="nil"/>
              <w:right w:val="single" w:sz="4" w:space="0" w:color="auto"/>
            </w:tcBorders>
            <w:shd w:val="clear" w:color="auto" w:fill="D9D9D9" w:themeFill="background1" w:themeFillShade="D9"/>
            <w:vAlign w:val="bottom"/>
          </w:tcPr>
          <w:p w:rsidR="008A0B65" w:rsidRPr="006509FE" w:rsidRDefault="008A0B65" w:rsidP="008A0B65">
            <w:pPr>
              <w:ind w:right="337"/>
              <w:jc w:val="right"/>
              <w:rPr>
                <w:rFonts w:ascii="Arial Narrow" w:hAnsi="Arial Narrow"/>
                <w:b/>
                <w:bCs/>
                <w:sz w:val="16"/>
                <w:szCs w:val="16"/>
              </w:rPr>
            </w:pPr>
            <w:r w:rsidRPr="006509FE">
              <w:rPr>
                <w:rFonts w:ascii="Arial Narrow" w:hAnsi="Arial Narrow"/>
                <w:b/>
                <w:bCs/>
                <w:sz w:val="16"/>
                <w:szCs w:val="16"/>
              </w:rPr>
              <w:t>2.560</w:t>
            </w:r>
          </w:p>
        </w:tc>
      </w:tr>
      <w:tr w:rsidR="008A0B65" w:rsidRPr="006B2DB8" w:rsidTr="003F3709">
        <w:trPr>
          <w:cantSplit/>
          <w:trHeight w:val="227"/>
          <w:jc w:val="center"/>
        </w:trPr>
        <w:tc>
          <w:tcPr>
            <w:tcW w:w="6019" w:type="dxa"/>
            <w:tcBorders>
              <w:top w:val="nil"/>
              <w:left w:val="single" w:sz="4" w:space="0" w:color="auto"/>
              <w:bottom w:val="nil"/>
              <w:right w:val="nil"/>
            </w:tcBorders>
            <w:shd w:val="clear" w:color="auto" w:fill="auto"/>
            <w:vAlign w:val="center"/>
          </w:tcPr>
          <w:p w:rsidR="008A0B65" w:rsidRDefault="008A0B65" w:rsidP="001A440D">
            <w:pPr>
              <w:spacing w:before="20" w:after="20"/>
              <w:ind w:left="258" w:hanging="258"/>
              <w:rPr>
                <w:rFonts w:ascii="Arial Narrow" w:hAnsi="Arial Narrow"/>
                <w:b/>
                <w:sz w:val="16"/>
                <w:szCs w:val="16"/>
              </w:rPr>
            </w:pPr>
          </w:p>
        </w:tc>
        <w:tc>
          <w:tcPr>
            <w:tcW w:w="1213" w:type="dxa"/>
            <w:tcBorders>
              <w:top w:val="nil"/>
              <w:left w:val="nil"/>
              <w:bottom w:val="nil"/>
              <w:right w:val="nil"/>
            </w:tcBorders>
            <w:shd w:val="clear" w:color="auto" w:fill="auto"/>
            <w:vAlign w:val="center"/>
          </w:tcPr>
          <w:p w:rsidR="008A0B65" w:rsidRPr="006509FE" w:rsidRDefault="008A0B65" w:rsidP="008A0B65">
            <w:pPr>
              <w:ind w:right="337"/>
              <w:jc w:val="right"/>
              <w:rPr>
                <w:rFonts w:ascii="Arial Narrow" w:hAnsi="Arial Narrow"/>
                <w:b/>
                <w:bCs/>
                <w:sz w:val="16"/>
                <w:szCs w:val="16"/>
              </w:rPr>
            </w:pPr>
          </w:p>
        </w:tc>
        <w:tc>
          <w:tcPr>
            <w:tcW w:w="1276" w:type="dxa"/>
            <w:tcBorders>
              <w:top w:val="nil"/>
              <w:left w:val="nil"/>
              <w:bottom w:val="nil"/>
              <w:right w:val="single" w:sz="4" w:space="0" w:color="auto"/>
            </w:tcBorders>
            <w:shd w:val="clear" w:color="auto" w:fill="auto"/>
            <w:vAlign w:val="center"/>
          </w:tcPr>
          <w:p w:rsidR="008A0B65" w:rsidRPr="006509FE" w:rsidRDefault="008A0B65" w:rsidP="008A0B65">
            <w:pPr>
              <w:ind w:right="337"/>
              <w:jc w:val="right"/>
              <w:rPr>
                <w:rFonts w:ascii="Arial Narrow" w:hAnsi="Arial Narrow"/>
                <w:b/>
                <w:bCs/>
                <w:sz w:val="16"/>
                <w:szCs w:val="16"/>
              </w:rPr>
            </w:pPr>
          </w:p>
        </w:tc>
      </w:tr>
      <w:tr w:rsidR="008A0B65" w:rsidRPr="006B2DB8" w:rsidTr="003F3709">
        <w:trPr>
          <w:cantSplit/>
          <w:trHeight w:val="227"/>
          <w:jc w:val="center"/>
        </w:trPr>
        <w:tc>
          <w:tcPr>
            <w:tcW w:w="6019" w:type="dxa"/>
            <w:tcBorders>
              <w:top w:val="nil"/>
              <w:left w:val="single" w:sz="4" w:space="0" w:color="auto"/>
              <w:bottom w:val="single" w:sz="4" w:space="0" w:color="auto"/>
              <w:right w:val="nil"/>
            </w:tcBorders>
            <w:shd w:val="clear" w:color="auto" w:fill="D9D9D9" w:themeFill="background1" w:themeFillShade="D9"/>
            <w:vAlign w:val="center"/>
          </w:tcPr>
          <w:p w:rsidR="008A0B65" w:rsidRPr="006B2DB8" w:rsidRDefault="008A0B65" w:rsidP="001A440D">
            <w:pPr>
              <w:spacing w:before="20" w:after="20"/>
              <w:ind w:left="258" w:hanging="258"/>
              <w:rPr>
                <w:rFonts w:ascii="Arial Narrow" w:hAnsi="Arial Narrow"/>
                <w:b/>
                <w:sz w:val="16"/>
                <w:szCs w:val="16"/>
              </w:rPr>
            </w:pPr>
            <w:r>
              <w:rPr>
                <w:rFonts w:ascii="Arial Narrow" w:hAnsi="Arial Narrow"/>
                <w:b/>
                <w:sz w:val="16"/>
                <w:szCs w:val="16"/>
              </w:rPr>
              <w:t>Δ.</w:t>
            </w:r>
            <w:r>
              <w:rPr>
                <w:rFonts w:ascii="Arial Narrow" w:hAnsi="Arial Narrow"/>
                <w:b/>
                <w:sz w:val="16"/>
                <w:szCs w:val="16"/>
              </w:rPr>
              <w:tab/>
              <w:t>Σύνολο μεταβιβάσεων από τον Τακτικό Προϋπολογισμό του Υπ. Εσωτερικών (Α + Β)</w:t>
            </w:r>
          </w:p>
        </w:tc>
        <w:tc>
          <w:tcPr>
            <w:tcW w:w="1213" w:type="dxa"/>
            <w:tcBorders>
              <w:top w:val="nil"/>
              <w:left w:val="nil"/>
              <w:bottom w:val="single" w:sz="4" w:space="0" w:color="auto"/>
              <w:right w:val="nil"/>
            </w:tcBorders>
            <w:shd w:val="clear" w:color="auto" w:fill="D9D9D9" w:themeFill="background1" w:themeFillShade="D9"/>
            <w:vAlign w:val="bottom"/>
          </w:tcPr>
          <w:p w:rsidR="008A0B65" w:rsidRPr="006509FE" w:rsidRDefault="008A0B65" w:rsidP="008A0B65">
            <w:pPr>
              <w:ind w:right="337"/>
              <w:jc w:val="right"/>
              <w:rPr>
                <w:rFonts w:ascii="Arial Narrow" w:hAnsi="Arial Narrow"/>
                <w:b/>
                <w:bCs/>
                <w:sz w:val="16"/>
                <w:szCs w:val="16"/>
              </w:rPr>
            </w:pPr>
            <w:r w:rsidRPr="006509FE">
              <w:rPr>
                <w:rFonts w:ascii="Arial Narrow" w:hAnsi="Arial Narrow"/>
                <w:b/>
                <w:bCs/>
                <w:sz w:val="16"/>
                <w:szCs w:val="16"/>
              </w:rPr>
              <w:t>2.942</w:t>
            </w:r>
          </w:p>
        </w:tc>
        <w:tc>
          <w:tcPr>
            <w:tcW w:w="1276" w:type="dxa"/>
            <w:tcBorders>
              <w:top w:val="nil"/>
              <w:left w:val="nil"/>
              <w:bottom w:val="single" w:sz="4" w:space="0" w:color="auto"/>
              <w:right w:val="single" w:sz="4" w:space="0" w:color="auto"/>
            </w:tcBorders>
            <w:shd w:val="clear" w:color="auto" w:fill="D9D9D9" w:themeFill="background1" w:themeFillShade="D9"/>
            <w:vAlign w:val="bottom"/>
          </w:tcPr>
          <w:p w:rsidR="008A0B65" w:rsidRPr="006509FE" w:rsidRDefault="008A0B65" w:rsidP="008A0B65">
            <w:pPr>
              <w:ind w:right="337"/>
              <w:jc w:val="right"/>
              <w:rPr>
                <w:rFonts w:ascii="Arial Narrow" w:hAnsi="Arial Narrow"/>
                <w:b/>
                <w:bCs/>
                <w:sz w:val="16"/>
                <w:szCs w:val="16"/>
              </w:rPr>
            </w:pPr>
            <w:r w:rsidRPr="006509FE">
              <w:rPr>
                <w:rFonts w:ascii="Arial Narrow" w:hAnsi="Arial Narrow"/>
                <w:b/>
                <w:bCs/>
                <w:sz w:val="16"/>
                <w:szCs w:val="16"/>
              </w:rPr>
              <w:t>2.722</w:t>
            </w:r>
          </w:p>
        </w:tc>
      </w:tr>
    </w:tbl>
    <w:p w:rsidR="00871C93" w:rsidRDefault="00871C93" w:rsidP="00853402">
      <w:pPr>
        <w:ind w:right="-1"/>
        <w:rPr>
          <w:sz w:val="22"/>
          <w:szCs w:val="22"/>
          <w:highlight w:val="lightGray"/>
        </w:rPr>
      </w:pPr>
    </w:p>
    <w:p w:rsidR="00041EE7" w:rsidRPr="00041EE7" w:rsidRDefault="00041EE7" w:rsidP="00041EE7">
      <w:pPr>
        <w:jc w:val="both"/>
        <w:rPr>
          <w:bCs/>
          <w:sz w:val="22"/>
          <w:szCs w:val="22"/>
        </w:rPr>
      </w:pPr>
      <w:r w:rsidRPr="00041EE7">
        <w:rPr>
          <w:sz w:val="22"/>
          <w:szCs w:val="22"/>
        </w:rPr>
        <w:t xml:space="preserve">Επισημαίνεται ότι ο προϋπολογισμός του Υπουργείου Εσωτερικών για το 2020 ενισχύθηκε εκτός των άλλων και για δαπάνες </w:t>
      </w:r>
      <w:r w:rsidR="00835FD7">
        <w:rPr>
          <w:sz w:val="22"/>
          <w:szCs w:val="22"/>
        </w:rPr>
        <w:t xml:space="preserve">λόγω </w:t>
      </w:r>
      <w:r w:rsidRPr="00041EE7">
        <w:rPr>
          <w:sz w:val="22"/>
          <w:szCs w:val="22"/>
          <w:lang w:val="en-US"/>
        </w:rPr>
        <w:t>Covid</w:t>
      </w:r>
      <w:r w:rsidRPr="00041EE7">
        <w:rPr>
          <w:sz w:val="22"/>
          <w:szCs w:val="22"/>
        </w:rPr>
        <w:t xml:space="preserve">-19 με ποσό ύψους </w:t>
      </w:r>
      <w:r w:rsidR="00EF6898" w:rsidRPr="00041EE7">
        <w:rPr>
          <w:sz w:val="22"/>
          <w:szCs w:val="22"/>
        </w:rPr>
        <w:t>1</w:t>
      </w:r>
      <w:r w:rsidR="00EF6898">
        <w:rPr>
          <w:sz w:val="22"/>
          <w:szCs w:val="22"/>
        </w:rPr>
        <w:t>71</w:t>
      </w:r>
      <w:r w:rsidR="00EF6898" w:rsidRPr="00041EE7">
        <w:rPr>
          <w:sz w:val="22"/>
          <w:szCs w:val="22"/>
        </w:rPr>
        <w:t xml:space="preserve"> </w:t>
      </w:r>
      <w:r w:rsidRPr="00041EE7">
        <w:rPr>
          <w:sz w:val="22"/>
          <w:szCs w:val="22"/>
        </w:rPr>
        <w:t>εκατ. ευρώ</w:t>
      </w:r>
      <w:r w:rsidR="00286D95">
        <w:rPr>
          <w:sz w:val="22"/>
          <w:szCs w:val="22"/>
        </w:rPr>
        <w:t xml:space="preserve"> (εκ των οποίων 60 εκατ. περ</w:t>
      </w:r>
      <w:r w:rsidR="00286D95">
        <w:rPr>
          <w:sz w:val="22"/>
          <w:szCs w:val="22"/>
        </w:rPr>
        <w:t>ι</w:t>
      </w:r>
      <w:r w:rsidR="00286D95">
        <w:rPr>
          <w:sz w:val="22"/>
          <w:szCs w:val="22"/>
        </w:rPr>
        <w:t>λαμβάνονται στις Γενικές Κρατικές Δαπάνες)</w:t>
      </w:r>
      <w:r w:rsidRPr="00041EE7">
        <w:rPr>
          <w:sz w:val="22"/>
          <w:szCs w:val="22"/>
        </w:rPr>
        <w:t>, προκειμένου να επιχορηγηθούν οι ΟΤΑ α’ βαθμού για την προμήθεια υγειονομικού και φαρμακευτικού υλικού, για τη λήψη μέτρων διαφύλαξης της δημ</w:t>
      </w:r>
      <w:r w:rsidRPr="00041EE7">
        <w:rPr>
          <w:sz w:val="22"/>
          <w:szCs w:val="22"/>
        </w:rPr>
        <w:t>ό</w:t>
      </w:r>
      <w:r w:rsidRPr="00041EE7">
        <w:rPr>
          <w:sz w:val="22"/>
          <w:szCs w:val="22"/>
        </w:rPr>
        <w:t>σιας υγείας εντός και πέριξ των καταυλισμών των Ρ</w:t>
      </w:r>
      <w:r>
        <w:rPr>
          <w:sz w:val="22"/>
          <w:szCs w:val="22"/>
        </w:rPr>
        <w:t>ομά</w:t>
      </w:r>
      <w:r w:rsidRPr="00041EE7">
        <w:rPr>
          <w:sz w:val="22"/>
          <w:szCs w:val="22"/>
        </w:rPr>
        <w:t>, για την υλοποίηση επισιτιστικών προγρα</w:t>
      </w:r>
      <w:r w:rsidRPr="00041EE7">
        <w:rPr>
          <w:sz w:val="22"/>
          <w:szCs w:val="22"/>
        </w:rPr>
        <w:t>μ</w:t>
      </w:r>
      <w:r w:rsidRPr="00041EE7">
        <w:rPr>
          <w:sz w:val="22"/>
          <w:szCs w:val="22"/>
        </w:rPr>
        <w:t>μάτων, για την απώλεια εσόδων τους λόγω της πανδημίας</w:t>
      </w:r>
      <w:r w:rsidR="005B507B">
        <w:rPr>
          <w:sz w:val="22"/>
          <w:szCs w:val="22"/>
        </w:rPr>
        <w:t>,</w:t>
      </w:r>
      <w:r w:rsidRPr="00041EE7">
        <w:rPr>
          <w:sz w:val="22"/>
          <w:szCs w:val="22"/>
        </w:rPr>
        <w:t xml:space="preserve"> καθώς και </w:t>
      </w:r>
      <w:r w:rsidRPr="00041EE7">
        <w:rPr>
          <w:bCs/>
          <w:sz w:val="22"/>
          <w:szCs w:val="22"/>
        </w:rPr>
        <w:t>για την κάλυψη των εργοδοτ</w:t>
      </w:r>
      <w:r w:rsidRPr="00041EE7">
        <w:rPr>
          <w:bCs/>
          <w:sz w:val="22"/>
          <w:szCs w:val="22"/>
        </w:rPr>
        <w:t>ι</w:t>
      </w:r>
      <w:r w:rsidRPr="00041EE7">
        <w:rPr>
          <w:bCs/>
          <w:sz w:val="22"/>
          <w:szCs w:val="22"/>
        </w:rPr>
        <w:t>κών εισφορών τ</w:t>
      </w:r>
      <w:r w:rsidR="007B544A">
        <w:rPr>
          <w:bCs/>
          <w:sz w:val="22"/>
          <w:szCs w:val="22"/>
        </w:rPr>
        <w:t>ου αυξημένου αριθμού</w:t>
      </w:r>
      <w:r w:rsidRPr="00041EE7">
        <w:rPr>
          <w:bCs/>
          <w:sz w:val="22"/>
          <w:szCs w:val="22"/>
        </w:rPr>
        <w:t xml:space="preserve"> σχολικών καθαριστριών λόγω μετατροπής της σχέσης εργασ</w:t>
      </w:r>
      <w:r w:rsidRPr="00041EE7">
        <w:rPr>
          <w:bCs/>
          <w:sz w:val="22"/>
          <w:szCs w:val="22"/>
        </w:rPr>
        <w:t>ί</w:t>
      </w:r>
      <w:r w:rsidRPr="00041EE7">
        <w:rPr>
          <w:bCs/>
          <w:sz w:val="22"/>
          <w:szCs w:val="22"/>
        </w:rPr>
        <w:t>ας σε ΙΔΟΧ από το Σεπτέμβριο του 2020.</w:t>
      </w:r>
    </w:p>
    <w:p w:rsidR="00802CEB" w:rsidRDefault="00802CEB" w:rsidP="00041EE7">
      <w:pPr>
        <w:jc w:val="both"/>
        <w:rPr>
          <w:sz w:val="22"/>
          <w:szCs w:val="22"/>
        </w:rPr>
      </w:pPr>
    </w:p>
    <w:p w:rsidR="00041EE7" w:rsidRDefault="00041EE7" w:rsidP="00041EE7">
      <w:pPr>
        <w:jc w:val="both"/>
        <w:rPr>
          <w:sz w:val="22"/>
          <w:szCs w:val="22"/>
        </w:rPr>
      </w:pPr>
      <w:r w:rsidRPr="00041EE7">
        <w:rPr>
          <w:sz w:val="22"/>
          <w:szCs w:val="22"/>
        </w:rPr>
        <w:lastRenderedPageBreak/>
        <w:t>Σημαντικά κονδύλια θα διατεθούν από το ΠΔΕ για τη χρηματοδότηση δράσεων για την τοπική αυτ</w:t>
      </w:r>
      <w:r w:rsidRPr="00041EE7">
        <w:rPr>
          <w:sz w:val="22"/>
          <w:szCs w:val="22"/>
        </w:rPr>
        <w:t>ο</w:t>
      </w:r>
      <w:r w:rsidRPr="00041EE7">
        <w:rPr>
          <w:sz w:val="22"/>
          <w:szCs w:val="22"/>
        </w:rPr>
        <w:t>διοίκηση και τον εκσυγχρονισμό και τη βελτίωση της λειτουργίας της Δημόσιας Διοίκησης.</w:t>
      </w:r>
    </w:p>
    <w:p w:rsidR="00041EE7" w:rsidRPr="00041EE7" w:rsidRDefault="00041EE7" w:rsidP="00041EE7">
      <w:pPr>
        <w:jc w:val="both"/>
        <w:rPr>
          <w:sz w:val="22"/>
          <w:szCs w:val="22"/>
        </w:rPr>
      </w:pPr>
    </w:p>
    <w:p w:rsidR="00041EE7" w:rsidRPr="00041EE7" w:rsidRDefault="00041EE7" w:rsidP="00041EE7">
      <w:pPr>
        <w:jc w:val="both"/>
        <w:rPr>
          <w:sz w:val="22"/>
          <w:szCs w:val="22"/>
        </w:rPr>
      </w:pPr>
      <w:r w:rsidRPr="00041EE7">
        <w:rPr>
          <w:sz w:val="22"/>
          <w:szCs w:val="22"/>
        </w:rPr>
        <w:t>Στο πλαίσιο αυτό χρηματοδοτούνται δράσεις για την τοπική αυτοδιοίκηση και τις κοινωνικές της υπ</w:t>
      </w:r>
      <w:r w:rsidRPr="00041EE7">
        <w:rPr>
          <w:sz w:val="22"/>
          <w:szCs w:val="22"/>
        </w:rPr>
        <w:t>ο</w:t>
      </w:r>
      <w:r w:rsidRPr="00041EE7">
        <w:rPr>
          <w:sz w:val="22"/>
          <w:szCs w:val="22"/>
        </w:rPr>
        <w:t>δομές (π.χ. Πρόγραμμα Φιλόδημος Ι και ΙΙ, κ.α), την πρόληψη και αντιμετώπιση ζημιών/</w:t>
      </w:r>
      <w:r>
        <w:rPr>
          <w:sz w:val="22"/>
          <w:szCs w:val="22"/>
        </w:rPr>
        <w:t xml:space="preserve"> </w:t>
      </w:r>
      <w:r w:rsidRPr="00041EE7">
        <w:rPr>
          <w:sz w:val="22"/>
          <w:szCs w:val="22"/>
        </w:rPr>
        <w:t>καταστρ</w:t>
      </w:r>
      <w:r w:rsidRPr="00041EE7">
        <w:rPr>
          <w:sz w:val="22"/>
          <w:szCs w:val="22"/>
        </w:rPr>
        <w:t>ο</w:t>
      </w:r>
      <w:r w:rsidRPr="00041EE7">
        <w:rPr>
          <w:sz w:val="22"/>
          <w:szCs w:val="22"/>
        </w:rPr>
        <w:t>φών που προκαλούνται από θεομηνίες στους ΟΤΑ, τη βελτίωση της παραγωγικότητας και ποιότητας των δημ</w:t>
      </w:r>
      <w:r>
        <w:rPr>
          <w:sz w:val="22"/>
          <w:szCs w:val="22"/>
        </w:rPr>
        <w:t>όσιων</w:t>
      </w:r>
      <w:r w:rsidRPr="00041EE7">
        <w:rPr>
          <w:sz w:val="22"/>
          <w:szCs w:val="22"/>
        </w:rPr>
        <w:t xml:space="preserve"> υπηρεσιών, την άρση διοικητικών εμποδίων, τη διοικητική διαφάνεια και τη</w:t>
      </w:r>
      <w:r>
        <w:rPr>
          <w:sz w:val="22"/>
          <w:szCs w:val="22"/>
        </w:rPr>
        <w:t>ν</w:t>
      </w:r>
      <w:r w:rsidRPr="00041EE7">
        <w:rPr>
          <w:sz w:val="22"/>
          <w:szCs w:val="22"/>
        </w:rPr>
        <w:t xml:space="preserve"> καταπ</w:t>
      </w:r>
      <w:r w:rsidRPr="00041EE7">
        <w:rPr>
          <w:sz w:val="22"/>
          <w:szCs w:val="22"/>
        </w:rPr>
        <w:t>ο</w:t>
      </w:r>
      <w:r w:rsidRPr="00041EE7">
        <w:rPr>
          <w:sz w:val="22"/>
          <w:szCs w:val="22"/>
        </w:rPr>
        <w:t>λέμηση της διαφθοράς, την ενίσχυση της δ</w:t>
      </w:r>
      <w:r>
        <w:rPr>
          <w:sz w:val="22"/>
          <w:szCs w:val="22"/>
        </w:rPr>
        <w:t>ιαπεριφερειακής συνεργασίας, τη</w:t>
      </w:r>
      <w:r w:rsidRPr="00041EE7">
        <w:rPr>
          <w:sz w:val="22"/>
          <w:szCs w:val="22"/>
        </w:rPr>
        <w:t xml:space="preserve"> μετατροπή των Κέντρων Εξυπηρέτησης Πολιτών (ΚΕΠ) σε κέντρα ολοκληρωμένων συναλλαγών κ.α.</w:t>
      </w:r>
    </w:p>
    <w:p w:rsidR="00041EE7" w:rsidRPr="00041EE7" w:rsidRDefault="00041EE7" w:rsidP="00041EE7">
      <w:pPr>
        <w:jc w:val="both"/>
        <w:rPr>
          <w:sz w:val="22"/>
          <w:szCs w:val="22"/>
        </w:rPr>
      </w:pPr>
      <w:r w:rsidRPr="00041EE7">
        <w:rPr>
          <w:sz w:val="22"/>
          <w:szCs w:val="22"/>
        </w:rPr>
        <w:t>Το σύνολο των δαπανών του Υπουργείου στο ΠΔΕ έτους 2021 προβλέπεται στα 172 εκατ. ευρώ.</w:t>
      </w:r>
    </w:p>
    <w:p w:rsidR="00041EE7" w:rsidRPr="00041EE7" w:rsidRDefault="00041EE7" w:rsidP="00041EE7">
      <w:pPr>
        <w:jc w:val="both"/>
        <w:rPr>
          <w:sz w:val="22"/>
          <w:szCs w:val="22"/>
        </w:rPr>
      </w:pPr>
    </w:p>
    <w:p w:rsidR="00041EE7" w:rsidRPr="00041EE7" w:rsidRDefault="00041EE7" w:rsidP="00041EE7">
      <w:pPr>
        <w:tabs>
          <w:tab w:val="left" w:pos="3720"/>
        </w:tabs>
        <w:rPr>
          <w:rFonts w:ascii="Arial Narrow" w:hAnsi="Arial Narrow"/>
          <w:b/>
          <w:i/>
          <w:sz w:val="22"/>
          <w:szCs w:val="22"/>
        </w:rPr>
      </w:pPr>
      <w:r w:rsidRPr="00041EE7">
        <w:rPr>
          <w:rFonts w:ascii="Arial Narrow" w:hAnsi="Arial Narrow"/>
          <w:b/>
          <w:i/>
          <w:sz w:val="22"/>
          <w:szCs w:val="22"/>
        </w:rPr>
        <w:t>Υπουργείο Εξωτερικών</w:t>
      </w:r>
    </w:p>
    <w:p w:rsidR="00041EE7" w:rsidRPr="00041EE7" w:rsidRDefault="00041EE7" w:rsidP="00041EE7">
      <w:pPr>
        <w:jc w:val="both"/>
        <w:rPr>
          <w:b/>
          <w:sz w:val="22"/>
          <w:szCs w:val="22"/>
        </w:rPr>
      </w:pPr>
    </w:p>
    <w:p w:rsidR="00041EE7" w:rsidRDefault="00041EE7" w:rsidP="00041EE7">
      <w:pPr>
        <w:jc w:val="both"/>
        <w:rPr>
          <w:sz w:val="22"/>
          <w:szCs w:val="22"/>
        </w:rPr>
      </w:pPr>
      <w:r w:rsidRPr="00041EE7">
        <w:rPr>
          <w:sz w:val="22"/>
          <w:szCs w:val="22"/>
        </w:rPr>
        <w:t>Οι πιστώσεις του τακτικού προϋπολογισμού του Υπουργείου Εξωτερικών θα καλύψουν κυρίως δαπ</w:t>
      </w:r>
      <w:r w:rsidRPr="00041EE7">
        <w:rPr>
          <w:sz w:val="22"/>
          <w:szCs w:val="22"/>
        </w:rPr>
        <w:t>ά</w:t>
      </w:r>
      <w:r w:rsidRPr="00041EE7">
        <w:rPr>
          <w:sz w:val="22"/>
          <w:szCs w:val="22"/>
        </w:rPr>
        <w:t>νες για:</w:t>
      </w:r>
    </w:p>
    <w:p w:rsidR="00041EE7" w:rsidRPr="00041EE7" w:rsidRDefault="00041EE7" w:rsidP="00041EE7">
      <w:pPr>
        <w:jc w:val="both"/>
        <w:rPr>
          <w:sz w:val="22"/>
          <w:szCs w:val="22"/>
        </w:rPr>
      </w:pPr>
    </w:p>
    <w:p w:rsidR="00041EE7" w:rsidRPr="00041EE7" w:rsidRDefault="00041EE7" w:rsidP="00041EE7">
      <w:pPr>
        <w:numPr>
          <w:ilvl w:val="0"/>
          <w:numId w:val="31"/>
        </w:numPr>
        <w:ind w:left="284" w:hanging="284"/>
        <w:jc w:val="both"/>
        <w:rPr>
          <w:sz w:val="22"/>
          <w:szCs w:val="22"/>
        </w:rPr>
      </w:pPr>
      <w:r w:rsidRPr="00041EE7">
        <w:rPr>
          <w:sz w:val="22"/>
          <w:szCs w:val="22"/>
        </w:rPr>
        <w:t>εισφορές και άλλες υποχρεώσεις οι οποίες προκύπτουν από τη συμμετοχή της χώρας σε Διεθνείς Οργανισμούς, λειτουργικές δαπάνες, της Υπηρεσιακής Γενικής Γραμματείας, της Γενικής Γραμμ</w:t>
      </w:r>
      <w:r w:rsidRPr="00041EE7">
        <w:rPr>
          <w:sz w:val="22"/>
          <w:szCs w:val="22"/>
        </w:rPr>
        <w:t>α</w:t>
      </w:r>
      <w:r w:rsidRPr="00041EE7">
        <w:rPr>
          <w:sz w:val="22"/>
          <w:szCs w:val="22"/>
        </w:rPr>
        <w:t>τείας Διεθνών Οικονομικών Σχέσεων και Εξωστρέφειας, της Γενικής Γραμματείας Δημόσιας Δ</w:t>
      </w:r>
      <w:r w:rsidRPr="00041EE7">
        <w:rPr>
          <w:sz w:val="22"/>
          <w:szCs w:val="22"/>
        </w:rPr>
        <w:t>ι</w:t>
      </w:r>
      <w:r w:rsidRPr="00041EE7">
        <w:rPr>
          <w:sz w:val="22"/>
          <w:szCs w:val="22"/>
        </w:rPr>
        <w:t>πλωματίας και Αποδήμου Ελληνισμού, καθώς και των Αρχών Εξωτερικής Υπηρεσίας, και</w:t>
      </w:r>
    </w:p>
    <w:p w:rsidR="00041EE7" w:rsidRPr="00041EE7" w:rsidRDefault="00041EE7" w:rsidP="00041EE7">
      <w:pPr>
        <w:numPr>
          <w:ilvl w:val="0"/>
          <w:numId w:val="31"/>
        </w:numPr>
        <w:ind w:left="284" w:hanging="284"/>
        <w:jc w:val="both"/>
        <w:rPr>
          <w:sz w:val="22"/>
          <w:szCs w:val="22"/>
        </w:rPr>
      </w:pPr>
      <w:r w:rsidRPr="00041EE7">
        <w:rPr>
          <w:sz w:val="22"/>
          <w:szCs w:val="22"/>
        </w:rPr>
        <w:t>δράσεις στον τομέα παροχής διμερούς αναπτυξιακής βοήθειας σε τρίτες χώρες</w:t>
      </w:r>
      <w:r w:rsidR="005B507B">
        <w:rPr>
          <w:sz w:val="22"/>
          <w:szCs w:val="22"/>
        </w:rPr>
        <w:t>.</w:t>
      </w:r>
    </w:p>
    <w:p w:rsidR="00041EE7" w:rsidRDefault="00041EE7" w:rsidP="00041EE7">
      <w:pPr>
        <w:jc w:val="both"/>
        <w:rPr>
          <w:sz w:val="22"/>
          <w:szCs w:val="22"/>
        </w:rPr>
      </w:pPr>
    </w:p>
    <w:p w:rsidR="00041EE7" w:rsidRPr="00041EE7" w:rsidRDefault="00041EE7" w:rsidP="00041EE7">
      <w:pPr>
        <w:jc w:val="both"/>
        <w:rPr>
          <w:sz w:val="22"/>
          <w:szCs w:val="22"/>
        </w:rPr>
      </w:pPr>
      <w:r w:rsidRPr="00041EE7">
        <w:rPr>
          <w:sz w:val="22"/>
          <w:szCs w:val="22"/>
        </w:rPr>
        <w:t>Μέσω του προϋπολογισμού δημοσίων επενδύσεων του φορέα χρηματοδοτούνται κυρίως οριζόντιες δράσεις για το</w:t>
      </w:r>
      <w:r w:rsidR="005B507B">
        <w:rPr>
          <w:sz w:val="22"/>
          <w:szCs w:val="22"/>
        </w:rPr>
        <w:t>ν</w:t>
      </w:r>
      <w:r w:rsidRPr="00041EE7">
        <w:rPr>
          <w:sz w:val="22"/>
          <w:szCs w:val="22"/>
        </w:rPr>
        <w:t xml:space="preserve"> διοικητικό εκσυγχρονισμό των οικείων υπηρεσιών, την ενίσχυση της εξαγωγικής επ</w:t>
      </w:r>
      <w:r w:rsidRPr="00041EE7">
        <w:rPr>
          <w:sz w:val="22"/>
          <w:szCs w:val="22"/>
        </w:rPr>
        <w:t>ι</w:t>
      </w:r>
      <w:r w:rsidRPr="00041EE7">
        <w:rPr>
          <w:sz w:val="22"/>
          <w:szCs w:val="22"/>
        </w:rPr>
        <w:t>χειρηματικότητας, καθώς και δαπάνες στο</w:t>
      </w:r>
      <w:r w:rsidR="005B507B">
        <w:rPr>
          <w:sz w:val="22"/>
          <w:szCs w:val="22"/>
        </w:rPr>
        <w:t>ν</w:t>
      </w:r>
      <w:r w:rsidRPr="00041EE7">
        <w:rPr>
          <w:sz w:val="22"/>
          <w:szCs w:val="22"/>
        </w:rPr>
        <w:t xml:space="preserve"> μεταναστευτικό τομέα στο πλαίσιο της αρμοδιότητάς του.</w:t>
      </w:r>
    </w:p>
    <w:p w:rsidR="00041EE7" w:rsidRPr="00041EE7" w:rsidRDefault="00041EE7" w:rsidP="00960593">
      <w:pPr>
        <w:jc w:val="both"/>
        <w:rPr>
          <w:sz w:val="22"/>
          <w:szCs w:val="22"/>
        </w:rPr>
      </w:pPr>
      <w:r w:rsidRPr="00041EE7">
        <w:rPr>
          <w:sz w:val="22"/>
          <w:szCs w:val="22"/>
        </w:rPr>
        <w:t>Το σύνολο των δαπανών του Υπουργείου στο ΠΔΕ έτους 2021 προ</w:t>
      </w:r>
      <w:r w:rsidR="00835FD7">
        <w:rPr>
          <w:sz w:val="22"/>
          <w:szCs w:val="22"/>
        </w:rPr>
        <w:t>βλέπεται να ανέλθει στα</w:t>
      </w:r>
      <w:r w:rsidRPr="00041EE7">
        <w:rPr>
          <w:sz w:val="22"/>
          <w:szCs w:val="22"/>
        </w:rPr>
        <w:t xml:space="preserve"> 14 εκατ. ευρώ.</w:t>
      </w:r>
    </w:p>
    <w:p w:rsidR="00041EE7" w:rsidRPr="00041EE7" w:rsidRDefault="00041EE7" w:rsidP="00041EE7">
      <w:pPr>
        <w:jc w:val="both"/>
        <w:rPr>
          <w:b/>
          <w:i/>
          <w:sz w:val="22"/>
          <w:szCs w:val="22"/>
        </w:rPr>
      </w:pPr>
    </w:p>
    <w:p w:rsidR="00041EE7" w:rsidRPr="00041EE7" w:rsidRDefault="00041EE7" w:rsidP="00041EE7">
      <w:pPr>
        <w:tabs>
          <w:tab w:val="left" w:pos="3720"/>
        </w:tabs>
        <w:rPr>
          <w:rFonts w:ascii="Arial Narrow" w:hAnsi="Arial Narrow"/>
          <w:b/>
          <w:i/>
          <w:sz w:val="22"/>
          <w:szCs w:val="22"/>
        </w:rPr>
      </w:pPr>
      <w:r w:rsidRPr="00041EE7">
        <w:rPr>
          <w:rFonts w:ascii="Arial Narrow" w:hAnsi="Arial Narrow"/>
          <w:b/>
          <w:i/>
          <w:sz w:val="22"/>
          <w:szCs w:val="22"/>
        </w:rPr>
        <w:t>Υπουργείο Εθνικής Άμυνας</w:t>
      </w:r>
    </w:p>
    <w:p w:rsidR="00041EE7" w:rsidRPr="00041EE7" w:rsidRDefault="00041EE7" w:rsidP="00041EE7">
      <w:pPr>
        <w:jc w:val="both"/>
        <w:rPr>
          <w:b/>
          <w:i/>
          <w:sz w:val="22"/>
          <w:szCs w:val="22"/>
        </w:rPr>
      </w:pPr>
    </w:p>
    <w:p w:rsidR="00041EE7" w:rsidRPr="00041EE7" w:rsidRDefault="00041EE7" w:rsidP="00041EE7">
      <w:pPr>
        <w:jc w:val="both"/>
        <w:rPr>
          <w:sz w:val="22"/>
          <w:szCs w:val="22"/>
        </w:rPr>
      </w:pPr>
      <w:r w:rsidRPr="00041EE7">
        <w:rPr>
          <w:sz w:val="22"/>
          <w:szCs w:val="22"/>
        </w:rPr>
        <w:t>Στον τακτικό προϋπολογισμό του Υπουργείου έχουν προβλεφθεί πιστώσεις που θα καλύψουν δαπάνες για:</w:t>
      </w:r>
    </w:p>
    <w:p w:rsidR="00041EE7" w:rsidRPr="00041EE7" w:rsidRDefault="00041EE7" w:rsidP="00041EE7">
      <w:pPr>
        <w:ind w:left="284"/>
        <w:jc w:val="both"/>
        <w:rPr>
          <w:sz w:val="22"/>
          <w:szCs w:val="22"/>
        </w:rPr>
      </w:pPr>
    </w:p>
    <w:p w:rsidR="00041EE7" w:rsidRPr="00041EE7" w:rsidRDefault="00041EE7" w:rsidP="00041EE7">
      <w:pPr>
        <w:numPr>
          <w:ilvl w:val="0"/>
          <w:numId w:val="12"/>
        </w:numPr>
        <w:ind w:left="284" w:hanging="284"/>
        <w:jc w:val="both"/>
        <w:rPr>
          <w:sz w:val="22"/>
          <w:szCs w:val="22"/>
        </w:rPr>
      </w:pPr>
      <w:r w:rsidRPr="00041EE7">
        <w:rPr>
          <w:sz w:val="22"/>
          <w:szCs w:val="22"/>
        </w:rPr>
        <w:t>την περίθαλψη των στελεχών των Ενόπλων Δυνάμεων,</w:t>
      </w:r>
    </w:p>
    <w:p w:rsidR="00041EE7" w:rsidRPr="00041EE7" w:rsidRDefault="00041EE7" w:rsidP="00041EE7">
      <w:pPr>
        <w:numPr>
          <w:ilvl w:val="0"/>
          <w:numId w:val="12"/>
        </w:numPr>
        <w:ind w:left="284" w:hanging="284"/>
        <w:jc w:val="both"/>
        <w:rPr>
          <w:sz w:val="22"/>
          <w:szCs w:val="22"/>
        </w:rPr>
      </w:pPr>
      <w:r w:rsidRPr="00041EE7">
        <w:rPr>
          <w:sz w:val="22"/>
          <w:szCs w:val="22"/>
        </w:rPr>
        <w:t>την εκπαίδευση και κατάρτιση του προσωπικού, συμπεριλαμβανομένων και των χιλίων εξακοσίων (1.600) Επαγγελματιών Οπλιτών (ΕΠΟΠ) και χιλίων (1</w:t>
      </w:r>
      <w:r>
        <w:rPr>
          <w:sz w:val="22"/>
          <w:szCs w:val="22"/>
        </w:rPr>
        <w:t>.</w:t>
      </w:r>
      <w:r w:rsidRPr="00041EE7">
        <w:rPr>
          <w:sz w:val="22"/>
          <w:szCs w:val="22"/>
        </w:rPr>
        <w:t xml:space="preserve">000) Οπλιτών Βραχείας Ανακατάταξης (ΟΒΑ), </w:t>
      </w:r>
    </w:p>
    <w:p w:rsidR="00041EE7" w:rsidRPr="00041EE7" w:rsidRDefault="00041EE7" w:rsidP="00041EE7">
      <w:pPr>
        <w:numPr>
          <w:ilvl w:val="0"/>
          <w:numId w:val="12"/>
        </w:numPr>
        <w:ind w:left="284" w:hanging="284"/>
        <w:jc w:val="both"/>
        <w:rPr>
          <w:sz w:val="22"/>
          <w:szCs w:val="22"/>
        </w:rPr>
      </w:pPr>
      <w:r w:rsidRPr="00041EE7">
        <w:rPr>
          <w:sz w:val="22"/>
          <w:szCs w:val="22"/>
        </w:rPr>
        <w:t>τη συμμετοχή των Ενόπλων Δυνάμεων σε ειρηνευτικές αποστολές,</w:t>
      </w:r>
    </w:p>
    <w:p w:rsidR="00041EE7" w:rsidRPr="00041EE7" w:rsidRDefault="00041EE7" w:rsidP="00041EE7">
      <w:pPr>
        <w:numPr>
          <w:ilvl w:val="0"/>
          <w:numId w:val="12"/>
        </w:numPr>
        <w:ind w:left="284" w:hanging="284"/>
        <w:jc w:val="both"/>
        <w:rPr>
          <w:sz w:val="22"/>
          <w:szCs w:val="22"/>
        </w:rPr>
      </w:pPr>
      <w:r w:rsidRPr="00041EE7">
        <w:rPr>
          <w:sz w:val="22"/>
          <w:szCs w:val="22"/>
        </w:rPr>
        <w:t xml:space="preserve">την προμήθεια καυσίμων και </w:t>
      </w:r>
      <w:r w:rsidR="005B507B">
        <w:rPr>
          <w:sz w:val="22"/>
          <w:szCs w:val="22"/>
        </w:rPr>
        <w:t xml:space="preserve">την προμήθεια </w:t>
      </w:r>
      <w:r w:rsidRPr="00041EE7">
        <w:rPr>
          <w:sz w:val="22"/>
          <w:szCs w:val="22"/>
        </w:rPr>
        <w:t xml:space="preserve">υγειονομικού υλικού για τα στρατιωτικά νοσοκομεία, </w:t>
      </w:r>
    </w:p>
    <w:p w:rsidR="00041EE7" w:rsidRPr="00041EE7" w:rsidRDefault="00041EE7" w:rsidP="00041EE7">
      <w:pPr>
        <w:numPr>
          <w:ilvl w:val="0"/>
          <w:numId w:val="12"/>
        </w:numPr>
        <w:ind w:left="284" w:hanging="284"/>
        <w:jc w:val="both"/>
        <w:rPr>
          <w:sz w:val="22"/>
          <w:szCs w:val="22"/>
        </w:rPr>
      </w:pPr>
      <w:r w:rsidRPr="00041EE7">
        <w:rPr>
          <w:sz w:val="22"/>
          <w:szCs w:val="22"/>
        </w:rPr>
        <w:t>τις εθνικές υποχρεώσεις που απορρέουν από τη συμμετοχή της Ελλάδας στο ΝΑΤΟ,</w:t>
      </w:r>
    </w:p>
    <w:p w:rsidR="00041EE7" w:rsidRPr="00041EE7" w:rsidRDefault="00041EE7" w:rsidP="00041EE7">
      <w:pPr>
        <w:numPr>
          <w:ilvl w:val="0"/>
          <w:numId w:val="12"/>
        </w:numPr>
        <w:ind w:left="284" w:hanging="284"/>
        <w:jc w:val="both"/>
        <w:rPr>
          <w:sz w:val="22"/>
          <w:szCs w:val="22"/>
        </w:rPr>
      </w:pPr>
      <w:r w:rsidRPr="00041EE7">
        <w:rPr>
          <w:sz w:val="22"/>
          <w:szCs w:val="22"/>
        </w:rPr>
        <w:t>τις εισφορές του Υπουργείου και κυρίως της Εθνικής Μετεωρολογικής Υπηρεσίας σε Διεθνείς Ο</w:t>
      </w:r>
      <w:r w:rsidRPr="00041EE7">
        <w:rPr>
          <w:sz w:val="22"/>
          <w:szCs w:val="22"/>
        </w:rPr>
        <w:t>ρ</w:t>
      </w:r>
      <w:r w:rsidRPr="00041EE7">
        <w:rPr>
          <w:sz w:val="22"/>
          <w:szCs w:val="22"/>
        </w:rPr>
        <w:t>γανισμούς, και</w:t>
      </w:r>
    </w:p>
    <w:p w:rsidR="00041EE7" w:rsidRPr="00041EE7" w:rsidRDefault="00041EE7" w:rsidP="00041EE7">
      <w:pPr>
        <w:numPr>
          <w:ilvl w:val="0"/>
          <w:numId w:val="12"/>
        </w:numPr>
        <w:ind w:left="284" w:hanging="284"/>
        <w:jc w:val="both"/>
        <w:rPr>
          <w:sz w:val="22"/>
          <w:szCs w:val="22"/>
        </w:rPr>
      </w:pPr>
      <w:r w:rsidRPr="00041EE7">
        <w:rPr>
          <w:sz w:val="22"/>
          <w:szCs w:val="22"/>
        </w:rPr>
        <w:t xml:space="preserve">τις </w:t>
      </w:r>
      <w:r w:rsidR="00835FD7">
        <w:rPr>
          <w:sz w:val="22"/>
          <w:szCs w:val="22"/>
        </w:rPr>
        <w:t xml:space="preserve">νέες </w:t>
      </w:r>
      <w:r w:rsidRPr="00041EE7">
        <w:rPr>
          <w:sz w:val="22"/>
          <w:szCs w:val="22"/>
        </w:rPr>
        <w:t xml:space="preserve">υποχρεώσεις που απορρέουν από την υλοποίηση </w:t>
      </w:r>
      <w:r w:rsidR="00835FD7">
        <w:rPr>
          <w:sz w:val="22"/>
          <w:szCs w:val="22"/>
        </w:rPr>
        <w:t>σημαντικών</w:t>
      </w:r>
      <w:r w:rsidRPr="00041EE7">
        <w:rPr>
          <w:sz w:val="22"/>
          <w:szCs w:val="22"/>
        </w:rPr>
        <w:t xml:space="preserve"> εξοπλιστικών προγραμμ</w:t>
      </w:r>
      <w:r w:rsidRPr="00041EE7">
        <w:rPr>
          <w:sz w:val="22"/>
          <w:szCs w:val="22"/>
        </w:rPr>
        <w:t>ά</w:t>
      </w:r>
      <w:r w:rsidRPr="00041EE7">
        <w:rPr>
          <w:sz w:val="22"/>
          <w:szCs w:val="22"/>
        </w:rPr>
        <w:t>των.</w:t>
      </w:r>
    </w:p>
    <w:p w:rsidR="00041EE7" w:rsidRPr="00041EE7" w:rsidRDefault="00041EE7" w:rsidP="00041EE7">
      <w:pPr>
        <w:jc w:val="both"/>
        <w:rPr>
          <w:sz w:val="22"/>
          <w:szCs w:val="22"/>
        </w:rPr>
      </w:pPr>
    </w:p>
    <w:p w:rsidR="00041EE7" w:rsidRPr="00041EE7" w:rsidRDefault="00041EE7" w:rsidP="00041EE7">
      <w:pPr>
        <w:jc w:val="both"/>
        <w:rPr>
          <w:sz w:val="22"/>
          <w:szCs w:val="22"/>
        </w:rPr>
      </w:pPr>
      <w:r w:rsidRPr="00041EE7">
        <w:rPr>
          <w:sz w:val="22"/>
          <w:szCs w:val="22"/>
        </w:rPr>
        <w:t>Στις εκτιμήσεις του προϋπολογισμού του 2020, μεταξύ άλλων, περιλαμβάνονται και δαπάνες ύψους 27,85 εκ</w:t>
      </w:r>
      <w:r w:rsidR="00C16A4A">
        <w:rPr>
          <w:sz w:val="22"/>
          <w:szCs w:val="22"/>
        </w:rPr>
        <w:t>ατ</w:t>
      </w:r>
      <w:r w:rsidRPr="00041EE7">
        <w:rPr>
          <w:sz w:val="22"/>
          <w:szCs w:val="22"/>
        </w:rPr>
        <w:t>. ευρώ για δράσεις που σχετίζονται με την υλοποίηση μέτρων αντιμετώπισης των αρνητ</w:t>
      </w:r>
      <w:r w:rsidRPr="00041EE7">
        <w:rPr>
          <w:sz w:val="22"/>
          <w:szCs w:val="22"/>
        </w:rPr>
        <w:t>ι</w:t>
      </w:r>
      <w:r w:rsidRPr="00041EE7">
        <w:rPr>
          <w:sz w:val="22"/>
          <w:szCs w:val="22"/>
        </w:rPr>
        <w:t>κών συνεπειών τ</w:t>
      </w:r>
      <w:r w:rsidR="00C16A4A">
        <w:rPr>
          <w:sz w:val="22"/>
          <w:szCs w:val="22"/>
        </w:rPr>
        <w:t>ης</w:t>
      </w:r>
      <w:r w:rsidRPr="00041EE7">
        <w:rPr>
          <w:sz w:val="22"/>
          <w:szCs w:val="22"/>
        </w:rPr>
        <w:t xml:space="preserve"> υγειονομικής κρίσης, όπως έκτακτη οικονομική ενίσχυση υπηρετούντων στα Στρατιωτικά Νοσοκομεία και στο ΝΙΜΤΣ, προσλήψεις επικουρικού ιατρικού προσωπικού, προμήθεια φαρμακευτικού και υγειονομικού υλικού</w:t>
      </w:r>
      <w:r w:rsidR="002E2B33">
        <w:rPr>
          <w:sz w:val="22"/>
          <w:szCs w:val="22"/>
        </w:rPr>
        <w:t>,</w:t>
      </w:r>
      <w:r w:rsidRPr="00041EE7">
        <w:rPr>
          <w:sz w:val="22"/>
          <w:szCs w:val="22"/>
        </w:rPr>
        <w:t xml:space="preserve"> καθώς και για εξοπλισμό των ΜΕΘ στα ανωτέρω νοσοκ</w:t>
      </w:r>
      <w:r w:rsidRPr="00041EE7">
        <w:rPr>
          <w:sz w:val="22"/>
          <w:szCs w:val="22"/>
        </w:rPr>
        <w:t>ο</w:t>
      </w:r>
      <w:r w:rsidRPr="00041EE7">
        <w:rPr>
          <w:sz w:val="22"/>
          <w:szCs w:val="22"/>
        </w:rPr>
        <w:t>μεία.</w:t>
      </w:r>
    </w:p>
    <w:p w:rsidR="00041EE7" w:rsidRPr="00041EE7" w:rsidRDefault="00041EE7" w:rsidP="00041EE7">
      <w:pPr>
        <w:jc w:val="both"/>
        <w:rPr>
          <w:sz w:val="22"/>
          <w:szCs w:val="22"/>
        </w:rPr>
      </w:pPr>
    </w:p>
    <w:p w:rsidR="00041EE7" w:rsidRPr="00041EE7" w:rsidRDefault="00041EE7" w:rsidP="00041EE7">
      <w:pPr>
        <w:jc w:val="both"/>
        <w:rPr>
          <w:sz w:val="22"/>
          <w:szCs w:val="22"/>
        </w:rPr>
      </w:pPr>
      <w:r w:rsidRPr="00041EE7">
        <w:rPr>
          <w:sz w:val="22"/>
          <w:szCs w:val="22"/>
        </w:rPr>
        <w:t>Μέσω του προϋπολογισμού δημοσίων επενδύσεων του φορέα χρηματοδοτούνται δαπάνες στρατιωτ</w:t>
      </w:r>
      <w:r w:rsidRPr="00041EE7">
        <w:rPr>
          <w:sz w:val="22"/>
          <w:szCs w:val="22"/>
        </w:rPr>
        <w:t>ι</w:t>
      </w:r>
      <w:r w:rsidRPr="00041EE7">
        <w:rPr>
          <w:sz w:val="22"/>
          <w:szCs w:val="22"/>
        </w:rPr>
        <w:t>κών έργων και δαπάνες στο</w:t>
      </w:r>
      <w:r w:rsidR="00C16A4A">
        <w:rPr>
          <w:sz w:val="22"/>
          <w:szCs w:val="22"/>
        </w:rPr>
        <w:t>ν</w:t>
      </w:r>
      <w:r w:rsidRPr="00041EE7">
        <w:rPr>
          <w:sz w:val="22"/>
          <w:szCs w:val="22"/>
        </w:rPr>
        <w:t xml:space="preserve"> μεταναστευτικό τομέα στο πλαίσιο της αρμοδιότητάς του.</w:t>
      </w:r>
    </w:p>
    <w:p w:rsidR="00041EE7" w:rsidRPr="00041EE7" w:rsidRDefault="00041EE7" w:rsidP="00041EE7">
      <w:pPr>
        <w:jc w:val="both"/>
        <w:rPr>
          <w:sz w:val="22"/>
          <w:szCs w:val="22"/>
        </w:rPr>
      </w:pPr>
      <w:r w:rsidRPr="00041EE7">
        <w:rPr>
          <w:sz w:val="22"/>
          <w:szCs w:val="22"/>
        </w:rPr>
        <w:lastRenderedPageBreak/>
        <w:t xml:space="preserve">Το σύνολο των δαπανών του Υπουργείου στο ΠΔΕ έτους 2021 προβλέπεται </w:t>
      </w:r>
      <w:r w:rsidR="00835FD7">
        <w:rPr>
          <w:sz w:val="22"/>
          <w:szCs w:val="22"/>
        </w:rPr>
        <w:t xml:space="preserve">να ανέλθει </w:t>
      </w:r>
      <w:r w:rsidRPr="00041EE7">
        <w:rPr>
          <w:sz w:val="22"/>
          <w:szCs w:val="22"/>
        </w:rPr>
        <w:t>στα 14 εκατ. ευρώ</w:t>
      </w:r>
      <w:r w:rsidRPr="00041EE7">
        <w:rPr>
          <w:color w:val="0070C0"/>
        </w:rPr>
        <w:t>.</w:t>
      </w:r>
    </w:p>
    <w:p w:rsidR="00041EE7" w:rsidRDefault="00041EE7" w:rsidP="00041EE7">
      <w:pPr>
        <w:jc w:val="both"/>
        <w:rPr>
          <w:b/>
          <w:i/>
          <w:sz w:val="22"/>
          <w:szCs w:val="22"/>
        </w:rPr>
      </w:pPr>
    </w:p>
    <w:p w:rsidR="00041EE7" w:rsidRPr="00041EE7" w:rsidRDefault="00041EE7" w:rsidP="00041EE7">
      <w:pPr>
        <w:tabs>
          <w:tab w:val="left" w:pos="3720"/>
        </w:tabs>
        <w:rPr>
          <w:rFonts w:ascii="Arial Narrow" w:hAnsi="Arial Narrow"/>
          <w:b/>
          <w:i/>
          <w:sz w:val="22"/>
          <w:szCs w:val="22"/>
        </w:rPr>
      </w:pPr>
      <w:r w:rsidRPr="00041EE7">
        <w:rPr>
          <w:rFonts w:ascii="Arial Narrow" w:hAnsi="Arial Narrow"/>
          <w:b/>
          <w:i/>
          <w:sz w:val="22"/>
          <w:szCs w:val="22"/>
        </w:rPr>
        <w:t>Υπουργείο Υγείας</w:t>
      </w:r>
    </w:p>
    <w:p w:rsidR="00041EE7" w:rsidRPr="00041EE7" w:rsidRDefault="00041EE7" w:rsidP="00041EE7">
      <w:pPr>
        <w:jc w:val="both"/>
        <w:rPr>
          <w:sz w:val="22"/>
          <w:szCs w:val="22"/>
        </w:rPr>
      </w:pPr>
    </w:p>
    <w:p w:rsidR="00041EE7" w:rsidRPr="00041EE7" w:rsidRDefault="00041EE7" w:rsidP="00041EE7">
      <w:pPr>
        <w:jc w:val="both"/>
        <w:rPr>
          <w:sz w:val="22"/>
          <w:szCs w:val="22"/>
        </w:rPr>
      </w:pPr>
      <w:r w:rsidRPr="00041EE7">
        <w:rPr>
          <w:sz w:val="22"/>
          <w:szCs w:val="22"/>
        </w:rPr>
        <w:t>Στον τακτικό προϋπολογισμό του Υπουργείου προβλέπονται πιστώσεις για την εύρυθμη και αποτελ</w:t>
      </w:r>
      <w:r w:rsidRPr="00041EE7">
        <w:rPr>
          <w:sz w:val="22"/>
          <w:szCs w:val="22"/>
        </w:rPr>
        <w:t>ε</w:t>
      </w:r>
      <w:r w:rsidRPr="00041EE7">
        <w:rPr>
          <w:sz w:val="22"/>
          <w:szCs w:val="22"/>
        </w:rPr>
        <w:t xml:space="preserve">σματική λειτουργία των υπηρεσιών παροχής πρωτοβάθμιας και δευτεροβάθμιας φροντίδας υγείας της χώρας. </w:t>
      </w:r>
    </w:p>
    <w:p w:rsidR="00041EE7" w:rsidRPr="00041EE7" w:rsidRDefault="00041EE7" w:rsidP="00041EE7">
      <w:pPr>
        <w:jc w:val="both"/>
        <w:rPr>
          <w:sz w:val="22"/>
          <w:szCs w:val="22"/>
          <w:highlight w:val="yellow"/>
        </w:rPr>
      </w:pPr>
    </w:p>
    <w:p w:rsidR="00041EE7" w:rsidRPr="00041EE7" w:rsidRDefault="00041EE7" w:rsidP="00041EE7">
      <w:pPr>
        <w:jc w:val="both"/>
        <w:rPr>
          <w:sz w:val="22"/>
          <w:szCs w:val="22"/>
        </w:rPr>
      </w:pPr>
      <w:r w:rsidRPr="00041EE7">
        <w:rPr>
          <w:sz w:val="22"/>
          <w:szCs w:val="22"/>
        </w:rPr>
        <w:t>Στο πλαίσιο αυτό, οι μεταβιβάσεις προς τα νοσηλευτικά ιδρύματα, τις μονάδες υγείας του συστήματος Πρωτοβάθμιας Φροντίδας Υγείας (ΠΦΥ) και τον ΕΟΠΥΥ αποσκοπούν στη διαρκή βελτίωση του επ</w:t>
      </w:r>
      <w:r w:rsidRPr="00041EE7">
        <w:rPr>
          <w:sz w:val="22"/>
          <w:szCs w:val="22"/>
        </w:rPr>
        <w:t>ι</w:t>
      </w:r>
      <w:r w:rsidRPr="00041EE7">
        <w:rPr>
          <w:sz w:val="22"/>
          <w:szCs w:val="22"/>
        </w:rPr>
        <w:t>πέδου των προσφερόμενων υπηρεσιών, στην αναβάθμιση του επιπέδου εξυπηρέτησης των ασθενών, στην ανανέωση και στον εκσυγχρονισμό τόσο του ιατρικού εξοπλισμού όσο και των κτιριακών υπ</w:t>
      </w:r>
      <w:r w:rsidRPr="00041EE7">
        <w:rPr>
          <w:sz w:val="22"/>
          <w:szCs w:val="22"/>
        </w:rPr>
        <w:t>ο</w:t>
      </w:r>
      <w:r w:rsidRPr="00041EE7">
        <w:rPr>
          <w:sz w:val="22"/>
          <w:szCs w:val="22"/>
        </w:rPr>
        <w:t>δομών, καθώς και στην εξασφάλιση της απρόσκοπτης διαδικασίας εφοδιασμού με ιατροφαρμακευτικό και λοιπό υλικό.</w:t>
      </w:r>
    </w:p>
    <w:p w:rsidR="00041EE7" w:rsidRPr="00041EE7" w:rsidRDefault="00041EE7" w:rsidP="00041EE7">
      <w:pPr>
        <w:jc w:val="both"/>
        <w:rPr>
          <w:sz w:val="22"/>
          <w:szCs w:val="22"/>
        </w:rPr>
      </w:pPr>
    </w:p>
    <w:p w:rsidR="00041EE7" w:rsidRPr="00041EE7" w:rsidRDefault="00041EE7" w:rsidP="00041EE7">
      <w:pPr>
        <w:jc w:val="both"/>
        <w:rPr>
          <w:sz w:val="22"/>
          <w:szCs w:val="22"/>
        </w:rPr>
      </w:pPr>
      <w:r w:rsidRPr="00041EE7">
        <w:rPr>
          <w:sz w:val="22"/>
          <w:szCs w:val="22"/>
        </w:rPr>
        <w:t>Επιπρόσθετα, οι μεταβιβάσεις προς τους εποπτευόμενους φορείς του Υπουργείου προορίζονται να καλύψουν τόσο τις λειτουργικές ανάγκες, όσο και τις εξειδικευμένες δραστηριότητές τους κατά τομ</w:t>
      </w:r>
      <w:r w:rsidRPr="00041EE7">
        <w:rPr>
          <w:sz w:val="22"/>
          <w:szCs w:val="22"/>
        </w:rPr>
        <w:t>έ</w:t>
      </w:r>
      <w:r w:rsidRPr="00041EE7">
        <w:rPr>
          <w:sz w:val="22"/>
          <w:szCs w:val="22"/>
        </w:rPr>
        <w:t>α. Ενδεικτικά αναφέρονται οι ανάγκες προστασίας της δημόσιας υγείας, η συνέχιση παροχής υπηρ</w:t>
      </w:r>
      <w:r w:rsidRPr="00041EE7">
        <w:rPr>
          <w:sz w:val="22"/>
          <w:szCs w:val="22"/>
        </w:rPr>
        <w:t>ε</w:t>
      </w:r>
      <w:r w:rsidRPr="00041EE7">
        <w:rPr>
          <w:sz w:val="22"/>
          <w:szCs w:val="22"/>
        </w:rPr>
        <w:t>σιών από τις μονάδες ψυχικής υγείας, η καταπολέμηση των ναρκωτικών και η παροχή σχετικής φρ</w:t>
      </w:r>
      <w:r w:rsidRPr="00041EE7">
        <w:rPr>
          <w:sz w:val="22"/>
          <w:szCs w:val="22"/>
        </w:rPr>
        <w:t>ο</w:t>
      </w:r>
      <w:r w:rsidRPr="00041EE7">
        <w:rPr>
          <w:sz w:val="22"/>
          <w:szCs w:val="22"/>
        </w:rPr>
        <w:t xml:space="preserve">ντίδας, η διακομιδή έκτακτων περιστατικών που χρήζουν υγειονομικής περίθαλψης, καθώς και η </w:t>
      </w:r>
      <w:r w:rsidRPr="00041EE7">
        <w:rPr>
          <w:sz w:val="22"/>
          <w:szCs w:val="22"/>
        </w:rPr>
        <w:t>α</w:t>
      </w:r>
      <w:r w:rsidRPr="00041EE7">
        <w:rPr>
          <w:sz w:val="22"/>
          <w:szCs w:val="22"/>
        </w:rPr>
        <w:t xml:space="preserve">ντιμετώπιση έκτακτων περιστατικών και υγειονομικών καταστάσεων. </w:t>
      </w:r>
    </w:p>
    <w:p w:rsidR="00041EE7" w:rsidRPr="00041EE7" w:rsidRDefault="00041EE7" w:rsidP="00041EE7">
      <w:pPr>
        <w:jc w:val="both"/>
        <w:rPr>
          <w:sz w:val="22"/>
          <w:szCs w:val="22"/>
        </w:rPr>
      </w:pPr>
    </w:p>
    <w:p w:rsidR="00041EE7" w:rsidRPr="00041EE7" w:rsidRDefault="00041EE7" w:rsidP="00041EE7">
      <w:pPr>
        <w:jc w:val="both"/>
        <w:rPr>
          <w:sz w:val="22"/>
          <w:szCs w:val="22"/>
        </w:rPr>
      </w:pPr>
      <w:r w:rsidRPr="00041EE7">
        <w:rPr>
          <w:sz w:val="22"/>
          <w:szCs w:val="22"/>
        </w:rPr>
        <w:t xml:space="preserve">Στα ανώτατα όρια δαπανών του Υπουργείου Υγείας έχουν περιληφθεί δαπάνες που σχετίζονται με την υλοποίηση μέτρων αντιμετώπισης των αρνητικών συνεπειών </w:t>
      </w:r>
      <w:r w:rsidR="00835FD7">
        <w:rPr>
          <w:sz w:val="22"/>
          <w:szCs w:val="22"/>
        </w:rPr>
        <w:t xml:space="preserve">της πανδημίας </w:t>
      </w:r>
      <w:r w:rsidRPr="00041EE7">
        <w:rPr>
          <w:sz w:val="22"/>
          <w:szCs w:val="22"/>
        </w:rPr>
        <w:t>του κορωνοϊού συνολ</w:t>
      </w:r>
      <w:r w:rsidRPr="00041EE7">
        <w:rPr>
          <w:sz w:val="22"/>
          <w:szCs w:val="22"/>
        </w:rPr>
        <w:t>ι</w:t>
      </w:r>
      <w:r w:rsidRPr="00041EE7">
        <w:rPr>
          <w:sz w:val="22"/>
          <w:szCs w:val="22"/>
        </w:rPr>
        <w:t xml:space="preserve">κού ύψους 523 εκατ. ευρώ και 131 εκατ. ευρώ για τα έτη 2020 και 2021 αντίστοιχα. </w:t>
      </w:r>
      <w:r w:rsidR="000C22E4">
        <w:rPr>
          <w:sz w:val="22"/>
          <w:szCs w:val="22"/>
        </w:rPr>
        <w:t xml:space="preserve">Επιπλέον, κατά το έτος 2020 ο ΕΟΠΠΥ επιχορηγήθηκε με επιπλέον 507 εκ. ευρώ, εκ των οποίων 263 εκατ. ευρώ </w:t>
      </w:r>
      <w:r w:rsidR="000C22E4">
        <w:rPr>
          <w:sz w:val="22"/>
          <w:szCs w:val="22"/>
        </w:rPr>
        <w:t>α</w:t>
      </w:r>
      <w:r w:rsidR="000C22E4">
        <w:rPr>
          <w:sz w:val="22"/>
          <w:szCs w:val="22"/>
        </w:rPr>
        <w:t>φορούν δαπάνες συνδεόμενες με απώλεια εσόδων λόγω της πανδημίας.</w:t>
      </w:r>
    </w:p>
    <w:p w:rsidR="00041EE7" w:rsidRPr="00041EE7" w:rsidRDefault="00041EE7" w:rsidP="00041EE7">
      <w:pPr>
        <w:jc w:val="both"/>
        <w:rPr>
          <w:sz w:val="22"/>
          <w:szCs w:val="22"/>
        </w:rPr>
      </w:pPr>
    </w:p>
    <w:p w:rsidR="00041EE7" w:rsidRPr="00041EE7" w:rsidRDefault="00041EE7" w:rsidP="00041EE7">
      <w:pPr>
        <w:jc w:val="both"/>
        <w:rPr>
          <w:sz w:val="22"/>
          <w:szCs w:val="22"/>
        </w:rPr>
      </w:pPr>
      <w:r w:rsidRPr="00041EE7">
        <w:rPr>
          <w:sz w:val="22"/>
          <w:szCs w:val="22"/>
        </w:rPr>
        <w:t xml:space="preserve">Μέσω του προϋπολογισμού δημοσίων επενδύσεων του φορέα χρηματοδοτούνται δαπάνες για την </w:t>
      </w:r>
      <w:r w:rsidRPr="00041EE7">
        <w:rPr>
          <w:sz w:val="22"/>
          <w:szCs w:val="22"/>
        </w:rPr>
        <w:t>Υ</w:t>
      </w:r>
      <w:r w:rsidRPr="00041EE7">
        <w:rPr>
          <w:sz w:val="22"/>
          <w:szCs w:val="22"/>
        </w:rPr>
        <w:t>γεία – Πρόνοια που εξειδικεύονται σε δαπάνες για εξοπλισμό των νοσοκομείων, για λειτουργία παιδ</w:t>
      </w:r>
      <w:r w:rsidRPr="00041EE7">
        <w:rPr>
          <w:sz w:val="22"/>
          <w:szCs w:val="22"/>
        </w:rPr>
        <w:t>ι</w:t>
      </w:r>
      <w:r w:rsidRPr="00041EE7">
        <w:rPr>
          <w:sz w:val="22"/>
          <w:szCs w:val="22"/>
        </w:rPr>
        <w:t>κών σταθμών και γηροκομείων, για δημιουργία δομών αποασυλοποίησης ψυχικά ασθενών, όπως και δομών παροχής φροντίδας ψυχικής υγείας. Επίσης το Υπουργείο υλοποιεί δράσεις στο</w:t>
      </w:r>
      <w:r w:rsidR="002E2B33">
        <w:rPr>
          <w:sz w:val="22"/>
          <w:szCs w:val="22"/>
        </w:rPr>
        <w:t>ν</w:t>
      </w:r>
      <w:r w:rsidRPr="00041EE7">
        <w:rPr>
          <w:sz w:val="22"/>
          <w:szCs w:val="22"/>
        </w:rPr>
        <w:t xml:space="preserve"> μεταναστε</w:t>
      </w:r>
      <w:r w:rsidRPr="00041EE7">
        <w:rPr>
          <w:sz w:val="22"/>
          <w:szCs w:val="22"/>
        </w:rPr>
        <w:t>υ</w:t>
      </w:r>
      <w:r w:rsidRPr="00041EE7">
        <w:rPr>
          <w:sz w:val="22"/>
          <w:szCs w:val="22"/>
        </w:rPr>
        <w:t>τικό τομέα στο πλαίσιο της αρμοδιότητάς του.</w:t>
      </w:r>
    </w:p>
    <w:p w:rsidR="00041EE7" w:rsidRPr="00041EE7" w:rsidRDefault="00041EE7" w:rsidP="00041EE7">
      <w:pPr>
        <w:jc w:val="both"/>
        <w:rPr>
          <w:sz w:val="22"/>
          <w:szCs w:val="22"/>
        </w:rPr>
      </w:pPr>
      <w:r w:rsidRPr="00041EE7">
        <w:rPr>
          <w:sz w:val="22"/>
          <w:szCs w:val="22"/>
        </w:rPr>
        <w:t>Το σύνολο των δαπανών του Υπουργείου στο ΠΔΕ έτους 2021 προ</w:t>
      </w:r>
      <w:r w:rsidR="00835FD7">
        <w:rPr>
          <w:sz w:val="22"/>
          <w:szCs w:val="22"/>
        </w:rPr>
        <w:t>βλέπεται να ανέλθει στα</w:t>
      </w:r>
      <w:r w:rsidRPr="00041EE7">
        <w:rPr>
          <w:sz w:val="22"/>
          <w:szCs w:val="22"/>
        </w:rPr>
        <w:t xml:space="preserve"> 60 εκατ. ευρώ.</w:t>
      </w:r>
    </w:p>
    <w:p w:rsidR="00041EE7" w:rsidRPr="00041EE7" w:rsidRDefault="00041EE7" w:rsidP="00041EE7">
      <w:pPr>
        <w:jc w:val="both"/>
        <w:rPr>
          <w:sz w:val="22"/>
          <w:szCs w:val="22"/>
        </w:rPr>
      </w:pPr>
    </w:p>
    <w:p w:rsidR="00041EE7" w:rsidRPr="00041EE7" w:rsidRDefault="00041EE7" w:rsidP="00041EE7">
      <w:pPr>
        <w:tabs>
          <w:tab w:val="left" w:pos="3720"/>
        </w:tabs>
        <w:rPr>
          <w:rFonts w:ascii="Arial Narrow" w:hAnsi="Arial Narrow"/>
          <w:b/>
          <w:i/>
          <w:sz w:val="22"/>
          <w:szCs w:val="22"/>
        </w:rPr>
      </w:pPr>
      <w:r w:rsidRPr="00041EE7">
        <w:rPr>
          <w:rFonts w:ascii="Arial Narrow" w:hAnsi="Arial Narrow"/>
          <w:b/>
          <w:i/>
          <w:sz w:val="22"/>
          <w:szCs w:val="22"/>
        </w:rPr>
        <w:t>Υπουργείο Δικαιοσύνης</w:t>
      </w:r>
    </w:p>
    <w:p w:rsidR="00041EE7" w:rsidRPr="00041EE7" w:rsidRDefault="00041EE7" w:rsidP="00041EE7">
      <w:pPr>
        <w:jc w:val="both"/>
        <w:rPr>
          <w:sz w:val="22"/>
          <w:szCs w:val="22"/>
        </w:rPr>
      </w:pPr>
    </w:p>
    <w:p w:rsidR="00041EE7" w:rsidRPr="00041EE7" w:rsidRDefault="00041EE7" w:rsidP="00041EE7">
      <w:pPr>
        <w:jc w:val="both"/>
        <w:rPr>
          <w:sz w:val="22"/>
          <w:szCs w:val="22"/>
        </w:rPr>
      </w:pPr>
      <w:r w:rsidRPr="00041EE7">
        <w:rPr>
          <w:sz w:val="22"/>
          <w:szCs w:val="22"/>
        </w:rPr>
        <w:t>Οι πιστώσεις του τακτικού προϋπολογισμού θα καλύψουν, εκτός των λειτουργικών και λοιπών δαπ</w:t>
      </w:r>
      <w:r w:rsidRPr="00041EE7">
        <w:rPr>
          <w:sz w:val="22"/>
          <w:szCs w:val="22"/>
        </w:rPr>
        <w:t>α</w:t>
      </w:r>
      <w:r w:rsidRPr="00041EE7">
        <w:rPr>
          <w:sz w:val="22"/>
          <w:szCs w:val="22"/>
        </w:rPr>
        <w:t xml:space="preserve">νών </w:t>
      </w:r>
      <w:r w:rsidR="007605CC">
        <w:rPr>
          <w:sz w:val="22"/>
          <w:szCs w:val="22"/>
        </w:rPr>
        <w:t>και δαπάνες για τη</w:t>
      </w:r>
      <w:r w:rsidRPr="00041EE7">
        <w:rPr>
          <w:sz w:val="22"/>
          <w:szCs w:val="22"/>
        </w:rPr>
        <w:t xml:space="preserve"> λειτουργία των Ανεξάρτητων Αρχών (Αρχή Προστασίας Δεδομένων Προσ</w:t>
      </w:r>
      <w:r w:rsidRPr="00041EE7">
        <w:rPr>
          <w:sz w:val="22"/>
          <w:szCs w:val="22"/>
        </w:rPr>
        <w:t>ω</w:t>
      </w:r>
      <w:r w:rsidRPr="00041EE7">
        <w:rPr>
          <w:sz w:val="22"/>
          <w:szCs w:val="22"/>
        </w:rPr>
        <w:t>πικού Χαρακτήρα και Αρχή Διασφάλισης του Απορρήτου των Επικοινωνιών).</w:t>
      </w:r>
    </w:p>
    <w:p w:rsidR="00041EE7" w:rsidRPr="00041EE7" w:rsidRDefault="00041EE7" w:rsidP="00041EE7">
      <w:pPr>
        <w:jc w:val="both"/>
        <w:rPr>
          <w:sz w:val="22"/>
          <w:szCs w:val="22"/>
        </w:rPr>
      </w:pPr>
    </w:p>
    <w:p w:rsidR="00041EE7" w:rsidRPr="00041EE7" w:rsidRDefault="00041EE7" w:rsidP="00041EE7">
      <w:pPr>
        <w:jc w:val="both"/>
        <w:rPr>
          <w:sz w:val="22"/>
          <w:szCs w:val="22"/>
        </w:rPr>
      </w:pPr>
      <w:r w:rsidRPr="00041EE7">
        <w:rPr>
          <w:sz w:val="22"/>
          <w:szCs w:val="22"/>
        </w:rPr>
        <w:t xml:space="preserve">Επισημαίνεται ότι ο προϋπολογισμός του Υπουργείου Δικαιοσύνης στο έτος 2020 ενισχύθηκε εκτός των άλλων και για δαπάνες </w:t>
      </w:r>
      <w:r w:rsidR="00294E23">
        <w:rPr>
          <w:sz w:val="22"/>
          <w:szCs w:val="22"/>
        </w:rPr>
        <w:t xml:space="preserve">λόγω </w:t>
      </w:r>
      <w:r w:rsidRPr="00041EE7">
        <w:rPr>
          <w:sz w:val="22"/>
          <w:szCs w:val="22"/>
          <w:lang w:val="en-US"/>
        </w:rPr>
        <w:t>Covid</w:t>
      </w:r>
      <w:r w:rsidR="005C66F5">
        <w:rPr>
          <w:sz w:val="22"/>
          <w:szCs w:val="22"/>
        </w:rPr>
        <w:t>-19 με ποσό ύψους 1</w:t>
      </w:r>
      <w:r w:rsidRPr="00041EE7">
        <w:rPr>
          <w:sz w:val="22"/>
          <w:szCs w:val="22"/>
        </w:rPr>
        <w:t xml:space="preserve"> εκατ. ευρώ προκειμένου να καλυφθούν δαπάνες που αφορούν σε απολυμάνσεις κτιρίων και προμήθειες μασκών, αντισηπτικών και φορητών υπολογιστών.</w:t>
      </w:r>
    </w:p>
    <w:p w:rsidR="00041EE7" w:rsidRPr="00041EE7" w:rsidRDefault="00041EE7" w:rsidP="00041EE7">
      <w:pPr>
        <w:jc w:val="both"/>
        <w:rPr>
          <w:sz w:val="22"/>
          <w:szCs w:val="22"/>
        </w:rPr>
      </w:pPr>
    </w:p>
    <w:p w:rsidR="00041EE7" w:rsidRPr="00041EE7" w:rsidRDefault="00041EE7" w:rsidP="00041EE7">
      <w:pPr>
        <w:jc w:val="both"/>
        <w:rPr>
          <w:sz w:val="22"/>
          <w:szCs w:val="22"/>
        </w:rPr>
      </w:pPr>
      <w:r w:rsidRPr="00041EE7">
        <w:rPr>
          <w:sz w:val="22"/>
          <w:szCs w:val="22"/>
        </w:rPr>
        <w:t xml:space="preserve">Οι πιστώσεις του προϋπολογισμού δημοσίων επενδύσεων του Υπουργείου χρηματοδοτούν κυρίως </w:t>
      </w:r>
      <w:r w:rsidRPr="00041EE7">
        <w:rPr>
          <w:sz w:val="22"/>
          <w:szCs w:val="22"/>
        </w:rPr>
        <w:t>ο</w:t>
      </w:r>
      <w:r w:rsidRPr="00041EE7">
        <w:rPr>
          <w:sz w:val="22"/>
          <w:szCs w:val="22"/>
        </w:rPr>
        <w:t>ριζόντιες δράσεις για το</w:t>
      </w:r>
      <w:r w:rsidR="00BC4E6F">
        <w:rPr>
          <w:sz w:val="22"/>
          <w:szCs w:val="22"/>
        </w:rPr>
        <w:t>ν</w:t>
      </w:r>
      <w:r w:rsidRPr="00041EE7">
        <w:rPr>
          <w:sz w:val="22"/>
          <w:szCs w:val="22"/>
        </w:rPr>
        <w:t xml:space="preserve"> διοικητικό εκσυγχρονισμό των οικείων υπηρεσιών και δομών.</w:t>
      </w:r>
    </w:p>
    <w:p w:rsidR="00041EE7" w:rsidRPr="00041EE7" w:rsidRDefault="00041EE7" w:rsidP="00041EE7">
      <w:pPr>
        <w:jc w:val="both"/>
        <w:rPr>
          <w:sz w:val="22"/>
          <w:szCs w:val="22"/>
        </w:rPr>
      </w:pPr>
      <w:r w:rsidRPr="00041EE7">
        <w:rPr>
          <w:sz w:val="22"/>
          <w:szCs w:val="22"/>
        </w:rPr>
        <w:t>Το σύνολο των δαπανών του Υπουργείου στο ΠΔΕ έτους 2021 προ</w:t>
      </w:r>
      <w:r w:rsidR="00294E23">
        <w:rPr>
          <w:sz w:val="22"/>
          <w:szCs w:val="22"/>
        </w:rPr>
        <w:t>βλέπεται να ανέλθει στα</w:t>
      </w:r>
      <w:r w:rsidRPr="00041EE7">
        <w:rPr>
          <w:sz w:val="22"/>
          <w:szCs w:val="22"/>
        </w:rPr>
        <w:t xml:space="preserve"> 23</w:t>
      </w:r>
      <w:r w:rsidRPr="00041EE7">
        <w:rPr>
          <w:b/>
          <w:sz w:val="22"/>
          <w:szCs w:val="22"/>
        </w:rPr>
        <w:t xml:space="preserve"> </w:t>
      </w:r>
      <w:r w:rsidRPr="00041EE7">
        <w:rPr>
          <w:sz w:val="22"/>
          <w:szCs w:val="22"/>
        </w:rPr>
        <w:t>εκατ. ευρώ.</w:t>
      </w:r>
    </w:p>
    <w:p w:rsidR="0029354C" w:rsidRDefault="0029354C" w:rsidP="00041EE7">
      <w:pPr>
        <w:jc w:val="both"/>
        <w:rPr>
          <w:b/>
          <w:sz w:val="22"/>
          <w:szCs w:val="22"/>
        </w:rPr>
      </w:pPr>
    </w:p>
    <w:p w:rsidR="006D58F6" w:rsidRDefault="006D58F6" w:rsidP="00041EE7">
      <w:pPr>
        <w:jc w:val="both"/>
        <w:rPr>
          <w:b/>
          <w:sz w:val="22"/>
          <w:szCs w:val="22"/>
        </w:rPr>
      </w:pPr>
    </w:p>
    <w:p w:rsidR="006D58F6" w:rsidRPr="00041EE7" w:rsidRDefault="006D58F6" w:rsidP="00041EE7">
      <w:pPr>
        <w:jc w:val="both"/>
        <w:rPr>
          <w:b/>
          <w:sz w:val="22"/>
          <w:szCs w:val="22"/>
        </w:rPr>
      </w:pPr>
    </w:p>
    <w:p w:rsidR="00041EE7" w:rsidRPr="00041EE7" w:rsidRDefault="00041EE7" w:rsidP="00041EE7">
      <w:pPr>
        <w:tabs>
          <w:tab w:val="left" w:pos="3720"/>
        </w:tabs>
        <w:rPr>
          <w:rFonts w:ascii="Arial Narrow" w:hAnsi="Arial Narrow"/>
          <w:b/>
          <w:i/>
          <w:sz w:val="22"/>
          <w:szCs w:val="22"/>
        </w:rPr>
      </w:pPr>
      <w:r w:rsidRPr="00041EE7">
        <w:rPr>
          <w:rFonts w:ascii="Arial Narrow" w:hAnsi="Arial Narrow"/>
          <w:b/>
          <w:i/>
          <w:sz w:val="22"/>
          <w:szCs w:val="22"/>
        </w:rPr>
        <w:lastRenderedPageBreak/>
        <w:t>Υπουργείο Παιδείας και Θρησκευμάτων</w:t>
      </w:r>
    </w:p>
    <w:p w:rsidR="00960593" w:rsidRDefault="00960593" w:rsidP="00041EE7">
      <w:pPr>
        <w:jc w:val="both"/>
        <w:rPr>
          <w:sz w:val="22"/>
          <w:szCs w:val="22"/>
        </w:rPr>
      </w:pPr>
    </w:p>
    <w:p w:rsidR="00041EE7" w:rsidRPr="00041EE7" w:rsidRDefault="00041EE7" w:rsidP="00041EE7">
      <w:pPr>
        <w:jc w:val="both"/>
        <w:rPr>
          <w:sz w:val="22"/>
          <w:szCs w:val="22"/>
        </w:rPr>
      </w:pPr>
      <w:r w:rsidRPr="00041EE7">
        <w:rPr>
          <w:sz w:val="22"/>
          <w:szCs w:val="22"/>
        </w:rPr>
        <w:t>Στον τακτικό προϋπολογισμό έχουν προβλεφθεί πιστώσεις για την κάλυψη των πολιτικών και δράσ</w:t>
      </w:r>
      <w:r w:rsidRPr="00041EE7">
        <w:rPr>
          <w:sz w:val="22"/>
          <w:szCs w:val="22"/>
        </w:rPr>
        <w:t>ε</w:t>
      </w:r>
      <w:r w:rsidRPr="00041EE7">
        <w:rPr>
          <w:sz w:val="22"/>
          <w:szCs w:val="22"/>
        </w:rPr>
        <w:t>ων του Υπουργείου που αφορούν το σύνολο του εκπαιδευτικού συστήματος (και τις 3 βαθμίδες), αλλά και τους τομείς της Επαγγελματικής Εκπαίδευσης, Κατάρτισης και Δια Βίου Μάθησης.</w:t>
      </w:r>
    </w:p>
    <w:p w:rsidR="00041EE7" w:rsidRPr="00041EE7" w:rsidRDefault="00041EE7" w:rsidP="00041EE7">
      <w:pPr>
        <w:jc w:val="both"/>
        <w:rPr>
          <w:sz w:val="22"/>
          <w:szCs w:val="22"/>
        </w:rPr>
      </w:pPr>
    </w:p>
    <w:p w:rsidR="00041EE7" w:rsidRPr="00041EE7" w:rsidRDefault="00041EE7" w:rsidP="00041EE7">
      <w:pPr>
        <w:jc w:val="both"/>
        <w:rPr>
          <w:sz w:val="22"/>
          <w:szCs w:val="22"/>
        </w:rPr>
      </w:pPr>
      <w:r w:rsidRPr="00041EE7">
        <w:rPr>
          <w:sz w:val="22"/>
          <w:szCs w:val="22"/>
        </w:rPr>
        <w:t>Ειδικότερα, έχουν προβλεφθεί οι απαραίτητες πιστώσεις για:</w:t>
      </w:r>
    </w:p>
    <w:p w:rsidR="00041EE7" w:rsidRPr="00041EE7" w:rsidRDefault="00041EE7" w:rsidP="00041EE7">
      <w:pPr>
        <w:jc w:val="both"/>
        <w:rPr>
          <w:sz w:val="22"/>
          <w:szCs w:val="22"/>
        </w:rPr>
      </w:pPr>
    </w:p>
    <w:p w:rsidR="00041EE7" w:rsidRPr="00041EE7" w:rsidRDefault="00041EE7" w:rsidP="00041EE7">
      <w:pPr>
        <w:numPr>
          <w:ilvl w:val="0"/>
          <w:numId w:val="12"/>
        </w:numPr>
        <w:ind w:left="284" w:hanging="284"/>
        <w:jc w:val="both"/>
        <w:rPr>
          <w:sz w:val="22"/>
          <w:szCs w:val="22"/>
        </w:rPr>
      </w:pPr>
      <w:r w:rsidRPr="00041EE7">
        <w:rPr>
          <w:sz w:val="22"/>
          <w:szCs w:val="22"/>
        </w:rPr>
        <w:t>την απρόσκοπτη λειτουργία των επιχορηγούμενων από το Υπουργείο φορέων (ΑΕΙ, ΑΣΠΑΙΤΕ, και λοιπών νομικών προσώπων), προκειμένου να αναπτύξουν τις δράσεις τους,</w:t>
      </w:r>
    </w:p>
    <w:p w:rsidR="00041EE7" w:rsidRPr="00041EE7" w:rsidRDefault="00041EE7" w:rsidP="00041EE7">
      <w:pPr>
        <w:numPr>
          <w:ilvl w:val="0"/>
          <w:numId w:val="12"/>
        </w:numPr>
        <w:ind w:left="284" w:hanging="284"/>
        <w:jc w:val="both"/>
        <w:rPr>
          <w:sz w:val="22"/>
          <w:szCs w:val="22"/>
        </w:rPr>
      </w:pPr>
      <w:r w:rsidRPr="00041EE7">
        <w:rPr>
          <w:sz w:val="22"/>
          <w:szCs w:val="22"/>
        </w:rPr>
        <w:t xml:space="preserve">την καταβολή των εισφορών σε διεθνείς οργανισμούς, </w:t>
      </w:r>
    </w:p>
    <w:p w:rsidR="00041EE7" w:rsidRPr="00041EE7" w:rsidRDefault="00041EE7" w:rsidP="00041EE7">
      <w:pPr>
        <w:numPr>
          <w:ilvl w:val="0"/>
          <w:numId w:val="12"/>
        </w:numPr>
        <w:ind w:left="284" w:hanging="284"/>
        <w:jc w:val="both"/>
        <w:rPr>
          <w:sz w:val="22"/>
          <w:szCs w:val="22"/>
        </w:rPr>
      </w:pPr>
      <w:r w:rsidRPr="00041EE7">
        <w:rPr>
          <w:sz w:val="22"/>
          <w:szCs w:val="22"/>
        </w:rPr>
        <w:t xml:space="preserve">την κάλυψη λειτουργίας των δημόσιων ΙΕΚ, </w:t>
      </w:r>
    </w:p>
    <w:p w:rsidR="00041EE7" w:rsidRPr="00041EE7" w:rsidRDefault="00041EE7" w:rsidP="00041EE7">
      <w:pPr>
        <w:numPr>
          <w:ilvl w:val="0"/>
          <w:numId w:val="12"/>
        </w:numPr>
        <w:ind w:left="284" w:hanging="284"/>
        <w:jc w:val="both"/>
        <w:rPr>
          <w:sz w:val="22"/>
          <w:szCs w:val="22"/>
        </w:rPr>
      </w:pPr>
      <w:r w:rsidRPr="00041EE7">
        <w:rPr>
          <w:sz w:val="22"/>
          <w:szCs w:val="22"/>
        </w:rPr>
        <w:t xml:space="preserve">την κάλυψη μηνιαίας επιδότησης εισιτηρίου για τη δωρεάν μεταφορά των εκπαιδευομένων στα Σχολεία Δεύτερης Ευκαιρίας, από την κατοικία τους στην έδρα της δομής που σπουδάζουν, </w:t>
      </w:r>
    </w:p>
    <w:p w:rsidR="00041EE7" w:rsidRPr="00041EE7" w:rsidRDefault="00041EE7" w:rsidP="00041EE7">
      <w:pPr>
        <w:numPr>
          <w:ilvl w:val="0"/>
          <w:numId w:val="12"/>
        </w:numPr>
        <w:ind w:left="284" w:hanging="284"/>
        <w:jc w:val="both"/>
        <w:rPr>
          <w:sz w:val="22"/>
          <w:szCs w:val="22"/>
        </w:rPr>
      </w:pPr>
      <w:r w:rsidRPr="00041EE7">
        <w:rPr>
          <w:sz w:val="22"/>
          <w:szCs w:val="22"/>
        </w:rPr>
        <w:t>την πρ</w:t>
      </w:r>
      <w:r w:rsidR="002E2B33">
        <w:rPr>
          <w:sz w:val="22"/>
          <w:szCs w:val="22"/>
        </w:rPr>
        <w:t>ομήθεια φοιτητικών συγγραμμάτων,</w:t>
      </w:r>
    </w:p>
    <w:p w:rsidR="00041EE7" w:rsidRPr="00041EE7" w:rsidRDefault="00041EE7" w:rsidP="00041EE7">
      <w:pPr>
        <w:numPr>
          <w:ilvl w:val="0"/>
          <w:numId w:val="12"/>
        </w:numPr>
        <w:ind w:left="284" w:hanging="284"/>
        <w:jc w:val="both"/>
        <w:rPr>
          <w:sz w:val="22"/>
          <w:szCs w:val="22"/>
        </w:rPr>
      </w:pPr>
      <w:r w:rsidRPr="00041EE7">
        <w:rPr>
          <w:sz w:val="22"/>
          <w:szCs w:val="22"/>
        </w:rPr>
        <w:t xml:space="preserve">τη συνέχιση του προγράμματος ενισχυτικής διδασκαλίας </w:t>
      </w:r>
      <w:r w:rsidR="002E2B33">
        <w:rPr>
          <w:sz w:val="22"/>
          <w:szCs w:val="22"/>
        </w:rPr>
        <w:t>για τη δευτεροβάθμια εκπαίδευση</w:t>
      </w:r>
      <w:r w:rsidRPr="00041EE7">
        <w:rPr>
          <w:sz w:val="22"/>
          <w:szCs w:val="22"/>
        </w:rPr>
        <w:t xml:space="preserve"> και</w:t>
      </w:r>
    </w:p>
    <w:p w:rsidR="00041EE7" w:rsidRPr="00041EE7" w:rsidRDefault="00041EE7" w:rsidP="00041EE7">
      <w:pPr>
        <w:numPr>
          <w:ilvl w:val="0"/>
          <w:numId w:val="12"/>
        </w:numPr>
        <w:ind w:left="284" w:hanging="284"/>
        <w:jc w:val="both"/>
        <w:rPr>
          <w:sz w:val="22"/>
          <w:szCs w:val="22"/>
        </w:rPr>
      </w:pPr>
      <w:r w:rsidRPr="00041EE7">
        <w:rPr>
          <w:sz w:val="22"/>
          <w:szCs w:val="22"/>
        </w:rPr>
        <w:t xml:space="preserve">την ειδική ενίσχυση, μέσω των εκπαιδευτικών ιδρυμάτων, των φοιτητών που σπουδάζουν μακριά από τον τόπο κατοικίας τους, καθώς και την κάλυψη των δαπανών σίτισης αυτών. </w:t>
      </w:r>
    </w:p>
    <w:p w:rsidR="00041EE7" w:rsidRPr="00041EE7" w:rsidRDefault="00041EE7" w:rsidP="00041EE7">
      <w:pPr>
        <w:jc w:val="both"/>
        <w:rPr>
          <w:sz w:val="22"/>
          <w:szCs w:val="22"/>
          <w:highlight w:val="yellow"/>
        </w:rPr>
      </w:pPr>
    </w:p>
    <w:p w:rsidR="00041EE7" w:rsidRPr="00041EE7" w:rsidRDefault="00041EE7" w:rsidP="00041EE7">
      <w:pPr>
        <w:jc w:val="both"/>
        <w:rPr>
          <w:sz w:val="22"/>
          <w:szCs w:val="22"/>
        </w:rPr>
      </w:pPr>
      <w:r w:rsidRPr="00041EE7">
        <w:rPr>
          <w:sz w:val="22"/>
          <w:szCs w:val="22"/>
        </w:rPr>
        <w:t>Στις εκτιμήσεις του προϋπολογισμού οικονομικού έτους 2020 μεταξύ άλλων δαπανών περιλαμβάν</w:t>
      </w:r>
      <w:r w:rsidRPr="00041EE7">
        <w:rPr>
          <w:sz w:val="22"/>
          <w:szCs w:val="22"/>
        </w:rPr>
        <w:t>ο</w:t>
      </w:r>
      <w:r w:rsidRPr="00041EE7">
        <w:rPr>
          <w:sz w:val="22"/>
          <w:szCs w:val="22"/>
        </w:rPr>
        <w:t>νται και δαπάνες συνολικού ύψους 6,8 εκατ. ευρώ</w:t>
      </w:r>
      <w:r w:rsidR="00C723C6">
        <w:rPr>
          <w:sz w:val="22"/>
          <w:szCs w:val="22"/>
        </w:rPr>
        <w:t>,</w:t>
      </w:r>
      <w:r w:rsidRPr="00041EE7">
        <w:rPr>
          <w:sz w:val="22"/>
          <w:szCs w:val="22"/>
        </w:rPr>
        <w:t xml:space="preserve"> οι οποίες διατέθηκαν για δράσεις που σχετίζονται με την υλοποίηση μέτρων προστασίας της δημόσιας υγείας από τον </w:t>
      </w:r>
      <w:r w:rsidRPr="00041EE7">
        <w:rPr>
          <w:sz w:val="22"/>
          <w:szCs w:val="22"/>
          <w:lang w:val="en-US"/>
        </w:rPr>
        <w:t>Covid</w:t>
      </w:r>
      <w:r w:rsidRPr="00041EE7">
        <w:rPr>
          <w:sz w:val="22"/>
          <w:szCs w:val="22"/>
        </w:rPr>
        <w:t>-19 και συγκεκριμένα για την κάλυψη έκτακτης δαπάνης μισθοδοσίας των καθαριστριών των σχολικών μονάδων, για την υπ</w:t>
      </w:r>
      <w:r w:rsidRPr="00041EE7">
        <w:rPr>
          <w:sz w:val="22"/>
          <w:szCs w:val="22"/>
        </w:rPr>
        <w:t>ο</w:t>
      </w:r>
      <w:r w:rsidRPr="00041EE7">
        <w:rPr>
          <w:sz w:val="22"/>
          <w:szCs w:val="22"/>
        </w:rPr>
        <w:t>στήριξη απομακρυσμένης διδασκαλίας, πρόσθετες αποζημιώσεις εκπαιδευτικών λόγω αλλαγής της ημερομηνίας διεξαγωγής των πανελλαδικών εξετάσεων, για κάλυψη έκτακτων αναγκών των νοσοκ</w:t>
      </w:r>
      <w:r w:rsidRPr="00041EE7">
        <w:rPr>
          <w:sz w:val="22"/>
          <w:szCs w:val="22"/>
        </w:rPr>
        <w:t>ο</w:t>
      </w:r>
      <w:r w:rsidRPr="00041EE7">
        <w:rPr>
          <w:sz w:val="22"/>
          <w:szCs w:val="22"/>
        </w:rPr>
        <w:t>μείων Αιγινήτειο και Αρεταίειο (έκτακτη οικονομική ενίσχυση προσωπικού, αγορά υγειονομικού υλ</w:t>
      </w:r>
      <w:r w:rsidRPr="00041EE7">
        <w:rPr>
          <w:sz w:val="22"/>
          <w:szCs w:val="22"/>
        </w:rPr>
        <w:t>ι</w:t>
      </w:r>
      <w:r w:rsidRPr="00041EE7">
        <w:rPr>
          <w:sz w:val="22"/>
          <w:szCs w:val="22"/>
        </w:rPr>
        <w:t>κού, εφημερίες επικουρικών ιατρών).</w:t>
      </w:r>
    </w:p>
    <w:p w:rsidR="00041EE7" w:rsidRPr="00041EE7" w:rsidRDefault="00041EE7" w:rsidP="00041EE7">
      <w:pPr>
        <w:jc w:val="both"/>
        <w:rPr>
          <w:sz w:val="22"/>
          <w:szCs w:val="22"/>
        </w:rPr>
      </w:pPr>
    </w:p>
    <w:p w:rsidR="00041EE7" w:rsidRPr="00041EE7" w:rsidRDefault="00041EE7" w:rsidP="00041EE7">
      <w:pPr>
        <w:jc w:val="both"/>
        <w:rPr>
          <w:sz w:val="22"/>
          <w:szCs w:val="22"/>
        </w:rPr>
      </w:pPr>
      <w:r w:rsidRPr="00041EE7">
        <w:rPr>
          <w:sz w:val="22"/>
          <w:szCs w:val="22"/>
        </w:rPr>
        <w:t>Οι πιστώσεις του προϋπολογισμού δημοσίων επενδύσεων του Υπουργείου χρηματοδοτούν έργα υπ</w:t>
      </w:r>
      <w:r w:rsidRPr="00041EE7">
        <w:rPr>
          <w:sz w:val="22"/>
          <w:szCs w:val="22"/>
        </w:rPr>
        <w:t>ο</w:t>
      </w:r>
      <w:r w:rsidRPr="00041EE7">
        <w:rPr>
          <w:sz w:val="22"/>
          <w:szCs w:val="22"/>
        </w:rPr>
        <w:t>δομής, κτιριακές εγκα</w:t>
      </w:r>
      <w:r w:rsidR="002E2B33">
        <w:rPr>
          <w:sz w:val="22"/>
          <w:szCs w:val="22"/>
        </w:rPr>
        <w:t>ταστάσεις και εξοπλισμό των ΑΕΙ</w:t>
      </w:r>
      <w:r w:rsidRPr="00041EE7">
        <w:rPr>
          <w:sz w:val="22"/>
          <w:szCs w:val="22"/>
        </w:rPr>
        <w:t xml:space="preserve"> και των σχολικών μονάδων πρωτοβάθμιας και δευτεροβάθμιας εκπαίδευσης. Επίσης, η διαρκής ανάγκη απόκτησης νέων γνώσεων και δεξιοτ</w:t>
      </w:r>
      <w:r w:rsidRPr="00041EE7">
        <w:rPr>
          <w:sz w:val="22"/>
          <w:szCs w:val="22"/>
        </w:rPr>
        <w:t>ή</w:t>
      </w:r>
      <w:r w:rsidRPr="00041EE7">
        <w:rPr>
          <w:sz w:val="22"/>
          <w:szCs w:val="22"/>
        </w:rPr>
        <w:t xml:space="preserve">των υπηρετείται μέσω των δράσεων των συγχρηματοδοτούμενων προγραμμάτων του ΕΣΠΑ που </w:t>
      </w:r>
      <w:r w:rsidRPr="00041EE7">
        <w:rPr>
          <w:sz w:val="22"/>
          <w:szCs w:val="22"/>
        </w:rPr>
        <w:t>α</w:t>
      </w:r>
      <w:r w:rsidRPr="00041EE7">
        <w:rPr>
          <w:sz w:val="22"/>
          <w:szCs w:val="22"/>
        </w:rPr>
        <w:t>φορούν στην Εκπαίδευση και Δια Βίου Μάθηση, το μεγαλύτερο μέρος των οποίων υλοποιεί το σ</w:t>
      </w:r>
      <w:r w:rsidRPr="00041EE7">
        <w:rPr>
          <w:sz w:val="22"/>
          <w:szCs w:val="22"/>
        </w:rPr>
        <w:t>υ</w:t>
      </w:r>
      <w:r w:rsidRPr="00041EE7">
        <w:rPr>
          <w:sz w:val="22"/>
          <w:szCs w:val="22"/>
        </w:rPr>
        <w:t>γκεκριμένο Υπουργείο. Τέλος από το ΠΔΕ του Υπουργείου καλύπτονται δαπάνες στο</w:t>
      </w:r>
      <w:r w:rsidR="007B350E">
        <w:rPr>
          <w:sz w:val="22"/>
          <w:szCs w:val="22"/>
        </w:rPr>
        <w:t>ν</w:t>
      </w:r>
      <w:r w:rsidRPr="00041EE7">
        <w:rPr>
          <w:sz w:val="22"/>
          <w:szCs w:val="22"/>
        </w:rPr>
        <w:t xml:space="preserve"> μεταναστευτ</w:t>
      </w:r>
      <w:r w:rsidRPr="00041EE7">
        <w:rPr>
          <w:sz w:val="22"/>
          <w:szCs w:val="22"/>
        </w:rPr>
        <w:t>ι</w:t>
      </w:r>
      <w:r w:rsidRPr="00041EE7">
        <w:rPr>
          <w:sz w:val="22"/>
          <w:szCs w:val="22"/>
        </w:rPr>
        <w:t>κό τομέα στο πλαίσιο της αρμοδιότητάς του.</w:t>
      </w:r>
    </w:p>
    <w:p w:rsidR="003438DA" w:rsidRDefault="003438DA" w:rsidP="00041EE7">
      <w:pPr>
        <w:jc w:val="both"/>
        <w:rPr>
          <w:sz w:val="22"/>
          <w:szCs w:val="22"/>
        </w:rPr>
      </w:pPr>
      <w:r>
        <w:rPr>
          <w:sz w:val="22"/>
          <w:szCs w:val="22"/>
        </w:rPr>
        <w:t>Στις εκτιμήσεις του προϋπολογισμού δημοσίων επενδύσεων 2020 περιλαμβάνεται η πληρωμή αν</w:t>
      </w:r>
      <w:r>
        <w:rPr>
          <w:sz w:val="22"/>
          <w:szCs w:val="22"/>
        </w:rPr>
        <w:t>α</w:t>
      </w:r>
      <w:r>
        <w:rPr>
          <w:sz w:val="22"/>
          <w:szCs w:val="22"/>
        </w:rPr>
        <w:t>πληρωτών και ωρομίσθιων εκπαιδευτικών, καθώς και Ειδικού Εκπαιδευτικού και Βοηθητικού Πρ</w:t>
      </w:r>
      <w:r>
        <w:rPr>
          <w:sz w:val="22"/>
          <w:szCs w:val="22"/>
        </w:rPr>
        <w:t>ο</w:t>
      </w:r>
      <w:r>
        <w:rPr>
          <w:sz w:val="22"/>
          <w:szCs w:val="22"/>
        </w:rPr>
        <w:t>σωπικού, για την κάλυψη έκτακτων αναγκών.</w:t>
      </w:r>
    </w:p>
    <w:p w:rsidR="00041EE7" w:rsidRPr="00041EE7" w:rsidRDefault="00041EE7" w:rsidP="00041EE7">
      <w:pPr>
        <w:jc w:val="both"/>
        <w:rPr>
          <w:sz w:val="22"/>
          <w:szCs w:val="22"/>
        </w:rPr>
      </w:pPr>
      <w:r w:rsidRPr="00041EE7">
        <w:rPr>
          <w:sz w:val="22"/>
          <w:szCs w:val="22"/>
        </w:rPr>
        <w:t xml:space="preserve">Το σύνολο των δαπανών του Υπουργείου στο ΠΔΕ έτους 2021 </w:t>
      </w:r>
      <w:r w:rsidR="00294E23" w:rsidRPr="00041EE7">
        <w:rPr>
          <w:sz w:val="22"/>
          <w:szCs w:val="22"/>
        </w:rPr>
        <w:t>προ</w:t>
      </w:r>
      <w:r w:rsidR="00294E23">
        <w:rPr>
          <w:sz w:val="22"/>
          <w:szCs w:val="22"/>
        </w:rPr>
        <w:t>βλέπεται να ανέλθει στα</w:t>
      </w:r>
      <w:r w:rsidRPr="00041EE7">
        <w:rPr>
          <w:sz w:val="22"/>
          <w:szCs w:val="22"/>
        </w:rPr>
        <w:t xml:space="preserve"> 710</w:t>
      </w:r>
      <w:r w:rsidRPr="00041EE7">
        <w:rPr>
          <w:b/>
          <w:sz w:val="22"/>
          <w:szCs w:val="22"/>
        </w:rPr>
        <w:t xml:space="preserve"> </w:t>
      </w:r>
      <w:r w:rsidRPr="00041EE7">
        <w:rPr>
          <w:sz w:val="22"/>
          <w:szCs w:val="22"/>
        </w:rPr>
        <w:t>εκατ. ευρώ.</w:t>
      </w:r>
    </w:p>
    <w:p w:rsidR="00041EE7" w:rsidRPr="00041EE7" w:rsidRDefault="00041EE7" w:rsidP="00041EE7">
      <w:pPr>
        <w:jc w:val="both"/>
        <w:rPr>
          <w:b/>
          <w:i/>
          <w:sz w:val="22"/>
          <w:szCs w:val="22"/>
        </w:rPr>
      </w:pPr>
    </w:p>
    <w:p w:rsidR="00041EE7" w:rsidRPr="00041EE7" w:rsidRDefault="00041EE7" w:rsidP="00041EE7">
      <w:pPr>
        <w:tabs>
          <w:tab w:val="left" w:pos="3720"/>
        </w:tabs>
        <w:rPr>
          <w:rFonts w:ascii="Arial Narrow" w:hAnsi="Arial Narrow"/>
          <w:b/>
          <w:i/>
          <w:sz w:val="22"/>
          <w:szCs w:val="22"/>
        </w:rPr>
      </w:pPr>
      <w:r w:rsidRPr="00041EE7">
        <w:rPr>
          <w:rFonts w:ascii="Arial Narrow" w:hAnsi="Arial Narrow"/>
          <w:b/>
          <w:i/>
          <w:sz w:val="22"/>
          <w:szCs w:val="22"/>
        </w:rPr>
        <w:t>Υπουργείο Πολιτισμού και Αθλητισμού</w:t>
      </w:r>
    </w:p>
    <w:p w:rsidR="00041EE7" w:rsidRPr="00041EE7" w:rsidRDefault="00041EE7" w:rsidP="00041EE7">
      <w:pPr>
        <w:jc w:val="both"/>
        <w:rPr>
          <w:b/>
          <w:i/>
          <w:sz w:val="22"/>
          <w:szCs w:val="22"/>
        </w:rPr>
      </w:pPr>
    </w:p>
    <w:p w:rsidR="00041EE7" w:rsidRPr="00041EE7" w:rsidRDefault="00041EE7" w:rsidP="00041EE7">
      <w:pPr>
        <w:jc w:val="both"/>
        <w:rPr>
          <w:sz w:val="22"/>
          <w:szCs w:val="22"/>
        </w:rPr>
      </w:pPr>
      <w:r w:rsidRPr="00041EE7">
        <w:rPr>
          <w:sz w:val="22"/>
          <w:szCs w:val="22"/>
        </w:rPr>
        <w:t>Οι πιστώσεις του τακτικού προϋπολογισμού του Υπουργείου Πολιτισμού και Αθλητισμού θα καλ</w:t>
      </w:r>
      <w:r w:rsidRPr="00041EE7">
        <w:rPr>
          <w:sz w:val="22"/>
          <w:szCs w:val="22"/>
        </w:rPr>
        <w:t>ύ</w:t>
      </w:r>
      <w:r w:rsidRPr="00041EE7">
        <w:rPr>
          <w:sz w:val="22"/>
          <w:szCs w:val="22"/>
        </w:rPr>
        <w:t>ψουν κυρίως δαπάνες:</w:t>
      </w:r>
    </w:p>
    <w:p w:rsidR="00041EE7" w:rsidRPr="00041EE7" w:rsidRDefault="00041EE7" w:rsidP="00041EE7">
      <w:pPr>
        <w:jc w:val="both"/>
        <w:rPr>
          <w:sz w:val="22"/>
          <w:szCs w:val="22"/>
        </w:rPr>
      </w:pPr>
    </w:p>
    <w:p w:rsidR="00041EE7" w:rsidRPr="00041EE7" w:rsidRDefault="00041EE7" w:rsidP="00041EE7">
      <w:pPr>
        <w:numPr>
          <w:ilvl w:val="0"/>
          <w:numId w:val="12"/>
        </w:numPr>
        <w:tabs>
          <w:tab w:val="num" w:pos="426"/>
        </w:tabs>
        <w:ind w:left="284" w:hanging="284"/>
        <w:jc w:val="both"/>
        <w:rPr>
          <w:sz w:val="22"/>
          <w:szCs w:val="22"/>
        </w:rPr>
      </w:pPr>
      <w:r w:rsidRPr="00041EE7">
        <w:rPr>
          <w:sz w:val="22"/>
          <w:szCs w:val="22"/>
        </w:rPr>
        <w:t>μισθοδοσίας του προσωπικού και πρόσληψης εποχικού προσωπικού για τη φύλαξη των μουσείων και των αρχαιολογικών χώρων,</w:t>
      </w:r>
    </w:p>
    <w:p w:rsidR="00041EE7" w:rsidRPr="00041EE7" w:rsidRDefault="00041EE7" w:rsidP="00041EE7">
      <w:pPr>
        <w:numPr>
          <w:ilvl w:val="0"/>
          <w:numId w:val="12"/>
        </w:numPr>
        <w:tabs>
          <w:tab w:val="num" w:pos="426"/>
        </w:tabs>
        <w:ind w:left="284" w:hanging="284"/>
        <w:jc w:val="both"/>
        <w:rPr>
          <w:sz w:val="22"/>
          <w:szCs w:val="22"/>
        </w:rPr>
      </w:pPr>
      <w:r w:rsidRPr="00041EE7">
        <w:rPr>
          <w:sz w:val="22"/>
          <w:szCs w:val="22"/>
        </w:rPr>
        <w:t>συντήρησης, διαμόρφωσης και προστασίας των αρχαιολογικών χώρων και μουσείων, με στόχο την προστασία και την ανάδειξη της πολιτιστικής κληρονομιάς,</w:t>
      </w:r>
    </w:p>
    <w:p w:rsidR="00041EE7" w:rsidRPr="00041EE7" w:rsidRDefault="00041EE7" w:rsidP="00041EE7">
      <w:pPr>
        <w:numPr>
          <w:ilvl w:val="0"/>
          <w:numId w:val="12"/>
        </w:numPr>
        <w:tabs>
          <w:tab w:val="num" w:pos="426"/>
        </w:tabs>
        <w:ind w:left="284" w:hanging="284"/>
        <w:jc w:val="both"/>
        <w:rPr>
          <w:sz w:val="22"/>
          <w:szCs w:val="22"/>
        </w:rPr>
      </w:pPr>
      <w:r w:rsidRPr="00041EE7">
        <w:rPr>
          <w:sz w:val="22"/>
          <w:szCs w:val="22"/>
        </w:rPr>
        <w:t>λειτουργικών αναγκών των αρχαιολογικών υπηρεσιών,</w:t>
      </w:r>
    </w:p>
    <w:p w:rsidR="00041EE7" w:rsidRPr="00041EE7" w:rsidRDefault="00041EE7" w:rsidP="00041EE7">
      <w:pPr>
        <w:numPr>
          <w:ilvl w:val="0"/>
          <w:numId w:val="12"/>
        </w:numPr>
        <w:tabs>
          <w:tab w:val="num" w:pos="426"/>
        </w:tabs>
        <w:ind w:left="284" w:hanging="284"/>
        <w:jc w:val="both"/>
        <w:rPr>
          <w:sz w:val="22"/>
          <w:szCs w:val="22"/>
        </w:rPr>
      </w:pPr>
      <w:r w:rsidRPr="00041EE7">
        <w:rPr>
          <w:sz w:val="22"/>
          <w:szCs w:val="22"/>
        </w:rPr>
        <w:t>λειτουργι</w:t>
      </w:r>
      <w:r w:rsidR="002E2B33">
        <w:rPr>
          <w:sz w:val="22"/>
          <w:szCs w:val="22"/>
        </w:rPr>
        <w:t>κ</w:t>
      </w:r>
      <w:r w:rsidRPr="00041EE7">
        <w:rPr>
          <w:sz w:val="22"/>
          <w:szCs w:val="22"/>
        </w:rPr>
        <w:t>ών δαπανών για την ανάπτυξη «Εθνικής Πλατφόρμας Αθλητικής Ακεραιότητας»</w:t>
      </w:r>
      <w:r w:rsidR="00D97519">
        <w:rPr>
          <w:sz w:val="22"/>
          <w:szCs w:val="22"/>
        </w:rPr>
        <w:t>,</w:t>
      </w:r>
      <w:r w:rsidRPr="00041EE7">
        <w:rPr>
          <w:sz w:val="22"/>
          <w:szCs w:val="22"/>
        </w:rPr>
        <w:t xml:space="preserve"> με σκοπό την καταπολέμηση της χειραγώγησης αθλητικών αγώνων</w:t>
      </w:r>
      <w:r w:rsidR="00F12575">
        <w:rPr>
          <w:sz w:val="22"/>
          <w:szCs w:val="22"/>
        </w:rPr>
        <w:t>,</w:t>
      </w:r>
    </w:p>
    <w:p w:rsidR="00041EE7" w:rsidRPr="00041EE7" w:rsidRDefault="00041EE7" w:rsidP="00041EE7">
      <w:pPr>
        <w:numPr>
          <w:ilvl w:val="0"/>
          <w:numId w:val="12"/>
        </w:numPr>
        <w:tabs>
          <w:tab w:val="num" w:pos="426"/>
        </w:tabs>
        <w:ind w:left="284" w:hanging="284"/>
        <w:jc w:val="both"/>
        <w:rPr>
          <w:sz w:val="22"/>
          <w:szCs w:val="22"/>
        </w:rPr>
      </w:pPr>
      <w:r w:rsidRPr="00041EE7">
        <w:rPr>
          <w:sz w:val="22"/>
          <w:szCs w:val="22"/>
        </w:rPr>
        <w:lastRenderedPageBreak/>
        <w:t>επιχορηγήσεων φορέων που προάγουν τον πολιτισμό και τον αθλητισμό μεταξύ αυτών και του ν</w:t>
      </w:r>
      <w:r w:rsidRPr="00041EE7">
        <w:rPr>
          <w:sz w:val="22"/>
          <w:szCs w:val="22"/>
        </w:rPr>
        <w:t>ε</w:t>
      </w:r>
      <w:r w:rsidRPr="00041EE7">
        <w:rPr>
          <w:sz w:val="22"/>
          <w:szCs w:val="22"/>
        </w:rPr>
        <w:t>οσύστατου ΝΠΙΔ με την επωνυμία «Κέντρο Πολιτισμού και Δημιουργίας ΑΚΡΟΠΟΛ»,</w:t>
      </w:r>
    </w:p>
    <w:p w:rsidR="00041EE7" w:rsidRPr="00041EE7" w:rsidRDefault="00041EE7" w:rsidP="00041EE7">
      <w:pPr>
        <w:numPr>
          <w:ilvl w:val="0"/>
          <w:numId w:val="12"/>
        </w:numPr>
        <w:tabs>
          <w:tab w:val="num" w:pos="426"/>
        </w:tabs>
        <w:ind w:left="284" w:hanging="284"/>
        <w:jc w:val="both"/>
        <w:rPr>
          <w:sz w:val="22"/>
          <w:szCs w:val="22"/>
        </w:rPr>
      </w:pPr>
      <w:r w:rsidRPr="00041EE7">
        <w:rPr>
          <w:sz w:val="22"/>
          <w:szCs w:val="22"/>
        </w:rPr>
        <w:t>κάλυψης πολιτιστικών εκδηλώσεων, συνεδρίων και προγραμμάτων διάδοσης του ελληνικού πολ</w:t>
      </w:r>
      <w:r w:rsidRPr="00041EE7">
        <w:rPr>
          <w:sz w:val="22"/>
          <w:szCs w:val="22"/>
        </w:rPr>
        <w:t>ι</w:t>
      </w:r>
      <w:r w:rsidR="00D97519">
        <w:rPr>
          <w:sz w:val="22"/>
          <w:szCs w:val="22"/>
        </w:rPr>
        <w:t>τισμού</w:t>
      </w:r>
      <w:r w:rsidRPr="00041EE7">
        <w:rPr>
          <w:sz w:val="22"/>
          <w:szCs w:val="22"/>
        </w:rPr>
        <w:t xml:space="preserve"> και</w:t>
      </w:r>
    </w:p>
    <w:p w:rsidR="00041EE7" w:rsidRPr="00041EE7" w:rsidRDefault="00041EE7" w:rsidP="00041EE7">
      <w:pPr>
        <w:numPr>
          <w:ilvl w:val="0"/>
          <w:numId w:val="12"/>
        </w:numPr>
        <w:tabs>
          <w:tab w:val="num" w:pos="426"/>
        </w:tabs>
        <w:ind w:left="284" w:hanging="284"/>
        <w:jc w:val="both"/>
        <w:rPr>
          <w:sz w:val="22"/>
          <w:szCs w:val="22"/>
        </w:rPr>
      </w:pPr>
      <w:r w:rsidRPr="00041EE7">
        <w:rPr>
          <w:sz w:val="22"/>
          <w:szCs w:val="22"/>
        </w:rPr>
        <w:t>προβολής των πολιτιστικών θησαυρών της χώρας</w:t>
      </w:r>
      <w:r w:rsidR="00EB7CA8">
        <w:rPr>
          <w:sz w:val="22"/>
          <w:szCs w:val="22"/>
        </w:rPr>
        <w:t>,</w:t>
      </w:r>
      <w:r w:rsidRPr="00041EE7">
        <w:rPr>
          <w:sz w:val="22"/>
          <w:szCs w:val="22"/>
        </w:rPr>
        <w:t xml:space="preserve"> με σκοπό την καθιέρωσή της ως προορισμό </w:t>
      </w:r>
      <w:r w:rsidRPr="00041EE7">
        <w:rPr>
          <w:sz w:val="22"/>
          <w:szCs w:val="22"/>
        </w:rPr>
        <w:t>υ</w:t>
      </w:r>
      <w:r w:rsidRPr="00041EE7">
        <w:rPr>
          <w:sz w:val="22"/>
          <w:szCs w:val="22"/>
        </w:rPr>
        <w:t>ψηλού πολιτιστικού ενδιαφέροντος.</w:t>
      </w:r>
    </w:p>
    <w:p w:rsidR="00041EE7" w:rsidRPr="00041EE7" w:rsidRDefault="00041EE7" w:rsidP="00041EE7">
      <w:pPr>
        <w:jc w:val="both"/>
        <w:rPr>
          <w:sz w:val="22"/>
          <w:szCs w:val="22"/>
        </w:rPr>
      </w:pPr>
    </w:p>
    <w:p w:rsidR="00041EE7" w:rsidRPr="00041EE7" w:rsidRDefault="00041EE7" w:rsidP="00041EE7">
      <w:pPr>
        <w:jc w:val="both"/>
        <w:rPr>
          <w:sz w:val="22"/>
          <w:szCs w:val="22"/>
        </w:rPr>
      </w:pPr>
      <w:r w:rsidRPr="00041EE7">
        <w:rPr>
          <w:sz w:val="22"/>
          <w:szCs w:val="22"/>
        </w:rPr>
        <w:t>Στις εκτιμήσεις του προϋπολογισμού του 2020, μεταξύ άλλων, περιλαμβάνονται και δαπάνες συνολ</w:t>
      </w:r>
      <w:r w:rsidRPr="00041EE7">
        <w:rPr>
          <w:sz w:val="22"/>
          <w:szCs w:val="22"/>
        </w:rPr>
        <w:t>ι</w:t>
      </w:r>
      <w:r w:rsidRPr="00041EE7">
        <w:rPr>
          <w:sz w:val="22"/>
          <w:szCs w:val="22"/>
        </w:rPr>
        <w:t xml:space="preserve">κού ύψους </w:t>
      </w:r>
      <w:r w:rsidR="00D408BE">
        <w:rPr>
          <w:sz w:val="22"/>
          <w:szCs w:val="22"/>
        </w:rPr>
        <w:t>42</w:t>
      </w:r>
      <w:r w:rsidRPr="00041EE7">
        <w:rPr>
          <w:sz w:val="22"/>
          <w:szCs w:val="22"/>
        </w:rPr>
        <w:t>εκ</w:t>
      </w:r>
      <w:r w:rsidR="00F12575">
        <w:rPr>
          <w:sz w:val="22"/>
          <w:szCs w:val="22"/>
        </w:rPr>
        <w:t>ατ</w:t>
      </w:r>
      <w:r w:rsidRPr="00041EE7">
        <w:rPr>
          <w:sz w:val="22"/>
          <w:szCs w:val="22"/>
        </w:rPr>
        <w:t xml:space="preserve">. ευρώ </w:t>
      </w:r>
      <w:r w:rsidR="003A25F4">
        <w:rPr>
          <w:sz w:val="22"/>
          <w:szCs w:val="22"/>
        </w:rPr>
        <w:t xml:space="preserve">(εκ των οποίων 30 εκατ. περιλαμβάνονται στις Γενικές Κρατικές Δαπάνες) </w:t>
      </w:r>
      <w:r w:rsidRPr="00041EE7">
        <w:rPr>
          <w:sz w:val="22"/>
          <w:szCs w:val="22"/>
        </w:rPr>
        <w:t>για δράσεις που σχετίζονται με την υλοποίηση μέτρων αντιμετώπισης των αρνητικών συνεπειών της υγειονομικής κρίσης και συγκεκριμένα για την ενίσχυση πολιτιστικών φορέων στο πλαίσιο του πρ</w:t>
      </w:r>
      <w:r w:rsidRPr="00041EE7">
        <w:rPr>
          <w:sz w:val="22"/>
          <w:szCs w:val="22"/>
        </w:rPr>
        <w:t>ο</w:t>
      </w:r>
      <w:r w:rsidRPr="00041EE7">
        <w:rPr>
          <w:sz w:val="22"/>
          <w:szCs w:val="22"/>
        </w:rPr>
        <w:t>γράμματος «Όλη η Ελλάδα ένας πολιτισμός» και πρόσθετη επιχορήγηση σε φορείς της Γενικής Κ</w:t>
      </w:r>
      <w:r w:rsidRPr="00041EE7">
        <w:rPr>
          <w:sz w:val="22"/>
          <w:szCs w:val="22"/>
        </w:rPr>
        <w:t>υ</w:t>
      </w:r>
      <w:r w:rsidRPr="00041EE7">
        <w:rPr>
          <w:sz w:val="22"/>
          <w:szCs w:val="22"/>
        </w:rPr>
        <w:t>βέρνησης λόγω απώλειας εσόδων εξαιτίας της πανδημίας.</w:t>
      </w:r>
    </w:p>
    <w:p w:rsidR="00041EE7" w:rsidRPr="00041EE7" w:rsidRDefault="00041EE7" w:rsidP="00041EE7">
      <w:pPr>
        <w:jc w:val="both"/>
        <w:rPr>
          <w:sz w:val="22"/>
          <w:szCs w:val="22"/>
        </w:rPr>
      </w:pPr>
    </w:p>
    <w:p w:rsidR="00041EE7" w:rsidRPr="00041EE7" w:rsidRDefault="00041EE7" w:rsidP="00041EE7">
      <w:pPr>
        <w:jc w:val="both"/>
        <w:rPr>
          <w:sz w:val="22"/>
          <w:szCs w:val="22"/>
        </w:rPr>
      </w:pPr>
      <w:r w:rsidRPr="00041EE7">
        <w:rPr>
          <w:sz w:val="22"/>
          <w:szCs w:val="22"/>
        </w:rPr>
        <w:t>Οι πιστώσεις του προϋπολογισμού δημοσίων επενδύσεων του Υπουργείου χρηματοδοτούν έργα, όπως η κατασκευή, βελτίωση και αναδιοργάνωση μουσείων, η συντήρηση μνημείων και αρχαιολογικών χώρων και η συνολική ανάδειξή τους, καθώς και η κατασκευή και βελτίωση αθλητικών εγκαταστ</w:t>
      </w:r>
      <w:r w:rsidRPr="00041EE7">
        <w:rPr>
          <w:sz w:val="22"/>
          <w:szCs w:val="22"/>
        </w:rPr>
        <w:t>ά</w:t>
      </w:r>
      <w:r w:rsidRPr="00041EE7">
        <w:rPr>
          <w:sz w:val="22"/>
          <w:szCs w:val="22"/>
        </w:rPr>
        <w:t>σεων.</w:t>
      </w:r>
    </w:p>
    <w:p w:rsidR="00041EE7" w:rsidRPr="00041EE7" w:rsidRDefault="00041EE7" w:rsidP="00041EE7">
      <w:pPr>
        <w:jc w:val="both"/>
        <w:rPr>
          <w:sz w:val="22"/>
          <w:szCs w:val="22"/>
        </w:rPr>
      </w:pPr>
      <w:r w:rsidRPr="00041EE7">
        <w:rPr>
          <w:sz w:val="22"/>
          <w:szCs w:val="22"/>
        </w:rPr>
        <w:t xml:space="preserve">Το σύνολο των δαπανών του Υπουργείου στο ΠΔΕ έτους 2021 </w:t>
      </w:r>
      <w:r w:rsidR="00294E23" w:rsidRPr="00041EE7">
        <w:rPr>
          <w:sz w:val="22"/>
          <w:szCs w:val="22"/>
        </w:rPr>
        <w:t>προ</w:t>
      </w:r>
      <w:r w:rsidR="00294E23">
        <w:rPr>
          <w:sz w:val="22"/>
          <w:szCs w:val="22"/>
        </w:rPr>
        <w:t>βλέπεται να ανέλθει στα</w:t>
      </w:r>
      <w:r w:rsidRPr="00041EE7">
        <w:rPr>
          <w:sz w:val="22"/>
          <w:szCs w:val="22"/>
        </w:rPr>
        <w:t xml:space="preserve"> 35 εκατ. ευρώ.</w:t>
      </w:r>
    </w:p>
    <w:p w:rsidR="00041EE7" w:rsidRPr="00041EE7" w:rsidRDefault="00041EE7" w:rsidP="00041EE7">
      <w:pPr>
        <w:jc w:val="both"/>
        <w:rPr>
          <w:b/>
          <w:i/>
          <w:sz w:val="22"/>
          <w:szCs w:val="22"/>
        </w:rPr>
      </w:pPr>
    </w:p>
    <w:p w:rsidR="00041EE7" w:rsidRPr="00041EE7" w:rsidRDefault="00041EE7" w:rsidP="00041EE7">
      <w:pPr>
        <w:tabs>
          <w:tab w:val="left" w:pos="3720"/>
        </w:tabs>
        <w:rPr>
          <w:rFonts w:ascii="Arial Narrow" w:hAnsi="Arial Narrow"/>
          <w:b/>
          <w:i/>
          <w:sz w:val="22"/>
          <w:szCs w:val="22"/>
        </w:rPr>
      </w:pPr>
      <w:r w:rsidRPr="00041EE7">
        <w:rPr>
          <w:rFonts w:ascii="Arial Narrow" w:hAnsi="Arial Narrow"/>
          <w:b/>
          <w:i/>
          <w:sz w:val="22"/>
          <w:szCs w:val="22"/>
        </w:rPr>
        <w:t xml:space="preserve">Υπουργείο Οικονομικών </w:t>
      </w:r>
    </w:p>
    <w:p w:rsidR="00041EE7" w:rsidRPr="00041EE7" w:rsidRDefault="00041EE7" w:rsidP="00041EE7">
      <w:pPr>
        <w:jc w:val="both"/>
        <w:rPr>
          <w:sz w:val="22"/>
          <w:szCs w:val="22"/>
        </w:rPr>
      </w:pPr>
    </w:p>
    <w:p w:rsidR="00041EE7" w:rsidRPr="00041EE7" w:rsidRDefault="00041EE7" w:rsidP="00041EE7">
      <w:pPr>
        <w:jc w:val="both"/>
        <w:rPr>
          <w:sz w:val="22"/>
          <w:szCs w:val="22"/>
        </w:rPr>
      </w:pPr>
      <w:r w:rsidRPr="00041EE7">
        <w:rPr>
          <w:sz w:val="22"/>
          <w:szCs w:val="22"/>
        </w:rPr>
        <w:t>Στον τακτικό προϋπολογισμό του Υπουργείου, πέραν των πιστώσεων που έχουν προβλεφθεί για τη λειτουργία των υπηρεσιών του, περιλαμβάνονται πιστώσεις και για το Νομικό Συμβούλιο του Κρ</w:t>
      </w:r>
      <w:r w:rsidRPr="00041EE7">
        <w:rPr>
          <w:sz w:val="22"/>
          <w:szCs w:val="22"/>
        </w:rPr>
        <w:t>ά</w:t>
      </w:r>
      <w:r w:rsidRPr="00041EE7">
        <w:rPr>
          <w:sz w:val="22"/>
          <w:szCs w:val="22"/>
        </w:rPr>
        <w:t>τους, την Ειδική Γραμματεία Διαχείρισης Ιδιωτικού Χρέους, την Εθνική Επιτροπή για τα Δικαιώματα του Ανθρώπου, καθώς και για τη νέα Ειδική Υπηρεσία Συντονισμού Ταμείου Ανάκαμψης.</w:t>
      </w:r>
    </w:p>
    <w:p w:rsidR="00041EE7" w:rsidRPr="00041EE7" w:rsidRDefault="00041EE7" w:rsidP="00041EE7">
      <w:pPr>
        <w:jc w:val="both"/>
        <w:rPr>
          <w:sz w:val="22"/>
          <w:szCs w:val="22"/>
        </w:rPr>
      </w:pPr>
    </w:p>
    <w:p w:rsidR="00041EE7" w:rsidRPr="00041EE7" w:rsidRDefault="00041EE7" w:rsidP="00041EE7">
      <w:pPr>
        <w:jc w:val="both"/>
        <w:rPr>
          <w:sz w:val="22"/>
          <w:szCs w:val="22"/>
        </w:rPr>
      </w:pPr>
      <w:r w:rsidRPr="00041EE7">
        <w:rPr>
          <w:sz w:val="22"/>
          <w:szCs w:val="22"/>
        </w:rPr>
        <w:t xml:space="preserve">Επίσης, περιλαμβάνονται και οι πιστώσεις για την Ανεξάρτητη Αρχή Δημοσίων Εσόδων, την Αρχή Καταπολέμησης της Νομιμοποίησης Εσόδων από Εγκληματικές Δραστηριότητες, καθώς </w:t>
      </w:r>
      <w:r w:rsidR="00C723C6">
        <w:rPr>
          <w:sz w:val="22"/>
          <w:szCs w:val="22"/>
        </w:rPr>
        <w:t xml:space="preserve">και </w:t>
      </w:r>
      <w:r w:rsidRPr="00041EE7">
        <w:rPr>
          <w:sz w:val="22"/>
          <w:szCs w:val="22"/>
        </w:rPr>
        <w:t>το Εθν</w:t>
      </w:r>
      <w:r w:rsidRPr="00041EE7">
        <w:rPr>
          <w:sz w:val="22"/>
          <w:szCs w:val="22"/>
        </w:rPr>
        <w:t>ι</w:t>
      </w:r>
      <w:r w:rsidRPr="00041EE7">
        <w:rPr>
          <w:sz w:val="22"/>
          <w:szCs w:val="22"/>
        </w:rPr>
        <w:t>κό Συμβούλιο Ραδιοτηλεόρασης.</w:t>
      </w:r>
    </w:p>
    <w:p w:rsidR="00041EE7" w:rsidRPr="00041EE7" w:rsidRDefault="00041EE7" w:rsidP="00041EE7">
      <w:pPr>
        <w:jc w:val="both"/>
        <w:rPr>
          <w:sz w:val="22"/>
          <w:szCs w:val="22"/>
        </w:rPr>
      </w:pPr>
    </w:p>
    <w:p w:rsidR="00041EE7" w:rsidRPr="00041EE7" w:rsidRDefault="0018650C" w:rsidP="00041EE7">
      <w:pPr>
        <w:jc w:val="both"/>
        <w:rPr>
          <w:sz w:val="22"/>
          <w:szCs w:val="22"/>
        </w:rPr>
      </w:pPr>
      <w:r>
        <w:rPr>
          <w:sz w:val="22"/>
          <w:szCs w:val="22"/>
        </w:rPr>
        <w:t>Τέλος,</w:t>
      </w:r>
      <w:r w:rsidR="00041EE7" w:rsidRPr="00041EE7">
        <w:rPr>
          <w:sz w:val="22"/>
          <w:szCs w:val="22"/>
        </w:rPr>
        <w:t xml:space="preserve"> </w:t>
      </w:r>
      <w:r w:rsidR="00294E23">
        <w:rPr>
          <w:sz w:val="22"/>
          <w:szCs w:val="22"/>
        </w:rPr>
        <w:t>περιλαμβάνεται</w:t>
      </w:r>
      <w:r w:rsidR="00041EE7" w:rsidRPr="00041EE7">
        <w:rPr>
          <w:sz w:val="22"/>
          <w:szCs w:val="22"/>
        </w:rPr>
        <w:t xml:space="preserve"> και ο ειδικός φορέας «Γενικές Κρατικές Δαπάνες» για την αντιμετώπιση δι</w:t>
      </w:r>
      <w:r w:rsidR="00041EE7" w:rsidRPr="00041EE7">
        <w:rPr>
          <w:sz w:val="22"/>
          <w:szCs w:val="22"/>
        </w:rPr>
        <w:t>α</w:t>
      </w:r>
      <w:r w:rsidR="00041EE7" w:rsidRPr="00041EE7">
        <w:rPr>
          <w:sz w:val="22"/>
          <w:szCs w:val="22"/>
        </w:rPr>
        <w:t xml:space="preserve">φόρων οριζόντιων θεμάτων της κεντρικής διοίκησης. Οι πιστώσεις του εμφανίζονται διακριτά στον πίνακα </w:t>
      </w:r>
      <w:r>
        <w:rPr>
          <w:sz w:val="22"/>
          <w:szCs w:val="22"/>
        </w:rPr>
        <w:t xml:space="preserve">και </w:t>
      </w:r>
      <w:r w:rsidR="00041EE7" w:rsidRPr="00041EE7">
        <w:rPr>
          <w:sz w:val="22"/>
          <w:szCs w:val="22"/>
        </w:rPr>
        <w:t>προβλέπεται να καλύψουν, μεταξύ άλλων, το αποθεματικό, τις πιστώσεις υπό κατανομή για νέες προσλήψεις, τις συντάξεις που πληρώνονται απευθείας από το κράτος, τις Υπηρεσίες Κοινής Ωφέλειας,</w:t>
      </w:r>
      <w:r>
        <w:rPr>
          <w:sz w:val="22"/>
          <w:szCs w:val="22"/>
        </w:rPr>
        <w:t xml:space="preserve"> τις αποδόσεις στην ΕΕ, το επίδομα θέρμανσης,</w:t>
      </w:r>
      <w:r w:rsidR="00041EE7" w:rsidRPr="00041EE7">
        <w:rPr>
          <w:sz w:val="22"/>
          <w:szCs w:val="22"/>
        </w:rPr>
        <w:t xml:space="preserve"> τις καταπτώσεις εγγυήσεων με εγγυητή το Ελληνικό Δημόσιο, τους τόκους και τα συναφή τραπεζικά έξοδα.</w:t>
      </w:r>
    </w:p>
    <w:p w:rsidR="00041EE7" w:rsidRDefault="00041EE7" w:rsidP="00041EE7">
      <w:pPr>
        <w:jc w:val="both"/>
        <w:rPr>
          <w:sz w:val="22"/>
          <w:szCs w:val="22"/>
        </w:rPr>
      </w:pPr>
    </w:p>
    <w:p w:rsidR="003438DA" w:rsidRPr="003438DA" w:rsidRDefault="003438DA" w:rsidP="00041EE7">
      <w:pPr>
        <w:jc w:val="both"/>
        <w:rPr>
          <w:sz w:val="22"/>
          <w:szCs w:val="22"/>
        </w:rPr>
      </w:pPr>
      <w:r>
        <w:rPr>
          <w:sz w:val="22"/>
          <w:szCs w:val="22"/>
        </w:rPr>
        <w:t>Στις εκτιμήσεις του προϋπολογισμού δημοσίων επενδύσεων 2020 του Υπουργείου ύψους 1.495 εκατ. ευρώ</w:t>
      </w:r>
      <w:r w:rsidR="00C723C6">
        <w:rPr>
          <w:sz w:val="22"/>
          <w:szCs w:val="22"/>
        </w:rPr>
        <w:t>,</w:t>
      </w:r>
      <w:r>
        <w:rPr>
          <w:sz w:val="22"/>
          <w:szCs w:val="22"/>
        </w:rPr>
        <w:t xml:space="preserve"> περιλαμβάνονται η χορήγηση ενίσχυσης με τη μορφή επιστρεπτέας προκαταβολής σε επιχειρ</w:t>
      </w:r>
      <w:r>
        <w:rPr>
          <w:sz w:val="22"/>
          <w:szCs w:val="22"/>
        </w:rPr>
        <w:t>ή</w:t>
      </w:r>
      <w:r>
        <w:rPr>
          <w:sz w:val="22"/>
          <w:szCs w:val="22"/>
        </w:rPr>
        <w:t xml:space="preserve">σεις που επλήγησαν οικονομικά λόγω της εμφάνισης και διάδοσης της νόσου του κορωνοϊού </w:t>
      </w:r>
      <w:r>
        <w:rPr>
          <w:sz w:val="22"/>
          <w:szCs w:val="22"/>
          <w:lang w:val="en-US"/>
        </w:rPr>
        <w:t>Covid</w:t>
      </w:r>
      <w:r w:rsidRPr="003438DA">
        <w:rPr>
          <w:sz w:val="22"/>
          <w:szCs w:val="22"/>
        </w:rPr>
        <w:t>-19</w:t>
      </w:r>
      <w:r>
        <w:rPr>
          <w:sz w:val="22"/>
          <w:szCs w:val="22"/>
        </w:rPr>
        <w:t xml:space="preserve"> (περίπου 1.000 εκατ. ευρώ) και η αποζημίωση ειδικού σκοπού για την ενίσχυση επιχ</w:t>
      </w:r>
      <w:r w:rsidR="00802CEB">
        <w:rPr>
          <w:sz w:val="22"/>
          <w:szCs w:val="22"/>
        </w:rPr>
        <w:t>ειρήσεων και αυτοαπασχολούμενων, το υπόλοιπο ποσό.</w:t>
      </w:r>
    </w:p>
    <w:p w:rsidR="00041EE7" w:rsidRPr="00041EE7" w:rsidRDefault="00041EE7" w:rsidP="00041EE7">
      <w:pPr>
        <w:jc w:val="both"/>
        <w:rPr>
          <w:sz w:val="22"/>
          <w:szCs w:val="22"/>
        </w:rPr>
      </w:pPr>
      <w:r w:rsidRPr="00041EE7">
        <w:rPr>
          <w:sz w:val="22"/>
          <w:szCs w:val="22"/>
        </w:rPr>
        <w:t xml:space="preserve">Το σύνολο των δαπανών του Υπουργείου στο ΠΔΕ έτους 2021 </w:t>
      </w:r>
      <w:r w:rsidR="00294E23" w:rsidRPr="00041EE7">
        <w:rPr>
          <w:sz w:val="22"/>
          <w:szCs w:val="22"/>
        </w:rPr>
        <w:t>προ</w:t>
      </w:r>
      <w:r w:rsidR="00294E23">
        <w:rPr>
          <w:sz w:val="22"/>
          <w:szCs w:val="22"/>
        </w:rPr>
        <w:t>βλέπεται να ανέλθει στα</w:t>
      </w:r>
      <w:r w:rsidRPr="00041EE7">
        <w:rPr>
          <w:sz w:val="22"/>
          <w:szCs w:val="22"/>
        </w:rPr>
        <w:t xml:space="preserve"> 23</w:t>
      </w:r>
      <w:r w:rsidRPr="00041EE7">
        <w:rPr>
          <w:b/>
          <w:sz w:val="22"/>
          <w:szCs w:val="22"/>
        </w:rPr>
        <w:t xml:space="preserve"> </w:t>
      </w:r>
      <w:r w:rsidRPr="00041EE7">
        <w:rPr>
          <w:sz w:val="22"/>
          <w:szCs w:val="22"/>
        </w:rPr>
        <w:t>εκατ. ευρώ.</w:t>
      </w:r>
    </w:p>
    <w:p w:rsidR="00041EE7" w:rsidRPr="00041EE7" w:rsidRDefault="00041EE7" w:rsidP="00041EE7">
      <w:pPr>
        <w:jc w:val="both"/>
        <w:rPr>
          <w:sz w:val="22"/>
          <w:szCs w:val="22"/>
        </w:rPr>
      </w:pPr>
    </w:p>
    <w:p w:rsidR="00041EE7" w:rsidRPr="00041EE7" w:rsidRDefault="00041EE7" w:rsidP="00041EE7">
      <w:pPr>
        <w:jc w:val="both"/>
        <w:rPr>
          <w:b/>
          <w:sz w:val="22"/>
          <w:szCs w:val="22"/>
        </w:rPr>
      </w:pPr>
      <w:r w:rsidRPr="00041EE7">
        <w:rPr>
          <w:b/>
          <w:sz w:val="22"/>
          <w:szCs w:val="22"/>
        </w:rPr>
        <w:t>Ανεξάρτητη Αρχή Δημοσίων Εσόδων</w:t>
      </w:r>
    </w:p>
    <w:p w:rsidR="00041EE7" w:rsidRPr="00041EE7" w:rsidRDefault="00041EE7" w:rsidP="00041EE7">
      <w:pPr>
        <w:jc w:val="both"/>
        <w:rPr>
          <w:sz w:val="22"/>
          <w:szCs w:val="22"/>
        </w:rPr>
      </w:pPr>
    </w:p>
    <w:p w:rsidR="00041EE7" w:rsidRPr="00041EE7" w:rsidRDefault="00041EE7" w:rsidP="00041EE7">
      <w:pPr>
        <w:jc w:val="both"/>
        <w:rPr>
          <w:sz w:val="22"/>
          <w:szCs w:val="22"/>
        </w:rPr>
      </w:pPr>
      <w:r w:rsidRPr="00041EE7">
        <w:rPr>
          <w:sz w:val="22"/>
          <w:szCs w:val="22"/>
        </w:rPr>
        <w:t>Στον Κρατικό Προϋπολογισμό και ειδικότερα στον προϋπολογισμό του Υπουργείου Οικονομικών, σε ξεχωριστούς ειδικούς φορείς, περιλαμβάνεται και ο προϋπολογισμός της Ανεξάρτητης Αρχής Δημ</w:t>
      </w:r>
      <w:r w:rsidRPr="00041EE7">
        <w:rPr>
          <w:sz w:val="22"/>
          <w:szCs w:val="22"/>
        </w:rPr>
        <w:t>ο</w:t>
      </w:r>
      <w:r w:rsidRPr="00041EE7">
        <w:rPr>
          <w:sz w:val="22"/>
          <w:szCs w:val="22"/>
        </w:rPr>
        <w:t xml:space="preserve">σίων Εσόδων (ΑΑΔΕ). </w:t>
      </w:r>
    </w:p>
    <w:p w:rsidR="00041EE7" w:rsidRPr="00041EE7" w:rsidRDefault="00041EE7" w:rsidP="00041EE7">
      <w:pPr>
        <w:jc w:val="both"/>
        <w:rPr>
          <w:sz w:val="22"/>
          <w:szCs w:val="22"/>
        </w:rPr>
      </w:pPr>
    </w:p>
    <w:p w:rsidR="00041EE7" w:rsidRPr="00041EE7" w:rsidRDefault="00041EE7" w:rsidP="00041EE7">
      <w:pPr>
        <w:jc w:val="both"/>
        <w:rPr>
          <w:sz w:val="22"/>
          <w:szCs w:val="22"/>
        </w:rPr>
      </w:pPr>
      <w:r w:rsidRPr="00041EE7">
        <w:rPr>
          <w:sz w:val="22"/>
          <w:szCs w:val="22"/>
        </w:rPr>
        <w:t xml:space="preserve">Ειδικότερα, στον τακτικό προϋπολογισμό έχουν προβλεφθεί συνολικές πιστώσεις ύψους 502,8 εκατ. ευρώ έναντι πρότασής της για πιστώσεις ύψους 553,8 εκατ. ευρώ και ανώτατου ορίου δαπανών ύψους </w:t>
      </w:r>
      <w:r w:rsidRPr="00041EE7">
        <w:rPr>
          <w:sz w:val="22"/>
          <w:szCs w:val="22"/>
        </w:rPr>
        <w:lastRenderedPageBreak/>
        <w:t>448,0 εκατ. ευρώ που προβλέπονταν για την ΑΑΔΕ στη σχετική εγκύκλιο κατάρτισης προϋπολογ</w:t>
      </w:r>
      <w:r w:rsidRPr="00041EE7">
        <w:rPr>
          <w:sz w:val="22"/>
          <w:szCs w:val="22"/>
        </w:rPr>
        <w:t>ι</w:t>
      </w:r>
      <w:r w:rsidRPr="00041EE7">
        <w:rPr>
          <w:sz w:val="22"/>
          <w:szCs w:val="22"/>
        </w:rPr>
        <w:t xml:space="preserve">σμού Γενικής Κυβέρνησης οικονομικού έτους 2021. Σημειώνεται ότι στην κατηγορία «Παροχές σε εργαζομένους» έχουν περιληφθεί συνολικές πιστώσεις ύψους 45,4 εκατ. ευρώ για την κάλυψη του </w:t>
      </w:r>
      <w:r w:rsidRPr="00041EE7">
        <w:rPr>
          <w:sz w:val="22"/>
          <w:szCs w:val="22"/>
        </w:rPr>
        <w:t>ε</w:t>
      </w:r>
      <w:r w:rsidRPr="00041EE7">
        <w:rPr>
          <w:sz w:val="22"/>
          <w:szCs w:val="22"/>
        </w:rPr>
        <w:t>πιπλέον κόστους επανασχεδιασμού του μισθολογίου του προσωπικού της ΑΑΔΕ.</w:t>
      </w:r>
    </w:p>
    <w:p w:rsidR="00041EE7" w:rsidRPr="00041EE7" w:rsidRDefault="00041EE7" w:rsidP="00041EE7">
      <w:pPr>
        <w:jc w:val="both"/>
        <w:rPr>
          <w:sz w:val="22"/>
          <w:szCs w:val="22"/>
        </w:rPr>
      </w:pPr>
    </w:p>
    <w:p w:rsidR="00041EE7" w:rsidRPr="00041EE7" w:rsidRDefault="00041EE7" w:rsidP="00041EE7">
      <w:pPr>
        <w:jc w:val="both"/>
        <w:rPr>
          <w:sz w:val="22"/>
          <w:szCs w:val="22"/>
        </w:rPr>
      </w:pPr>
      <w:r w:rsidRPr="00041EE7">
        <w:rPr>
          <w:sz w:val="22"/>
          <w:szCs w:val="22"/>
        </w:rPr>
        <w:t>Τέλος, η ΑΑΔΕ συμμετέχει με έργα της σε μεγάλο μέρος του ΠΔΕ του φορέα.</w:t>
      </w:r>
    </w:p>
    <w:p w:rsidR="00041EE7" w:rsidRPr="00041EE7" w:rsidRDefault="00041EE7" w:rsidP="00041EE7">
      <w:pPr>
        <w:jc w:val="both"/>
        <w:rPr>
          <w:sz w:val="22"/>
          <w:szCs w:val="22"/>
        </w:rPr>
      </w:pPr>
    </w:p>
    <w:p w:rsidR="00041EE7" w:rsidRPr="00041EE7" w:rsidRDefault="00041EE7" w:rsidP="00041EE7">
      <w:pPr>
        <w:tabs>
          <w:tab w:val="left" w:pos="3720"/>
        </w:tabs>
        <w:rPr>
          <w:rFonts w:ascii="Arial Narrow" w:hAnsi="Arial Narrow"/>
          <w:b/>
          <w:i/>
          <w:sz w:val="22"/>
          <w:szCs w:val="22"/>
        </w:rPr>
      </w:pPr>
      <w:r w:rsidRPr="00041EE7">
        <w:rPr>
          <w:rFonts w:ascii="Arial Narrow" w:hAnsi="Arial Narrow"/>
          <w:b/>
          <w:i/>
          <w:sz w:val="22"/>
          <w:szCs w:val="22"/>
        </w:rPr>
        <w:t>Υπουργείο Αγροτικής Ανάπτυξης και Τροφίμων</w:t>
      </w:r>
    </w:p>
    <w:p w:rsidR="00041EE7" w:rsidRPr="00041EE7" w:rsidRDefault="00041EE7" w:rsidP="00041EE7">
      <w:pPr>
        <w:jc w:val="both"/>
        <w:rPr>
          <w:sz w:val="22"/>
          <w:szCs w:val="22"/>
        </w:rPr>
      </w:pPr>
    </w:p>
    <w:p w:rsidR="00041EE7" w:rsidRPr="00041EE7" w:rsidRDefault="00041EE7" w:rsidP="00041EE7">
      <w:pPr>
        <w:jc w:val="both"/>
        <w:rPr>
          <w:sz w:val="22"/>
          <w:szCs w:val="22"/>
        </w:rPr>
      </w:pPr>
      <w:r w:rsidRPr="00041EE7">
        <w:rPr>
          <w:sz w:val="22"/>
          <w:szCs w:val="22"/>
        </w:rPr>
        <w:t xml:space="preserve">Στον τακτικό προϋπολογισμό του Υπουργείου έχουν προβλεφθεί πιστώσεις για την εκτέλεση της </w:t>
      </w:r>
      <w:r w:rsidRPr="00041EE7">
        <w:rPr>
          <w:sz w:val="22"/>
          <w:szCs w:val="22"/>
        </w:rPr>
        <w:t>α</w:t>
      </w:r>
      <w:r w:rsidRPr="00041EE7">
        <w:rPr>
          <w:sz w:val="22"/>
          <w:szCs w:val="22"/>
        </w:rPr>
        <w:t>ποστολής του και ιδίως για την ανάπτυξη και βελτίωση των συνθηκών παραγωγής του αγροτικού τ</w:t>
      </w:r>
      <w:r w:rsidRPr="00041EE7">
        <w:rPr>
          <w:sz w:val="22"/>
          <w:szCs w:val="22"/>
        </w:rPr>
        <w:t>ο</w:t>
      </w:r>
      <w:r w:rsidRPr="00041EE7">
        <w:rPr>
          <w:sz w:val="22"/>
          <w:szCs w:val="22"/>
        </w:rPr>
        <w:t>μέα, την αύξηση της προστιθέμενης αξίας και την προώθηση του εξαγωγικού προσανατολισμού των αγροτικών προϊόντων, την εξασφάλιση της μέγιστης δυνατής ασφάλειας των παραγόμενων και των εισαγόμενων τροφίμων στη χώρα και την αξιοποίηση των πόρων της Κοινής Αγροτικής Πολιτικής (ΚΑΠ) και της Κοινής Αλιευτικής Πολιτικής (ΚΑλΠ).</w:t>
      </w:r>
    </w:p>
    <w:p w:rsidR="00041EE7" w:rsidRPr="00041EE7" w:rsidRDefault="00041EE7" w:rsidP="00041EE7">
      <w:pPr>
        <w:jc w:val="both"/>
        <w:rPr>
          <w:sz w:val="22"/>
          <w:szCs w:val="22"/>
        </w:rPr>
      </w:pPr>
    </w:p>
    <w:p w:rsidR="00041EE7" w:rsidRPr="00041EE7" w:rsidRDefault="00041EE7" w:rsidP="00041EE7">
      <w:pPr>
        <w:jc w:val="both"/>
        <w:rPr>
          <w:sz w:val="22"/>
          <w:szCs w:val="22"/>
        </w:rPr>
      </w:pPr>
      <w:r w:rsidRPr="00041EE7">
        <w:rPr>
          <w:sz w:val="22"/>
          <w:szCs w:val="22"/>
        </w:rPr>
        <w:t>Σημαντικό μέρος των πιστώσεων αυτών θα διατεθεί για:</w:t>
      </w:r>
    </w:p>
    <w:p w:rsidR="00041EE7" w:rsidRPr="00041EE7" w:rsidRDefault="00041EE7" w:rsidP="00041EE7">
      <w:pPr>
        <w:jc w:val="both"/>
        <w:rPr>
          <w:sz w:val="22"/>
          <w:szCs w:val="22"/>
        </w:rPr>
      </w:pPr>
    </w:p>
    <w:p w:rsidR="00041EE7" w:rsidRPr="00041EE7" w:rsidRDefault="00041EE7" w:rsidP="00C77D91">
      <w:pPr>
        <w:numPr>
          <w:ilvl w:val="0"/>
          <w:numId w:val="12"/>
        </w:numPr>
        <w:ind w:left="284" w:hanging="284"/>
        <w:jc w:val="both"/>
        <w:rPr>
          <w:sz w:val="22"/>
          <w:szCs w:val="22"/>
        </w:rPr>
      </w:pPr>
      <w:r w:rsidRPr="00041EE7">
        <w:rPr>
          <w:sz w:val="22"/>
          <w:szCs w:val="22"/>
        </w:rPr>
        <w:t>την καταβολή στους αγρότες κρατικών οικονομικών ενισχύσεων, που έχουν εγκριθεί από την ΕΕ, μέσω του Οργανισμού Ελληνικών Γεωργικών Ασφαλίσεων (ΕΛΓΑ)</w:t>
      </w:r>
      <w:r w:rsidR="00EB7CA8">
        <w:rPr>
          <w:sz w:val="22"/>
          <w:szCs w:val="22"/>
        </w:rPr>
        <w:t>,</w:t>
      </w:r>
    </w:p>
    <w:p w:rsidR="00041EE7" w:rsidRPr="00041EE7" w:rsidRDefault="00041EE7" w:rsidP="00C77D91">
      <w:pPr>
        <w:numPr>
          <w:ilvl w:val="0"/>
          <w:numId w:val="12"/>
        </w:numPr>
        <w:ind w:left="284" w:hanging="284"/>
        <w:jc w:val="both"/>
        <w:rPr>
          <w:sz w:val="22"/>
          <w:szCs w:val="22"/>
        </w:rPr>
      </w:pPr>
      <w:r w:rsidRPr="00041EE7">
        <w:rPr>
          <w:sz w:val="22"/>
          <w:szCs w:val="22"/>
        </w:rPr>
        <w:t>την επιχορήγηση εποπτευόμενων από το Υπουργείο φορέων για τη διασφάλιση της απρόσκοπτης λειτουργίας τους στο πλαίσιο της προαγωγής της αγροτικής ανάπτυξης της χώρας. Μεταξύ άλλων, για την επιχορήγηση του ΕΛΓΑ με σκοπό την κάλυψη των λειτουργικών του δαπανών έχουν πρ</w:t>
      </w:r>
      <w:r w:rsidRPr="00041EE7">
        <w:rPr>
          <w:sz w:val="22"/>
          <w:szCs w:val="22"/>
        </w:rPr>
        <w:t>ο</w:t>
      </w:r>
      <w:r w:rsidRPr="00041EE7">
        <w:rPr>
          <w:sz w:val="22"/>
          <w:szCs w:val="22"/>
        </w:rPr>
        <w:t>βλεφθε</w:t>
      </w:r>
      <w:r w:rsidR="00EB7CA8">
        <w:rPr>
          <w:sz w:val="22"/>
          <w:szCs w:val="22"/>
        </w:rPr>
        <w:t>ί πιστώσεις ύψους 30 εκατ. ευρώ</w:t>
      </w:r>
      <w:r w:rsidRPr="00041EE7">
        <w:rPr>
          <w:sz w:val="22"/>
          <w:szCs w:val="22"/>
        </w:rPr>
        <w:t xml:space="preserve"> και </w:t>
      </w:r>
    </w:p>
    <w:p w:rsidR="00041EE7" w:rsidRPr="00041EE7" w:rsidRDefault="00041EE7" w:rsidP="00C77D91">
      <w:pPr>
        <w:numPr>
          <w:ilvl w:val="0"/>
          <w:numId w:val="12"/>
        </w:numPr>
        <w:ind w:left="284" w:hanging="284"/>
        <w:jc w:val="both"/>
        <w:rPr>
          <w:sz w:val="22"/>
          <w:szCs w:val="22"/>
        </w:rPr>
      </w:pPr>
      <w:r w:rsidRPr="00041EE7">
        <w:rPr>
          <w:sz w:val="22"/>
          <w:szCs w:val="22"/>
        </w:rPr>
        <w:t xml:space="preserve"> την κάλυψη του ελλείμματος του Ειδικού Λογαριασμού Εγγυήσεων Γεωργικών Προϊόντων (ΕΛΕΓΕΠ).</w:t>
      </w:r>
    </w:p>
    <w:p w:rsidR="00041EE7" w:rsidRPr="00041EE7" w:rsidRDefault="00041EE7" w:rsidP="00041EE7">
      <w:pPr>
        <w:jc w:val="both"/>
        <w:rPr>
          <w:sz w:val="22"/>
          <w:szCs w:val="22"/>
        </w:rPr>
      </w:pPr>
    </w:p>
    <w:p w:rsidR="00041EE7" w:rsidRDefault="00892230" w:rsidP="00041EE7">
      <w:pPr>
        <w:jc w:val="both"/>
        <w:rPr>
          <w:sz w:val="22"/>
          <w:szCs w:val="22"/>
        </w:rPr>
      </w:pPr>
      <w:r>
        <w:rPr>
          <w:sz w:val="22"/>
          <w:szCs w:val="22"/>
        </w:rPr>
        <w:t>Οι συνολικές πιστώσεις που αφορούν σε παρεμβάσεις για την αντιμετώπιση των συνεπειών του κ</w:t>
      </w:r>
      <w:r>
        <w:rPr>
          <w:sz w:val="22"/>
          <w:szCs w:val="22"/>
        </w:rPr>
        <w:t>ο</w:t>
      </w:r>
      <w:r>
        <w:rPr>
          <w:sz w:val="22"/>
          <w:szCs w:val="22"/>
        </w:rPr>
        <w:t xml:space="preserve">ρωνοϊού θα ανέλθουν το 2020 σε 150 εκατ. ευρώ και περιλαμβάνουν μέτρα για την ενίσχυση του </w:t>
      </w:r>
      <w:r>
        <w:rPr>
          <w:sz w:val="22"/>
          <w:szCs w:val="22"/>
        </w:rPr>
        <w:t>α</w:t>
      </w:r>
      <w:r>
        <w:rPr>
          <w:sz w:val="22"/>
          <w:szCs w:val="22"/>
        </w:rPr>
        <w:t>γροτικού τομέα.</w:t>
      </w:r>
    </w:p>
    <w:p w:rsidR="00892230" w:rsidRPr="00041EE7" w:rsidRDefault="00892230" w:rsidP="00041EE7">
      <w:pPr>
        <w:jc w:val="both"/>
        <w:rPr>
          <w:sz w:val="22"/>
          <w:szCs w:val="22"/>
        </w:rPr>
      </w:pPr>
    </w:p>
    <w:p w:rsidR="003438DA" w:rsidRPr="003438DA" w:rsidRDefault="00041EE7" w:rsidP="00041EE7">
      <w:pPr>
        <w:jc w:val="both"/>
        <w:rPr>
          <w:sz w:val="22"/>
          <w:szCs w:val="22"/>
        </w:rPr>
      </w:pPr>
      <w:r w:rsidRPr="00041EE7">
        <w:rPr>
          <w:sz w:val="22"/>
          <w:szCs w:val="22"/>
        </w:rPr>
        <w:t>Τα έργα του γεωργικού τομέα που χρηματοδοτούνται από το ΠΔΕ περιλαμβάνουν έργα υποδομών για τη βελτίωση συνθηκών μεταποίησης και εμπορίας γεωργικών προϊόντων, οικονομικές ενισχύσεις γ</w:t>
      </w:r>
      <w:r w:rsidRPr="00041EE7">
        <w:rPr>
          <w:sz w:val="22"/>
          <w:szCs w:val="22"/>
        </w:rPr>
        <w:t>ε</w:t>
      </w:r>
      <w:r w:rsidRPr="00041EE7">
        <w:rPr>
          <w:sz w:val="22"/>
          <w:szCs w:val="22"/>
        </w:rPr>
        <w:t>ωργικών προγραμμάτων, βελτιώσεις και εξοπλισμό κτηνιατρικών εργαστηρίων σε ακριτικές περιοχές, εγγειοβελτιωτικά έργα, έργα ενίσχυσης της αλιείας κ</w:t>
      </w:r>
      <w:r w:rsidR="00C77D91">
        <w:rPr>
          <w:sz w:val="22"/>
          <w:szCs w:val="22"/>
        </w:rPr>
        <w:t>.</w:t>
      </w:r>
      <w:r w:rsidR="00EB7CA8">
        <w:rPr>
          <w:sz w:val="22"/>
          <w:szCs w:val="22"/>
        </w:rPr>
        <w:t>λπ.</w:t>
      </w:r>
      <w:r w:rsidR="00802CEB">
        <w:rPr>
          <w:sz w:val="22"/>
          <w:szCs w:val="22"/>
        </w:rPr>
        <w:t xml:space="preserve"> </w:t>
      </w:r>
      <w:r w:rsidR="003438DA">
        <w:rPr>
          <w:sz w:val="22"/>
          <w:szCs w:val="22"/>
        </w:rPr>
        <w:t>Στις δαπάνες του Υπουργείου το 2021 περ</w:t>
      </w:r>
      <w:r w:rsidR="003438DA">
        <w:rPr>
          <w:sz w:val="22"/>
          <w:szCs w:val="22"/>
        </w:rPr>
        <w:t>ι</w:t>
      </w:r>
      <w:r w:rsidR="003438DA">
        <w:rPr>
          <w:sz w:val="22"/>
          <w:szCs w:val="22"/>
        </w:rPr>
        <w:t>λαμβάνονται μέτρα στήριξης αγροτών</w:t>
      </w:r>
      <w:r w:rsidR="003438DA" w:rsidRPr="003438DA">
        <w:rPr>
          <w:sz w:val="22"/>
          <w:szCs w:val="22"/>
        </w:rPr>
        <w:t>.</w:t>
      </w:r>
    </w:p>
    <w:p w:rsidR="00041EE7" w:rsidRPr="00041EE7" w:rsidRDefault="00041EE7" w:rsidP="00041EE7">
      <w:pPr>
        <w:jc w:val="both"/>
        <w:rPr>
          <w:sz w:val="22"/>
          <w:szCs w:val="22"/>
        </w:rPr>
      </w:pPr>
      <w:r w:rsidRPr="00041EE7">
        <w:rPr>
          <w:sz w:val="22"/>
          <w:szCs w:val="22"/>
        </w:rPr>
        <w:t xml:space="preserve">Το σύνολο των δαπανών του Υπουργείου στο ΠΔΕ έτους 2021 </w:t>
      </w:r>
      <w:r w:rsidR="00294E23" w:rsidRPr="00041EE7">
        <w:rPr>
          <w:sz w:val="22"/>
          <w:szCs w:val="22"/>
        </w:rPr>
        <w:t>προ</w:t>
      </w:r>
      <w:r w:rsidR="00294E23">
        <w:rPr>
          <w:sz w:val="22"/>
          <w:szCs w:val="22"/>
        </w:rPr>
        <w:t>βλέπεται να ανέλθει στα</w:t>
      </w:r>
      <w:r w:rsidRPr="00041EE7">
        <w:rPr>
          <w:sz w:val="22"/>
          <w:szCs w:val="22"/>
        </w:rPr>
        <w:t xml:space="preserve"> 902 εκατ. ευρώ.</w:t>
      </w:r>
    </w:p>
    <w:p w:rsidR="00041EE7" w:rsidRPr="00041EE7" w:rsidRDefault="00041EE7" w:rsidP="00041EE7">
      <w:pPr>
        <w:jc w:val="both"/>
        <w:rPr>
          <w:b/>
          <w:sz w:val="22"/>
          <w:szCs w:val="22"/>
        </w:rPr>
      </w:pPr>
    </w:p>
    <w:p w:rsidR="00041EE7" w:rsidRPr="00041EE7" w:rsidRDefault="00041EE7" w:rsidP="00041EE7">
      <w:pPr>
        <w:tabs>
          <w:tab w:val="left" w:pos="3720"/>
        </w:tabs>
        <w:rPr>
          <w:rFonts w:ascii="Arial Narrow" w:hAnsi="Arial Narrow"/>
          <w:b/>
          <w:i/>
          <w:sz w:val="22"/>
          <w:szCs w:val="22"/>
        </w:rPr>
      </w:pPr>
      <w:r w:rsidRPr="00041EE7">
        <w:rPr>
          <w:rFonts w:ascii="Arial Narrow" w:hAnsi="Arial Narrow"/>
          <w:b/>
          <w:i/>
          <w:sz w:val="22"/>
          <w:szCs w:val="22"/>
        </w:rPr>
        <w:t xml:space="preserve">Υπουργείο Περιβάλλοντος και Ενέργειας </w:t>
      </w:r>
    </w:p>
    <w:p w:rsidR="00041EE7" w:rsidRPr="00041EE7" w:rsidRDefault="00041EE7" w:rsidP="00041EE7">
      <w:pPr>
        <w:jc w:val="both"/>
        <w:rPr>
          <w:b/>
          <w:sz w:val="22"/>
          <w:szCs w:val="22"/>
        </w:rPr>
      </w:pPr>
    </w:p>
    <w:p w:rsidR="00041EE7" w:rsidRDefault="00041EE7" w:rsidP="00041EE7">
      <w:pPr>
        <w:jc w:val="both"/>
        <w:rPr>
          <w:sz w:val="22"/>
          <w:szCs w:val="22"/>
        </w:rPr>
      </w:pPr>
      <w:r w:rsidRPr="00041EE7">
        <w:rPr>
          <w:sz w:val="22"/>
          <w:szCs w:val="22"/>
        </w:rPr>
        <w:t>Οι πιστώσεις του τακτικού προϋπολογισμού του Υπουργείου Περιβάλλοντος και Ενέργειας θα καλ</w:t>
      </w:r>
      <w:r w:rsidRPr="00041EE7">
        <w:rPr>
          <w:sz w:val="22"/>
          <w:szCs w:val="22"/>
        </w:rPr>
        <w:t>ύ</w:t>
      </w:r>
      <w:r w:rsidRPr="00041EE7">
        <w:rPr>
          <w:sz w:val="22"/>
          <w:szCs w:val="22"/>
        </w:rPr>
        <w:t>ψουν κυρίως:</w:t>
      </w:r>
    </w:p>
    <w:p w:rsidR="00C77D91" w:rsidRPr="00041EE7" w:rsidRDefault="00C77D91" w:rsidP="00041EE7">
      <w:pPr>
        <w:jc w:val="both"/>
        <w:rPr>
          <w:sz w:val="22"/>
          <w:szCs w:val="22"/>
        </w:rPr>
      </w:pPr>
    </w:p>
    <w:p w:rsidR="00041EE7" w:rsidRPr="00041EE7" w:rsidRDefault="00041EE7" w:rsidP="00C77D91">
      <w:pPr>
        <w:numPr>
          <w:ilvl w:val="0"/>
          <w:numId w:val="32"/>
        </w:numPr>
        <w:ind w:left="284" w:hanging="284"/>
        <w:jc w:val="both"/>
        <w:rPr>
          <w:sz w:val="22"/>
          <w:szCs w:val="22"/>
        </w:rPr>
      </w:pPr>
      <w:r w:rsidRPr="00041EE7">
        <w:rPr>
          <w:sz w:val="22"/>
          <w:szCs w:val="22"/>
        </w:rPr>
        <w:t>την επιχορήγηση των εποπτευόμενων από το Υπουργείο Φορέων (ΕΑΓΜΕ, ΟΦΥΠΕΚΑ, ΚΑΠΕ)</w:t>
      </w:r>
      <w:r w:rsidR="00EB7CA8">
        <w:rPr>
          <w:sz w:val="22"/>
          <w:szCs w:val="22"/>
        </w:rPr>
        <w:t>,</w:t>
      </w:r>
    </w:p>
    <w:p w:rsidR="00041EE7" w:rsidRPr="00041EE7" w:rsidRDefault="00041EE7" w:rsidP="00C77D91">
      <w:pPr>
        <w:numPr>
          <w:ilvl w:val="0"/>
          <w:numId w:val="32"/>
        </w:numPr>
        <w:ind w:left="284" w:hanging="284"/>
        <w:jc w:val="both"/>
        <w:rPr>
          <w:sz w:val="22"/>
          <w:szCs w:val="22"/>
        </w:rPr>
      </w:pPr>
      <w:r w:rsidRPr="00041EE7">
        <w:rPr>
          <w:sz w:val="22"/>
          <w:szCs w:val="22"/>
        </w:rPr>
        <w:t>τις αποδόσεις εσόδων στο Πράσινο Ταμείο, στον Ελληνικό Οργανισμό Ανακύκλωσης (ΕΟΑΝ) και στο Κέντρο Ανα</w:t>
      </w:r>
      <w:r w:rsidR="00EB7CA8">
        <w:rPr>
          <w:sz w:val="22"/>
          <w:szCs w:val="22"/>
        </w:rPr>
        <w:t>νεώσιμων Πηγών Ενέργειας (ΚΑΠΕ)</w:t>
      </w:r>
      <w:r w:rsidRPr="00041EE7">
        <w:rPr>
          <w:sz w:val="22"/>
          <w:szCs w:val="22"/>
        </w:rPr>
        <w:t xml:space="preserve"> και</w:t>
      </w:r>
    </w:p>
    <w:p w:rsidR="00041EE7" w:rsidRPr="00041EE7" w:rsidRDefault="00041EE7" w:rsidP="00C77D91">
      <w:pPr>
        <w:numPr>
          <w:ilvl w:val="0"/>
          <w:numId w:val="31"/>
        </w:numPr>
        <w:ind w:left="284" w:hanging="284"/>
        <w:jc w:val="both"/>
        <w:rPr>
          <w:sz w:val="22"/>
          <w:szCs w:val="22"/>
        </w:rPr>
      </w:pPr>
      <w:r w:rsidRPr="00041EE7">
        <w:rPr>
          <w:sz w:val="22"/>
          <w:szCs w:val="22"/>
        </w:rPr>
        <w:t>τη χρηματοδότηση προγραμμάτων προστασίας του δασικού πλούτου της χώρας</w:t>
      </w:r>
      <w:r w:rsidR="00C77D91">
        <w:rPr>
          <w:sz w:val="22"/>
          <w:szCs w:val="22"/>
        </w:rPr>
        <w:t>.</w:t>
      </w:r>
    </w:p>
    <w:p w:rsidR="00C77D91" w:rsidRDefault="00C77D91" w:rsidP="00041EE7">
      <w:pPr>
        <w:jc w:val="both"/>
        <w:rPr>
          <w:sz w:val="22"/>
          <w:szCs w:val="22"/>
        </w:rPr>
      </w:pPr>
    </w:p>
    <w:p w:rsidR="00041EE7" w:rsidRPr="00041EE7" w:rsidRDefault="00041EE7" w:rsidP="00041EE7">
      <w:pPr>
        <w:jc w:val="both"/>
        <w:rPr>
          <w:b/>
          <w:color w:val="0070C0"/>
          <w:sz w:val="22"/>
          <w:szCs w:val="22"/>
        </w:rPr>
      </w:pPr>
      <w:r w:rsidRPr="00041EE7">
        <w:rPr>
          <w:sz w:val="22"/>
          <w:szCs w:val="22"/>
        </w:rPr>
        <w:t>Οι πιστώσεις του προϋπολογισμού δημοσίων επενδύσεων του Υπουργείου χρηματοδοτούν έργα που συμβάλλουν στην προστασία και αναβάθμιση του περιβάλλοντος και τη βιώσιμη οικιστική ανάπτυξη, καθώς και την προστασία των δασών. Στις δαπάνες για ενέργεια περιλαμβάνονται οι επιχορηγήσεις σε ενδιάμεσους φορείς για την πραγματοποίηση ιδιωτικών επενδύσεων σε ανανεώσιμες πηγές ενέργειας.</w:t>
      </w:r>
      <w:r w:rsidRPr="00041EE7">
        <w:rPr>
          <w:color w:val="0070C0"/>
          <w:sz w:val="22"/>
          <w:szCs w:val="22"/>
        </w:rPr>
        <w:t xml:space="preserve"> </w:t>
      </w:r>
      <w:r w:rsidRPr="00041EE7">
        <w:rPr>
          <w:sz w:val="22"/>
          <w:szCs w:val="22"/>
        </w:rPr>
        <w:lastRenderedPageBreak/>
        <w:t xml:space="preserve">Το σύνολο των δαπανών του Υπουργείου στο ΠΔΕ έτους 2021 </w:t>
      </w:r>
      <w:r w:rsidR="00294E23" w:rsidRPr="00041EE7">
        <w:rPr>
          <w:sz w:val="22"/>
          <w:szCs w:val="22"/>
        </w:rPr>
        <w:t>προ</w:t>
      </w:r>
      <w:r w:rsidR="00294E23">
        <w:rPr>
          <w:sz w:val="22"/>
          <w:szCs w:val="22"/>
        </w:rPr>
        <w:t>βλέπεται να ανέλθει στα</w:t>
      </w:r>
      <w:r w:rsidRPr="00041EE7">
        <w:rPr>
          <w:sz w:val="22"/>
          <w:szCs w:val="22"/>
        </w:rPr>
        <w:t xml:space="preserve"> 670</w:t>
      </w:r>
      <w:r w:rsidRPr="00041EE7">
        <w:rPr>
          <w:b/>
          <w:sz w:val="22"/>
          <w:szCs w:val="22"/>
        </w:rPr>
        <w:t xml:space="preserve"> </w:t>
      </w:r>
      <w:r w:rsidRPr="00041EE7">
        <w:rPr>
          <w:sz w:val="22"/>
          <w:szCs w:val="22"/>
        </w:rPr>
        <w:t>εκατ. ευρώ.</w:t>
      </w:r>
    </w:p>
    <w:p w:rsidR="00802CEB" w:rsidRPr="00041EE7" w:rsidRDefault="00802CEB" w:rsidP="00041EE7">
      <w:pPr>
        <w:jc w:val="both"/>
        <w:rPr>
          <w:b/>
          <w:i/>
          <w:sz w:val="22"/>
          <w:szCs w:val="22"/>
        </w:rPr>
      </w:pPr>
    </w:p>
    <w:p w:rsidR="00041EE7" w:rsidRPr="00041EE7" w:rsidRDefault="00041EE7" w:rsidP="00041EE7">
      <w:pPr>
        <w:tabs>
          <w:tab w:val="left" w:pos="3720"/>
        </w:tabs>
        <w:rPr>
          <w:rFonts w:ascii="Arial Narrow" w:hAnsi="Arial Narrow"/>
          <w:b/>
          <w:i/>
          <w:sz w:val="22"/>
          <w:szCs w:val="22"/>
        </w:rPr>
      </w:pPr>
      <w:r w:rsidRPr="00041EE7">
        <w:rPr>
          <w:rFonts w:ascii="Arial Narrow" w:hAnsi="Arial Narrow"/>
          <w:b/>
          <w:i/>
          <w:sz w:val="22"/>
          <w:szCs w:val="22"/>
        </w:rPr>
        <w:t>Υπουργείο Εργασίας και Κοινωνικών Υποθέσεων</w:t>
      </w:r>
    </w:p>
    <w:p w:rsidR="00041EE7" w:rsidRPr="00041EE7" w:rsidRDefault="00041EE7" w:rsidP="00041EE7">
      <w:pPr>
        <w:tabs>
          <w:tab w:val="left" w:pos="3720"/>
        </w:tabs>
        <w:rPr>
          <w:rFonts w:ascii="Arial Narrow" w:hAnsi="Arial Narrow"/>
          <w:b/>
          <w:i/>
          <w:sz w:val="22"/>
          <w:szCs w:val="22"/>
        </w:rPr>
      </w:pPr>
    </w:p>
    <w:p w:rsidR="00041EE7" w:rsidRPr="00041EE7" w:rsidRDefault="00041EE7" w:rsidP="00041EE7">
      <w:pPr>
        <w:jc w:val="both"/>
        <w:rPr>
          <w:sz w:val="22"/>
          <w:szCs w:val="22"/>
        </w:rPr>
      </w:pPr>
      <w:r w:rsidRPr="00041EE7">
        <w:rPr>
          <w:sz w:val="22"/>
          <w:szCs w:val="22"/>
        </w:rPr>
        <w:t>Το μεγαλύτερο μέρος των πιστώσεων του τακτικού προϋπολογισμού του Υπουργείου θα διατεθεί σε μεταβιβάσεις προς τους Οργανισμούς Κοινωνικής Ασφάλισης (ΟΚΑ) και ειδικότερα προς τον</w:t>
      </w:r>
      <w:r w:rsidR="00EB7CA8">
        <w:rPr>
          <w:sz w:val="22"/>
          <w:szCs w:val="22"/>
        </w:rPr>
        <w:t xml:space="preserve">           </w:t>
      </w:r>
      <w:r w:rsidRPr="00041EE7">
        <w:rPr>
          <w:sz w:val="22"/>
          <w:szCs w:val="22"/>
          <w:lang w:val="en-US"/>
        </w:rPr>
        <w:t>e</w:t>
      </w:r>
      <w:r w:rsidRPr="00041EE7">
        <w:rPr>
          <w:sz w:val="22"/>
          <w:szCs w:val="22"/>
        </w:rPr>
        <w:t>-ΕΦΚΑ για τη στήριξη του ασφαλιστικού συστήματος της χώρας, προς τον Οργανισμό Απασχόλ</w:t>
      </w:r>
      <w:r w:rsidRPr="00041EE7">
        <w:rPr>
          <w:sz w:val="22"/>
          <w:szCs w:val="22"/>
        </w:rPr>
        <w:t>η</w:t>
      </w:r>
      <w:r w:rsidRPr="00041EE7">
        <w:rPr>
          <w:sz w:val="22"/>
          <w:szCs w:val="22"/>
        </w:rPr>
        <w:t>σης Εργατικού Δυναμικού (ΟΑΕΔ) για την κάλυψη των ανέργων και την ενίσχυση των ενεργητικών πολιτικών απασχόλησης και προς τον Οργανισμό Προνοιακών Επιδομάτων και Κοινωνικής Αλληλε</w:t>
      </w:r>
      <w:r w:rsidRPr="00041EE7">
        <w:rPr>
          <w:sz w:val="22"/>
          <w:szCs w:val="22"/>
        </w:rPr>
        <w:t>γ</w:t>
      </w:r>
      <w:r w:rsidRPr="00041EE7">
        <w:rPr>
          <w:sz w:val="22"/>
          <w:szCs w:val="22"/>
        </w:rPr>
        <w:t xml:space="preserve">γύης (ΟΠΕΚΑ). </w:t>
      </w:r>
    </w:p>
    <w:p w:rsidR="001F3F5F" w:rsidRDefault="001F3F5F" w:rsidP="00041EE7">
      <w:pPr>
        <w:jc w:val="both"/>
        <w:rPr>
          <w:sz w:val="22"/>
          <w:szCs w:val="22"/>
        </w:rPr>
      </w:pPr>
    </w:p>
    <w:p w:rsidR="00041EE7" w:rsidRDefault="00041EE7" w:rsidP="00041EE7">
      <w:pPr>
        <w:jc w:val="both"/>
        <w:rPr>
          <w:sz w:val="22"/>
          <w:szCs w:val="22"/>
        </w:rPr>
      </w:pPr>
      <w:r w:rsidRPr="00041EE7">
        <w:rPr>
          <w:sz w:val="22"/>
          <w:szCs w:val="22"/>
        </w:rPr>
        <w:t>Πιο συγκεκριμένα, μέσω της ενίσχυσης του ΟΠΕΚΑ προβλέπεται να καταβληθούν:</w:t>
      </w:r>
    </w:p>
    <w:p w:rsidR="001F3F5F" w:rsidRPr="00041EE7" w:rsidRDefault="001F3F5F" w:rsidP="00041EE7">
      <w:pPr>
        <w:jc w:val="both"/>
        <w:rPr>
          <w:sz w:val="22"/>
          <w:szCs w:val="22"/>
        </w:rPr>
      </w:pPr>
    </w:p>
    <w:p w:rsidR="00041EE7" w:rsidRPr="00041EE7" w:rsidRDefault="00041EE7" w:rsidP="00041EE7">
      <w:pPr>
        <w:numPr>
          <w:ilvl w:val="0"/>
          <w:numId w:val="12"/>
        </w:numPr>
        <w:ind w:left="284" w:hanging="284"/>
        <w:jc w:val="both"/>
        <w:rPr>
          <w:sz w:val="22"/>
          <w:szCs w:val="22"/>
        </w:rPr>
      </w:pPr>
      <w:r w:rsidRPr="00041EE7">
        <w:rPr>
          <w:sz w:val="22"/>
          <w:szCs w:val="22"/>
        </w:rPr>
        <w:t xml:space="preserve">το επίδομα παιδιού, </w:t>
      </w:r>
    </w:p>
    <w:p w:rsidR="00041EE7" w:rsidRPr="00041EE7" w:rsidRDefault="00041EE7" w:rsidP="00041EE7">
      <w:pPr>
        <w:numPr>
          <w:ilvl w:val="0"/>
          <w:numId w:val="12"/>
        </w:numPr>
        <w:ind w:left="284" w:hanging="284"/>
        <w:jc w:val="both"/>
        <w:rPr>
          <w:sz w:val="22"/>
          <w:szCs w:val="22"/>
        </w:rPr>
      </w:pPr>
      <w:r w:rsidRPr="00041EE7">
        <w:rPr>
          <w:sz w:val="22"/>
          <w:szCs w:val="22"/>
        </w:rPr>
        <w:t>το ελάχιστο εγγυημένο εισόδημα,</w:t>
      </w:r>
    </w:p>
    <w:p w:rsidR="00041EE7" w:rsidRPr="00041EE7" w:rsidRDefault="00041EE7" w:rsidP="00041EE7">
      <w:pPr>
        <w:numPr>
          <w:ilvl w:val="0"/>
          <w:numId w:val="12"/>
        </w:numPr>
        <w:ind w:left="284" w:hanging="284"/>
        <w:jc w:val="both"/>
        <w:rPr>
          <w:sz w:val="22"/>
          <w:szCs w:val="22"/>
        </w:rPr>
      </w:pPr>
      <w:r w:rsidRPr="00041EE7">
        <w:rPr>
          <w:sz w:val="22"/>
          <w:szCs w:val="22"/>
        </w:rPr>
        <w:t>το επίδομα στέγασης,</w:t>
      </w:r>
    </w:p>
    <w:p w:rsidR="00041EE7" w:rsidRPr="00041EE7" w:rsidRDefault="00041EE7" w:rsidP="00041EE7">
      <w:pPr>
        <w:numPr>
          <w:ilvl w:val="0"/>
          <w:numId w:val="12"/>
        </w:numPr>
        <w:ind w:left="284" w:hanging="284"/>
        <w:jc w:val="both"/>
        <w:rPr>
          <w:sz w:val="22"/>
          <w:szCs w:val="22"/>
        </w:rPr>
      </w:pPr>
      <w:r w:rsidRPr="00041EE7">
        <w:rPr>
          <w:sz w:val="22"/>
          <w:szCs w:val="22"/>
        </w:rPr>
        <w:t>το επίδομα κοινωνικής αλληλεγγύης ανασφάλιστων υπερηλίκων και η παροχή σε ανασφάλιστους υπερήλικες,</w:t>
      </w:r>
    </w:p>
    <w:p w:rsidR="00041EE7" w:rsidRPr="00041EE7" w:rsidRDefault="00041EE7" w:rsidP="00041EE7">
      <w:pPr>
        <w:numPr>
          <w:ilvl w:val="0"/>
          <w:numId w:val="12"/>
        </w:numPr>
        <w:ind w:left="284" w:hanging="284"/>
        <w:jc w:val="both"/>
        <w:rPr>
          <w:sz w:val="22"/>
          <w:szCs w:val="22"/>
        </w:rPr>
      </w:pPr>
      <w:r w:rsidRPr="00041EE7">
        <w:rPr>
          <w:sz w:val="22"/>
          <w:szCs w:val="22"/>
        </w:rPr>
        <w:t>οι προνοιακές παροχές σε χρήμα σε άτομα με αναπηρία,</w:t>
      </w:r>
    </w:p>
    <w:p w:rsidR="00041EE7" w:rsidRPr="00041EE7" w:rsidRDefault="00041EE7" w:rsidP="00041EE7">
      <w:pPr>
        <w:numPr>
          <w:ilvl w:val="0"/>
          <w:numId w:val="12"/>
        </w:numPr>
        <w:ind w:left="284" w:hanging="284"/>
        <w:jc w:val="both"/>
        <w:rPr>
          <w:sz w:val="22"/>
          <w:szCs w:val="22"/>
        </w:rPr>
      </w:pPr>
      <w:r w:rsidRPr="00041EE7">
        <w:rPr>
          <w:sz w:val="22"/>
          <w:szCs w:val="22"/>
        </w:rPr>
        <w:t>η καταβολή επιδόματος 2.000 ευρώ σε οικογένειες για κάθε νέα γέννηση παιδιού, και</w:t>
      </w:r>
    </w:p>
    <w:p w:rsidR="00041EE7" w:rsidRPr="00041EE7" w:rsidRDefault="00041EE7" w:rsidP="00041EE7">
      <w:pPr>
        <w:numPr>
          <w:ilvl w:val="0"/>
          <w:numId w:val="12"/>
        </w:numPr>
        <w:ind w:left="284" w:hanging="284"/>
        <w:jc w:val="both"/>
        <w:rPr>
          <w:sz w:val="22"/>
          <w:szCs w:val="22"/>
        </w:rPr>
      </w:pPr>
      <w:r w:rsidRPr="00041EE7">
        <w:rPr>
          <w:sz w:val="22"/>
          <w:szCs w:val="22"/>
        </w:rPr>
        <w:t>λοιπά προγράμματα, δράσεις και ενέργειες που αφορούν προνοιακές πολιτικές του Υπουργείου Εργασίας και Κοινωνικών Υποθέσεων (χορήγηση σχολικών γευμάτων, οικονομική ενίσχυση σε ανάδοχους γονείς, εισοδηματική ενίσχυση οικογενειών που διαβιούν σε ορεινές και μειονεκτικές περιοχές).</w:t>
      </w:r>
    </w:p>
    <w:p w:rsidR="00041EE7" w:rsidRPr="00041EE7" w:rsidRDefault="00041EE7" w:rsidP="00041EE7">
      <w:pPr>
        <w:ind w:left="284"/>
        <w:jc w:val="both"/>
        <w:rPr>
          <w:sz w:val="22"/>
          <w:szCs w:val="22"/>
        </w:rPr>
      </w:pPr>
    </w:p>
    <w:p w:rsidR="001F3F5F" w:rsidRDefault="00041EE7" w:rsidP="00041EE7">
      <w:pPr>
        <w:jc w:val="both"/>
        <w:rPr>
          <w:sz w:val="22"/>
          <w:szCs w:val="22"/>
        </w:rPr>
      </w:pPr>
      <w:r w:rsidRPr="00041EE7">
        <w:rPr>
          <w:sz w:val="22"/>
          <w:szCs w:val="22"/>
        </w:rPr>
        <w:t xml:space="preserve">Επιπρόσθετα, αναμένεται να διατεθούν </w:t>
      </w:r>
      <w:r w:rsidR="00EB7CA8" w:rsidRPr="00041EE7">
        <w:rPr>
          <w:sz w:val="22"/>
          <w:szCs w:val="22"/>
        </w:rPr>
        <w:t xml:space="preserve">πιστώσεις </w:t>
      </w:r>
      <w:r w:rsidRPr="00041EE7">
        <w:rPr>
          <w:sz w:val="22"/>
          <w:szCs w:val="22"/>
        </w:rPr>
        <w:t>για:</w:t>
      </w:r>
    </w:p>
    <w:p w:rsidR="00041EE7" w:rsidRPr="00041EE7" w:rsidRDefault="00041EE7" w:rsidP="00041EE7">
      <w:pPr>
        <w:jc w:val="both"/>
        <w:rPr>
          <w:sz w:val="22"/>
          <w:szCs w:val="22"/>
        </w:rPr>
      </w:pPr>
      <w:r w:rsidRPr="00041EE7">
        <w:rPr>
          <w:sz w:val="22"/>
          <w:szCs w:val="22"/>
        </w:rPr>
        <w:t xml:space="preserve"> </w:t>
      </w:r>
    </w:p>
    <w:p w:rsidR="00041EE7" w:rsidRPr="00041EE7" w:rsidRDefault="00041EE7" w:rsidP="00041EE7">
      <w:pPr>
        <w:numPr>
          <w:ilvl w:val="0"/>
          <w:numId w:val="12"/>
        </w:numPr>
        <w:ind w:left="284" w:hanging="284"/>
        <w:jc w:val="both"/>
        <w:rPr>
          <w:sz w:val="22"/>
          <w:szCs w:val="22"/>
        </w:rPr>
      </w:pPr>
      <w:r w:rsidRPr="00041EE7">
        <w:rPr>
          <w:sz w:val="22"/>
          <w:szCs w:val="22"/>
        </w:rPr>
        <w:t>τη χρηματοδότηση των Κέντρων Κοινωνικής Πρόνοιας και των λοιπών προνοιακών φορέων,</w:t>
      </w:r>
    </w:p>
    <w:p w:rsidR="00041EE7" w:rsidRPr="00041EE7" w:rsidRDefault="00041EE7" w:rsidP="00041EE7">
      <w:pPr>
        <w:numPr>
          <w:ilvl w:val="0"/>
          <w:numId w:val="12"/>
        </w:numPr>
        <w:ind w:left="284" w:hanging="284"/>
        <w:jc w:val="both"/>
        <w:rPr>
          <w:sz w:val="22"/>
          <w:szCs w:val="22"/>
        </w:rPr>
      </w:pPr>
      <w:r w:rsidRPr="00041EE7">
        <w:rPr>
          <w:sz w:val="22"/>
          <w:szCs w:val="22"/>
        </w:rPr>
        <w:t>την επιδότηση ασφαλιστικών εισφορών για νέους εργαζόμενους με στόχο τη βελτίωση της πρ</w:t>
      </w:r>
      <w:r w:rsidRPr="00041EE7">
        <w:rPr>
          <w:sz w:val="22"/>
          <w:szCs w:val="22"/>
        </w:rPr>
        <w:t>ό</w:t>
      </w:r>
      <w:r w:rsidRPr="00041EE7">
        <w:rPr>
          <w:sz w:val="22"/>
          <w:szCs w:val="22"/>
        </w:rPr>
        <w:t>σβασής τους στην αγορά εργασίας,</w:t>
      </w:r>
    </w:p>
    <w:p w:rsidR="00041EE7" w:rsidRPr="00041EE7" w:rsidRDefault="00041EE7" w:rsidP="00041EE7">
      <w:pPr>
        <w:numPr>
          <w:ilvl w:val="0"/>
          <w:numId w:val="12"/>
        </w:numPr>
        <w:ind w:left="284" w:hanging="284"/>
        <w:jc w:val="both"/>
        <w:rPr>
          <w:sz w:val="22"/>
          <w:szCs w:val="22"/>
        </w:rPr>
      </w:pPr>
      <w:r w:rsidRPr="00041EE7">
        <w:rPr>
          <w:sz w:val="22"/>
          <w:szCs w:val="22"/>
        </w:rPr>
        <w:t>την υλοποίηση του προγράμματος Στέγασ</w:t>
      </w:r>
      <w:r w:rsidR="00EB7CA8">
        <w:rPr>
          <w:sz w:val="22"/>
          <w:szCs w:val="22"/>
        </w:rPr>
        <w:t>η και Εργασία για τους αστέγους</w:t>
      </w:r>
      <w:r w:rsidRPr="00041EE7">
        <w:rPr>
          <w:sz w:val="22"/>
          <w:szCs w:val="22"/>
        </w:rPr>
        <w:t xml:space="preserve"> και</w:t>
      </w:r>
    </w:p>
    <w:p w:rsidR="00041EE7" w:rsidRPr="00041EE7" w:rsidRDefault="00041EE7" w:rsidP="00041EE7">
      <w:pPr>
        <w:numPr>
          <w:ilvl w:val="0"/>
          <w:numId w:val="12"/>
        </w:numPr>
        <w:ind w:left="284" w:hanging="284"/>
        <w:jc w:val="both"/>
        <w:rPr>
          <w:sz w:val="22"/>
          <w:szCs w:val="22"/>
        </w:rPr>
      </w:pPr>
      <w:r w:rsidRPr="00041EE7">
        <w:rPr>
          <w:sz w:val="22"/>
          <w:szCs w:val="22"/>
        </w:rPr>
        <w:t xml:space="preserve">τη χορήγηση </w:t>
      </w:r>
      <w:r w:rsidRPr="00041EE7">
        <w:rPr>
          <w:sz w:val="22"/>
          <w:szCs w:val="22"/>
          <w:lang w:val="en-US"/>
        </w:rPr>
        <w:t>voucher</w:t>
      </w:r>
      <w:r w:rsidRPr="00041EE7">
        <w:rPr>
          <w:sz w:val="22"/>
          <w:szCs w:val="22"/>
        </w:rPr>
        <w:t xml:space="preserve"> για βρεφονηπιακούς σταθμούς</w:t>
      </w:r>
      <w:r w:rsidR="001F3F5F">
        <w:rPr>
          <w:sz w:val="22"/>
          <w:szCs w:val="22"/>
        </w:rPr>
        <w:t>.</w:t>
      </w:r>
      <w:r w:rsidRPr="00041EE7">
        <w:rPr>
          <w:sz w:val="22"/>
          <w:szCs w:val="22"/>
        </w:rPr>
        <w:t xml:space="preserve"> </w:t>
      </w:r>
    </w:p>
    <w:p w:rsidR="00041EE7" w:rsidRPr="00041EE7" w:rsidRDefault="00041EE7" w:rsidP="00041EE7">
      <w:pPr>
        <w:jc w:val="both"/>
        <w:rPr>
          <w:sz w:val="22"/>
          <w:szCs w:val="22"/>
          <w:highlight w:val="yellow"/>
        </w:rPr>
      </w:pPr>
    </w:p>
    <w:p w:rsidR="00041EE7" w:rsidRPr="00041EE7" w:rsidRDefault="00041EE7" w:rsidP="00041EE7">
      <w:pPr>
        <w:jc w:val="both"/>
        <w:rPr>
          <w:sz w:val="22"/>
          <w:szCs w:val="22"/>
        </w:rPr>
      </w:pPr>
      <w:r w:rsidRPr="00041EE7">
        <w:rPr>
          <w:sz w:val="22"/>
          <w:szCs w:val="22"/>
        </w:rPr>
        <w:t xml:space="preserve">Επισημαίνεται, τέλος, ότι στα ανώτατα όρια δαπανών του Υπουργείου Εργασίας και Κοινωνικών </w:t>
      </w:r>
      <w:r w:rsidRPr="00041EE7">
        <w:rPr>
          <w:sz w:val="22"/>
          <w:szCs w:val="22"/>
        </w:rPr>
        <w:t>Υ</w:t>
      </w:r>
      <w:r w:rsidRPr="00041EE7">
        <w:rPr>
          <w:sz w:val="22"/>
          <w:szCs w:val="22"/>
        </w:rPr>
        <w:t xml:space="preserve">ποθέσεων έχουν περιληφθεί δαπάνες που σχετίζονται με την υλοποίηση δράσεων αντιμετώπισης των αρνητικών συνεπειών της υγειονομικής κρίσης ύψους </w:t>
      </w:r>
      <w:r w:rsidR="00F57F21">
        <w:rPr>
          <w:sz w:val="22"/>
          <w:szCs w:val="22"/>
        </w:rPr>
        <w:t>3.615</w:t>
      </w:r>
      <w:r w:rsidRPr="00041EE7">
        <w:rPr>
          <w:sz w:val="22"/>
          <w:szCs w:val="22"/>
        </w:rPr>
        <w:t xml:space="preserve"> εκατ. ευρώ και </w:t>
      </w:r>
      <w:r w:rsidR="00F57F21">
        <w:rPr>
          <w:sz w:val="22"/>
          <w:szCs w:val="22"/>
        </w:rPr>
        <w:t>2.452</w:t>
      </w:r>
      <w:r w:rsidRPr="00041EE7">
        <w:rPr>
          <w:sz w:val="22"/>
          <w:szCs w:val="22"/>
        </w:rPr>
        <w:t xml:space="preserve"> εκατ. ευρώ για τα έτη 2020 και 2021 αντίστοιχα. </w:t>
      </w:r>
    </w:p>
    <w:p w:rsidR="00041EE7" w:rsidRDefault="00041EE7" w:rsidP="00041EE7">
      <w:pPr>
        <w:jc w:val="both"/>
        <w:rPr>
          <w:sz w:val="22"/>
          <w:szCs w:val="22"/>
        </w:rPr>
      </w:pPr>
    </w:p>
    <w:p w:rsidR="00EE4E09" w:rsidRDefault="00EE4E09" w:rsidP="00EE4E09">
      <w:pPr>
        <w:jc w:val="both"/>
        <w:rPr>
          <w:sz w:val="22"/>
          <w:szCs w:val="22"/>
        </w:rPr>
      </w:pPr>
      <w:r>
        <w:rPr>
          <w:sz w:val="22"/>
          <w:szCs w:val="22"/>
        </w:rPr>
        <w:t>Ενδεικτικά αναφέρονται:</w:t>
      </w:r>
    </w:p>
    <w:p w:rsidR="00EE4E09" w:rsidRPr="00EE4E09" w:rsidRDefault="00EE4E09" w:rsidP="00EE4E09">
      <w:pPr>
        <w:jc w:val="both"/>
        <w:rPr>
          <w:sz w:val="22"/>
          <w:szCs w:val="22"/>
        </w:rPr>
      </w:pPr>
    </w:p>
    <w:p w:rsidR="00EE4E09" w:rsidRPr="00EE4E09" w:rsidRDefault="00EE4E09" w:rsidP="00EE4E09">
      <w:pPr>
        <w:numPr>
          <w:ilvl w:val="0"/>
          <w:numId w:val="12"/>
        </w:numPr>
        <w:ind w:left="284" w:hanging="284"/>
        <w:jc w:val="both"/>
        <w:rPr>
          <w:sz w:val="22"/>
          <w:szCs w:val="22"/>
        </w:rPr>
      </w:pPr>
      <w:r w:rsidRPr="00EE4E09">
        <w:rPr>
          <w:sz w:val="22"/>
          <w:szCs w:val="22"/>
        </w:rPr>
        <w:t>η μείωση κατά τρεις ποσοστιαίες μονάδες των ασφαλιστικών εισφορών των μισθωτών του ιδιωτ</w:t>
      </w:r>
      <w:r w:rsidRPr="00EE4E09">
        <w:rPr>
          <w:sz w:val="22"/>
          <w:szCs w:val="22"/>
        </w:rPr>
        <w:t>ι</w:t>
      </w:r>
      <w:r w:rsidRPr="00EE4E09">
        <w:rPr>
          <w:sz w:val="22"/>
          <w:szCs w:val="22"/>
        </w:rPr>
        <w:t>κού τομέα</w:t>
      </w:r>
      <w:r>
        <w:rPr>
          <w:sz w:val="22"/>
          <w:szCs w:val="22"/>
        </w:rPr>
        <w:t>,</w:t>
      </w:r>
    </w:p>
    <w:p w:rsidR="00EE4E09" w:rsidRPr="00EE4E09" w:rsidRDefault="00EE4E09" w:rsidP="00EE4E09">
      <w:pPr>
        <w:numPr>
          <w:ilvl w:val="0"/>
          <w:numId w:val="12"/>
        </w:numPr>
        <w:ind w:left="284" w:hanging="284"/>
        <w:jc w:val="both"/>
        <w:rPr>
          <w:sz w:val="22"/>
          <w:szCs w:val="22"/>
        </w:rPr>
      </w:pPr>
      <w:r w:rsidRPr="00EE4E09">
        <w:rPr>
          <w:sz w:val="22"/>
          <w:szCs w:val="22"/>
        </w:rPr>
        <w:t>η κάλυψη από τον κρατικό προϋπολογισμό των ασφαλιστικών εισφορών επί του ονομαστικού μ</w:t>
      </w:r>
      <w:r w:rsidRPr="00EE4E09">
        <w:rPr>
          <w:sz w:val="22"/>
          <w:szCs w:val="22"/>
        </w:rPr>
        <w:t>ι</w:t>
      </w:r>
      <w:r w:rsidRPr="00EE4E09">
        <w:rPr>
          <w:sz w:val="22"/>
          <w:szCs w:val="22"/>
        </w:rPr>
        <w:t>σθού των εργαζομένων των οποίων οι συμβάσεις εργασίας τίθενται σε προσωρινή αναστολή</w:t>
      </w:r>
      <w:r w:rsidR="00C723C6">
        <w:rPr>
          <w:sz w:val="22"/>
          <w:szCs w:val="22"/>
        </w:rPr>
        <w:t>,</w:t>
      </w:r>
      <w:r w:rsidRPr="00EE4E09">
        <w:rPr>
          <w:sz w:val="22"/>
          <w:szCs w:val="22"/>
        </w:rPr>
        <w:t xml:space="preserve"> κ</w:t>
      </w:r>
      <w:r w:rsidRPr="00EE4E09">
        <w:rPr>
          <w:sz w:val="22"/>
          <w:szCs w:val="22"/>
        </w:rPr>
        <w:t>α</w:t>
      </w:r>
      <w:r w:rsidRPr="00EE4E09">
        <w:rPr>
          <w:sz w:val="22"/>
          <w:szCs w:val="22"/>
        </w:rPr>
        <w:t>θώς και των εργοδοτικών εισφορών των υπαλλήλων των εποχικών επιχειρήσεων</w:t>
      </w:r>
      <w:r>
        <w:rPr>
          <w:sz w:val="22"/>
          <w:szCs w:val="22"/>
        </w:rPr>
        <w:t>,</w:t>
      </w:r>
    </w:p>
    <w:p w:rsidR="00EE4E09" w:rsidRPr="00EE4E09" w:rsidRDefault="00EE4E09" w:rsidP="00EE4E09">
      <w:pPr>
        <w:numPr>
          <w:ilvl w:val="0"/>
          <w:numId w:val="12"/>
        </w:numPr>
        <w:ind w:left="284" w:hanging="284"/>
        <w:jc w:val="both"/>
        <w:rPr>
          <w:sz w:val="22"/>
          <w:szCs w:val="22"/>
        </w:rPr>
      </w:pPr>
      <w:r w:rsidRPr="00EE4E09">
        <w:rPr>
          <w:sz w:val="22"/>
          <w:szCs w:val="22"/>
        </w:rPr>
        <w:t>η κάλυψη των ασφαλιστικών εισφορών από τον κρατικό προϋπολογισμό και επιδότηση 200 ευρώ σε περίπτωση πρόσληψης μακροχρόνια ανέργου, για περίοδο 6 μηνών, στο πλαίσιο του προγρά</w:t>
      </w:r>
      <w:r w:rsidRPr="00EE4E09">
        <w:rPr>
          <w:sz w:val="22"/>
          <w:szCs w:val="22"/>
        </w:rPr>
        <w:t>μ</w:t>
      </w:r>
      <w:r w:rsidRPr="00EE4E09">
        <w:rPr>
          <w:sz w:val="22"/>
          <w:szCs w:val="22"/>
        </w:rPr>
        <w:t>ματος για τη δημιουργία 100.000 νέων θέσεων εργασίας</w:t>
      </w:r>
      <w:r>
        <w:rPr>
          <w:sz w:val="22"/>
          <w:szCs w:val="22"/>
        </w:rPr>
        <w:t>,</w:t>
      </w:r>
    </w:p>
    <w:p w:rsidR="00EE4E09" w:rsidRPr="00EE4E09" w:rsidRDefault="00EE4E09" w:rsidP="00EE4E09">
      <w:pPr>
        <w:numPr>
          <w:ilvl w:val="0"/>
          <w:numId w:val="12"/>
        </w:numPr>
        <w:ind w:left="284" w:hanging="284"/>
        <w:jc w:val="both"/>
        <w:rPr>
          <w:sz w:val="22"/>
          <w:szCs w:val="22"/>
        </w:rPr>
      </w:pPr>
      <w:r w:rsidRPr="00EE4E09">
        <w:rPr>
          <w:sz w:val="22"/>
          <w:szCs w:val="22"/>
        </w:rPr>
        <w:t xml:space="preserve">το Πρόγραμμα </w:t>
      </w:r>
      <w:r w:rsidR="00040347">
        <w:rPr>
          <w:sz w:val="22"/>
          <w:szCs w:val="22"/>
        </w:rPr>
        <w:t>«</w:t>
      </w:r>
      <w:r w:rsidRPr="00EE4E09">
        <w:rPr>
          <w:sz w:val="22"/>
          <w:szCs w:val="22"/>
        </w:rPr>
        <w:t>ΓΕΦΥΡΑ</w:t>
      </w:r>
      <w:r w:rsidR="00040347">
        <w:rPr>
          <w:sz w:val="22"/>
          <w:szCs w:val="22"/>
        </w:rPr>
        <w:t>»</w:t>
      </w:r>
      <w:r w:rsidRPr="00EE4E09">
        <w:rPr>
          <w:sz w:val="22"/>
          <w:szCs w:val="22"/>
        </w:rPr>
        <w:t xml:space="preserve"> που αφορά στην επιδότηση της πρώτης κατοικίας για δανειολήπτες που επλήγησαν από την πανδημία Covid-19</w:t>
      </w:r>
      <w:r>
        <w:rPr>
          <w:sz w:val="22"/>
          <w:szCs w:val="22"/>
        </w:rPr>
        <w:t>,</w:t>
      </w:r>
    </w:p>
    <w:p w:rsidR="00EE4E09" w:rsidRPr="00EE4E09" w:rsidRDefault="00EE4E09" w:rsidP="00EE4E09">
      <w:pPr>
        <w:numPr>
          <w:ilvl w:val="0"/>
          <w:numId w:val="12"/>
        </w:numPr>
        <w:ind w:left="284" w:hanging="284"/>
        <w:jc w:val="both"/>
        <w:rPr>
          <w:sz w:val="22"/>
          <w:szCs w:val="22"/>
        </w:rPr>
      </w:pPr>
      <w:r w:rsidRPr="00EE4E09">
        <w:rPr>
          <w:sz w:val="22"/>
          <w:szCs w:val="22"/>
        </w:rPr>
        <w:t>η καταβολή αποζημίωσης ειδικού σκοπού ύψους 534 ευρώ σε μηνιαία βάση των εργαζομένων των οποίων οι συμβάσεις εργασίας έχουν τεθεί σε προσωρινή αναστολή</w:t>
      </w:r>
      <w:r>
        <w:rPr>
          <w:sz w:val="22"/>
          <w:szCs w:val="22"/>
        </w:rPr>
        <w:t>,</w:t>
      </w:r>
    </w:p>
    <w:p w:rsidR="00EE4E09" w:rsidRPr="00EE4E09" w:rsidRDefault="00EE4E09" w:rsidP="00EE4E09">
      <w:pPr>
        <w:numPr>
          <w:ilvl w:val="0"/>
          <w:numId w:val="12"/>
        </w:numPr>
        <w:ind w:left="284" w:hanging="284"/>
        <w:jc w:val="both"/>
        <w:rPr>
          <w:sz w:val="22"/>
          <w:szCs w:val="22"/>
        </w:rPr>
      </w:pPr>
      <w:r w:rsidRPr="00EE4E09">
        <w:rPr>
          <w:sz w:val="22"/>
          <w:szCs w:val="22"/>
        </w:rPr>
        <w:lastRenderedPageBreak/>
        <w:t>η κάλυψη από τον κρατικό προϋπολογισμό του μέρους του δώρου Πάσχα που αναλογεί στη χρον</w:t>
      </w:r>
      <w:r w:rsidRPr="00EE4E09">
        <w:rPr>
          <w:sz w:val="22"/>
          <w:szCs w:val="22"/>
        </w:rPr>
        <w:t>ι</w:t>
      </w:r>
      <w:r w:rsidRPr="00EE4E09">
        <w:rPr>
          <w:sz w:val="22"/>
          <w:szCs w:val="22"/>
        </w:rPr>
        <w:t>κή περίοδο της προσωρινής αναστολής της σύμβασης εργασίας</w:t>
      </w:r>
      <w:r>
        <w:rPr>
          <w:sz w:val="22"/>
          <w:szCs w:val="22"/>
        </w:rPr>
        <w:t>,</w:t>
      </w:r>
    </w:p>
    <w:p w:rsidR="00EE4E09" w:rsidRPr="00EE4E09" w:rsidRDefault="00EE4E09" w:rsidP="00EE4E09">
      <w:pPr>
        <w:numPr>
          <w:ilvl w:val="0"/>
          <w:numId w:val="12"/>
        </w:numPr>
        <w:ind w:left="284" w:hanging="284"/>
        <w:jc w:val="both"/>
        <w:rPr>
          <w:sz w:val="22"/>
          <w:szCs w:val="22"/>
        </w:rPr>
      </w:pPr>
      <w:r w:rsidRPr="00EE4E09">
        <w:rPr>
          <w:sz w:val="22"/>
          <w:szCs w:val="22"/>
        </w:rPr>
        <w:t xml:space="preserve">η προσαύξηση αποζημίωσης ειδικού σκοπού για τον μήνα Νοέμβριο 2020 και </w:t>
      </w:r>
      <w:r>
        <w:rPr>
          <w:sz w:val="22"/>
          <w:szCs w:val="22"/>
        </w:rPr>
        <w:t xml:space="preserve">η </w:t>
      </w:r>
      <w:r w:rsidRPr="00EE4E09">
        <w:rPr>
          <w:sz w:val="22"/>
          <w:szCs w:val="22"/>
        </w:rPr>
        <w:t>κάλυψη του πρ</w:t>
      </w:r>
      <w:r w:rsidRPr="00EE4E09">
        <w:rPr>
          <w:sz w:val="22"/>
          <w:szCs w:val="22"/>
        </w:rPr>
        <w:t>ό</w:t>
      </w:r>
      <w:r w:rsidRPr="00EE4E09">
        <w:rPr>
          <w:sz w:val="22"/>
          <w:szCs w:val="22"/>
        </w:rPr>
        <w:t>σθετου κόστους του δώρου Χριστουγέννων των υπαλλήλων που λαμβάνουν αποζημίωση ειδικού σκοπού λόγω προσωρινής αναστολής της σύμβασης εργασίας</w:t>
      </w:r>
      <w:r>
        <w:rPr>
          <w:sz w:val="22"/>
          <w:szCs w:val="22"/>
        </w:rPr>
        <w:t xml:space="preserve"> και</w:t>
      </w:r>
    </w:p>
    <w:p w:rsidR="00EE4E09" w:rsidRPr="00EE4E09" w:rsidRDefault="00EE4E09" w:rsidP="00EE4E09">
      <w:pPr>
        <w:numPr>
          <w:ilvl w:val="0"/>
          <w:numId w:val="12"/>
        </w:numPr>
        <w:ind w:left="284" w:hanging="284"/>
        <w:jc w:val="both"/>
        <w:rPr>
          <w:sz w:val="22"/>
          <w:szCs w:val="22"/>
        </w:rPr>
      </w:pPr>
      <w:r w:rsidRPr="00EE4E09">
        <w:rPr>
          <w:sz w:val="22"/>
          <w:szCs w:val="22"/>
        </w:rPr>
        <w:t xml:space="preserve">το Πρόγραμμα βραχυχρόνιας απασχόλησης </w:t>
      </w:r>
      <w:r w:rsidR="00040347">
        <w:rPr>
          <w:sz w:val="22"/>
          <w:szCs w:val="22"/>
        </w:rPr>
        <w:t>«</w:t>
      </w:r>
      <w:r w:rsidRPr="00EE4E09">
        <w:rPr>
          <w:sz w:val="22"/>
          <w:szCs w:val="22"/>
        </w:rPr>
        <w:t>ΣΥΝΕΡΓΑΣΙΑ</w:t>
      </w:r>
      <w:r w:rsidR="00040347">
        <w:rPr>
          <w:sz w:val="22"/>
          <w:szCs w:val="22"/>
        </w:rPr>
        <w:t>»</w:t>
      </w:r>
      <w:r w:rsidRPr="00EE4E09">
        <w:rPr>
          <w:sz w:val="22"/>
          <w:szCs w:val="22"/>
        </w:rPr>
        <w:t xml:space="preserve"> με κάλυψη 60% του καθαρού μ</w:t>
      </w:r>
      <w:r w:rsidRPr="00EE4E09">
        <w:rPr>
          <w:sz w:val="22"/>
          <w:szCs w:val="22"/>
        </w:rPr>
        <w:t>ι</w:t>
      </w:r>
      <w:r w:rsidRPr="00EE4E09">
        <w:rPr>
          <w:sz w:val="22"/>
          <w:szCs w:val="22"/>
        </w:rPr>
        <w:t>σθού και των ασφαλιστικών εισφορών επί του ονομαστικού μισθού για το</w:t>
      </w:r>
      <w:r>
        <w:rPr>
          <w:sz w:val="22"/>
          <w:szCs w:val="22"/>
        </w:rPr>
        <w:t>ν</w:t>
      </w:r>
      <w:r w:rsidRPr="00EE4E09">
        <w:rPr>
          <w:sz w:val="22"/>
          <w:szCs w:val="22"/>
        </w:rPr>
        <w:t xml:space="preserve"> χρόνο μειωμένης απ</w:t>
      </w:r>
      <w:r w:rsidRPr="00EE4E09">
        <w:rPr>
          <w:sz w:val="22"/>
          <w:szCs w:val="22"/>
        </w:rPr>
        <w:t>α</w:t>
      </w:r>
      <w:r w:rsidRPr="00EE4E09">
        <w:rPr>
          <w:sz w:val="22"/>
          <w:szCs w:val="22"/>
        </w:rPr>
        <w:t>σχόλησης</w:t>
      </w:r>
      <w:r>
        <w:rPr>
          <w:sz w:val="22"/>
          <w:szCs w:val="22"/>
        </w:rPr>
        <w:t>.</w:t>
      </w:r>
    </w:p>
    <w:p w:rsidR="00EE4E09" w:rsidRPr="00041EE7" w:rsidRDefault="00EE4E09" w:rsidP="00041EE7">
      <w:pPr>
        <w:jc w:val="both"/>
        <w:rPr>
          <w:sz w:val="22"/>
          <w:szCs w:val="22"/>
        </w:rPr>
      </w:pPr>
    </w:p>
    <w:p w:rsidR="00041EE7" w:rsidRPr="00041EE7" w:rsidRDefault="00041EE7" w:rsidP="00041EE7">
      <w:pPr>
        <w:jc w:val="both"/>
        <w:rPr>
          <w:sz w:val="22"/>
          <w:szCs w:val="22"/>
        </w:rPr>
      </w:pPr>
      <w:r w:rsidRPr="00041EE7">
        <w:rPr>
          <w:sz w:val="22"/>
          <w:szCs w:val="22"/>
        </w:rPr>
        <w:t>Οι πιστώσεις του προϋπολογισμού δημοσίων επενδύσεων του Υπουργείου χρηματοδοτούν δράσεις που αφορούν την προώθηση της απασχόλησης με προγράμματα κατάρτισης και επανεκπαίδευσης, την ενίσχυση της επιχειρηματικότητας μέσω χρηματοδοτικών ενισχύσεων για την ανάληψη επιχειρηματ</w:t>
      </w:r>
      <w:r w:rsidRPr="00041EE7">
        <w:rPr>
          <w:sz w:val="22"/>
          <w:szCs w:val="22"/>
        </w:rPr>
        <w:t>ι</w:t>
      </w:r>
      <w:r w:rsidRPr="00041EE7">
        <w:rPr>
          <w:sz w:val="22"/>
          <w:szCs w:val="22"/>
        </w:rPr>
        <w:t>κών πρωτοβουλιών σε όλους σχεδόν τους τομείς οικονομικής δραστηριότητας, με προτεραιότητα σε κλάδους και τομείς της οικονομίας που ενσωματώνουν την καινοτομία. Θεματικά εργαστήρια, υπηρ</w:t>
      </w:r>
      <w:r w:rsidRPr="00041EE7">
        <w:rPr>
          <w:sz w:val="22"/>
          <w:szCs w:val="22"/>
        </w:rPr>
        <w:t>ε</w:t>
      </w:r>
      <w:r w:rsidRPr="00041EE7">
        <w:rPr>
          <w:sz w:val="22"/>
          <w:szCs w:val="22"/>
        </w:rPr>
        <w:t>σίες καθοδήγησης, ενδυνάμωση της επιχειρηματικής υποστήριξης, καθώς και παροχή συμβουλευτικής υποστήριξης των νέων, αποτελούν κάποια από τα μέσα επίτευξης των παραπάνω στόχων. Ειδικά για τους νέους ενισχύονται συστηματικά προγράμματα μετάβασης από την εκπαίδευση στην εργασία, ώστε να υποστηριχθεί η απόκτηση πρώτης εργασιακής εμπειρίας, καθώς και η προώθηση της επιχε</w:t>
      </w:r>
      <w:r w:rsidRPr="00041EE7">
        <w:rPr>
          <w:sz w:val="22"/>
          <w:szCs w:val="22"/>
        </w:rPr>
        <w:t>ι</w:t>
      </w:r>
      <w:r w:rsidRPr="00041EE7">
        <w:rPr>
          <w:sz w:val="22"/>
          <w:szCs w:val="22"/>
        </w:rPr>
        <w:t>ρηματικότητας.</w:t>
      </w:r>
    </w:p>
    <w:p w:rsidR="00041EE7" w:rsidRPr="00041EE7" w:rsidRDefault="00041EE7" w:rsidP="00041EE7">
      <w:pPr>
        <w:jc w:val="both"/>
        <w:rPr>
          <w:sz w:val="22"/>
          <w:szCs w:val="22"/>
        </w:rPr>
      </w:pPr>
      <w:r w:rsidRPr="00041EE7">
        <w:rPr>
          <w:sz w:val="22"/>
          <w:szCs w:val="22"/>
        </w:rPr>
        <w:t>Σημαντική παράμετρο αποτελεί η συνέργεια με δράσεις άλλων Υπουργείων με σκοπό το</w:t>
      </w:r>
      <w:r w:rsidR="003F3709">
        <w:rPr>
          <w:sz w:val="22"/>
          <w:szCs w:val="22"/>
        </w:rPr>
        <w:t>ν</w:t>
      </w:r>
      <w:r w:rsidRPr="00041EE7">
        <w:rPr>
          <w:sz w:val="22"/>
          <w:szCs w:val="22"/>
        </w:rPr>
        <w:t xml:space="preserve"> συντονισμό και τη συμπληρωματικότητα αυτών.</w:t>
      </w:r>
    </w:p>
    <w:p w:rsidR="003F3709" w:rsidRDefault="003F3709" w:rsidP="00041EE7">
      <w:pPr>
        <w:jc w:val="both"/>
        <w:rPr>
          <w:sz w:val="22"/>
          <w:szCs w:val="22"/>
        </w:rPr>
      </w:pPr>
    </w:p>
    <w:p w:rsidR="00041EE7" w:rsidRPr="00041EE7" w:rsidRDefault="00041EE7" w:rsidP="00041EE7">
      <w:pPr>
        <w:jc w:val="both"/>
        <w:rPr>
          <w:sz w:val="22"/>
          <w:szCs w:val="22"/>
        </w:rPr>
      </w:pPr>
      <w:r w:rsidRPr="00041EE7">
        <w:rPr>
          <w:sz w:val="22"/>
          <w:szCs w:val="22"/>
        </w:rPr>
        <w:t>Τέλος, από το ΠΔΕ του Υπουργείου καλύπτονται δαπάνες στο</w:t>
      </w:r>
      <w:r w:rsidR="008B392A">
        <w:rPr>
          <w:sz w:val="22"/>
          <w:szCs w:val="22"/>
        </w:rPr>
        <w:t>ν</w:t>
      </w:r>
      <w:r w:rsidRPr="00041EE7">
        <w:rPr>
          <w:sz w:val="22"/>
          <w:szCs w:val="22"/>
        </w:rPr>
        <w:t xml:space="preserve"> μεταναστευτικό τομέα στο πλαίσιο της αρμοδιότητάς του.</w:t>
      </w:r>
    </w:p>
    <w:p w:rsidR="00041EE7" w:rsidRPr="00041EE7" w:rsidRDefault="00041EE7" w:rsidP="00041EE7">
      <w:pPr>
        <w:jc w:val="both"/>
        <w:rPr>
          <w:sz w:val="22"/>
          <w:szCs w:val="22"/>
        </w:rPr>
      </w:pPr>
      <w:r w:rsidRPr="00041EE7">
        <w:rPr>
          <w:sz w:val="22"/>
          <w:szCs w:val="22"/>
        </w:rPr>
        <w:t>Το σύνολο των δαπανών του Υπουργείου στο ΠΔΕ έτους 2021</w:t>
      </w:r>
      <w:r w:rsidR="009E1FEC">
        <w:rPr>
          <w:sz w:val="22"/>
          <w:szCs w:val="22"/>
        </w:rPr>
        <w:t xml:space="preserve"> προβλέπεται στα 420 εκατ. ευρώ.</w:t>
      </w:r>
    </w:p>
    <w:p w:rsidR="00041EE7" w:rsidRPr="00041EE7" w:rsidRDefault="00041EE7" w:rsidP="00041EE7">
      <w:pPr>
        <w:jc w:val="both"/>
        <w:rPr>
          <w:sz w:val="22"/>
          <w:szCs w:val="22"/>
        </w:rPr>
      </w:pPr>
    </w:p>
    <w:p w:rsidR="00041EE7" w:rsidRPr="00041EE7" w:rsidRDefault="00041EE7" w:rsidP="00041EE7">
      <w:pPr>
        <w:tabs>
          <w:tab w:val="left" w:pos="3720"/>
        </w:tabs>
        <w:rPr>
          <w:rFonts w:ascii="Arial Narrow" w:hAnsi="Arial Narrow"/>
          <w:b/>
          <w:i/>
          <w:sz w:val="22"/>
          <w:szCs w:val="22"/>
        </w:rPr>
      </w:pPr>
      <w:r w:rsidRPr="00041EE7">
        <w:rPr>
          <w:rFonts w:ascii="Arial Narrow" w:hAnsi="Arial Narrow"/>
          <w:b/>
          <w:i/>
          <w:sz w:val="22"/>
          <w:szCs w:val="22"/>
        </w:rPr>
        <w:t xml:space="preserve">Υπουργείο Ανάπτυξης και Επενδύσεων </w:t>
      </w:r>
    </w:p>
    <w:p w:rsidR="00041EE7" w:rsidRPr="00041EE7" w:rsidRDefault="00041EE7" w:rsidP="00041EE7">
      <w:pPr>
        <w:jc w:val="both"/>
        <w:rPr>
          <w:b/>
          <w:sz w:val="22"/>
          <w:szCs w:val="22"/>
        </w:rPr>
      </w:pPr>
    </w:p>
    <w:p w:rsidR="00041EE7" w:rsidRPr="00041EE7" w:rsidRDefault="00041EE7" w:rsidP="00041EE7">
      <w:pPr>
        <w:jc w:val="both"/>
        <w:rPr>
          <w:sz w:val="22"/>
          <w:szCs w:val="22"/>
        </w:rPr>
      </w:pPr>
      <w:r w:rsidRPr="00041EE7">
        <w:rPr>
          <w:sz w:val="22"/>
          <w:szCs w:val="22"/>
        </w:rPr>
        <w:t>Οι πιστώσεις του τακτικού προϋπολογισμού του Υπουργείου προβλέπεται να καλύψουν κυρίως δαπ</w:t>
      </w:r>
      <w:r w:rsidRPr="00041EE7">
        <w:rPr>
          <w:sz w:val="22"/>
          <w:szCs w:val="22"/>
        </w:rPr>
        <w:t>ά</w:t>
      </w:r>
      <w:r w:rsidRPr="00041EE7">
        <w:rPr>
          <w:sz w:val="22"/>
          <w:szCs w:val="22"/>
        </w:rPr>
        <w:t xml:space="preserve">νες για: </w:t>
      </w:r>
    </w:p>
    <w:p w:rsidR="00041EE7" w:rsidRPr="00041EE7" w:rsidRDefault="00041EE7" w:rsidP="00041EE7">
      <w:pPr>
        <w:jc w:val="both"/>
        <w:rPr>
          <w:sz w:val="22"/>
          <w:szCs w:val="22"/>
        </w:rPr>
      </w:pPr>
    </w:p>
    <w:p w:rsidR="00041EE7" w:rsidRPr="00041EE7" w:rsidRDefault="00041EE7" w:rsidP="00041EE7">
      <w:pPr>
        <w:numPr>
          <w:ilvl w:val="0"/>
          <w:numId w:val="12"/>
        </w:numPr>
        <w:ind w:left="284" w:hanging="284"/>
        <w:jc w:val="both"/>
        <w:rPr>
          <w:sz w:val="22"/>
          <w:szCs w:val="22"/>
        </w:rPr>
      </w:pPr>
      <w:r w:rsidRPr="00041EE7">
        <w:rPr>
          <w:sz w:val="22"/>
          <w:szCs w:val="22"/>
        </w:rPr>
        <w:t>την ενίσχυση της επιχειρηματικότητας, την προσέλκυση παραγωγικών ιδιωτικών επενδύσεων και τη βελτίωση της ανταγωνιστικότητας της οικονομίας,</w:t>
      </w:r>
    </w:p>
    <w:p w:rsidR="00041EE7" w:rsidRPr="00041EE7" w:rsidRDefault="00041EE7" w:rsidP="00041EE7">
      <w:pPr>
        <w:numPr>
          <w:ilvl w:val="0"/>
          <w:numId w:val="12"/>
        </w:numPr>
        <w:ind w:left="284" w:hanging="284"/>
        <w:jc w:val="both"/>
        <w:rPr>
          <w:sz w:val="22"/>
          <w:szCs w:val="22"/>
        </w:rPr>
      </w:pPr>
      <w:r w:rsidRPr="00041EE7">
        <w:rPr>
          <w:sz w:val="22"/>
          <w:szCs w:val="22"/>
        </w:rPr>
        <w:t xml:space="preserve">τη δημιουργία κατάλληλου επιχειρηματικού περιβάλλοντος για την ανάπτυξη της καινοτομίας, της βιομηχανίας και των μεσαίων, μικρών και πολύ μικρών επιχειρήσεων, </w:t>
      </w:r>
    </w:p>
    <w:p w:rsidR="00041EE7" w:rsidRPr="00041EE7" w:rsidRDefault="00041EE7" w:rsidP="00041EE7">
      <w:pPr>
        <w:numPr>
          <w:ilvl w:val="0"/>
          <w:numId w:val="12"/>
        </w:numPr>
        <w:ind w:left="284" w:hanging="284"/>
        <w:jc w:val="both"/>
        <w:rPr>
          <w:sz w:val="22"/>
          <w:szCs w:val="22"/>
        </w:rPr>
      </w:pPr>
      <w:r w:rsidRPr="00041EE7">
        <w:rPr>
          <w:sz w:val="22"/>
          <w:szCs w:val="22"/>
        </w:rPr>
        <w:t>την εξασφάλιση της λειτουργίας των βιομηχανικών και βιοτεχνικών δραστηριοτήτων και άσκησης των τεχνικών επαγγελμάτων, καθώς και την ενίσχυση της ασφάλειας και της ποιότητας των βιομ</w:t>
      </w:r>
      <w:r w:rsidRPr="00041EE7">
        <w:rPr>
          <w:sz w:val="22"/>
          <w:szCs w:val="22"/>
        </w:rPr>
        <w:t>η</w:t>
      </w:r>
      <w:r w:rsidRPr="00041EE7">
        <w:rPr>
          <w:sz w:val="22"/>
          <w:szCs w:val="22"/>
        </w:rPr>
        <w:t>χανικών προϊόντων και υπηρεσιών,</w:t>
      </w:r>
    </w:p>
    <w:p w:rsidR="00041EE7" w:rsidRPr="00041EE7" w:rsidRDefault="00041EE7" w:rsidP="00041EE7">
      <w:pPr>
        <w:numPr>
          <w:ilvl w:val="0"/>
          <w:numId w:val="12"/>
        </w:numPr>
        <w:ind w:left="284" w:hanging="284"/>
        <w:jc w:val="both"/>
        <w:rPr>
          <w:sz w:val="22"/>
          <w:szCs w:val="22"/>
        </w:rPr>
      </w:pPr>
      <w:r w:rsidRPr="00041EE7">
        <w:rPr>
          <w:sz w:val="22"/>
          <w:szCs w:val="22"/>
        </w:rPr>
        <w:t xml:space="preserve">την ανάπτυξη της έρευνας, την προαγωγή της τεχνολογίας, την ενσωμάτωση της καινοτομίας στην παραγωγή, την ανάπτυξη του ανθρώπινου ερευνητικού δυναμικού και την ενίσχυση των εθνικών υποδομών έρευνας και καινοτομίας, </w:t>
      </w:r>
    </w:p>
    <w:p w:rsidR="00041EE7" w:rsidRPr="00041EE7" w:rsidRDefault="00041EE7" w:rsidP="00041EE7">
      <w:pPr>
        <w:numPr>
          <w:ilvl w:val="0"/>
          <w:numId w:val="12"/>
        </w:numPr>
        <w:ind w:left="284" w:hanging="284"/>
        <w:jc w:val="both"/>
        <w:rPr>
          <w:sz w:val="22"/>
          <w:szCs w:val="22"/>
        </w:rPr>
      </w:pPr>
      <w:r w:rsidRPr="00041EE7">
        <w:rPr>
          <w:sz w:val="22"/>
          <w:szCs w:val="22"/>
        </w:rPr>
        <w:t xml:space="preserve">τη διασφάλιση της εύρυθμης λειτουργίας της αγοράς προς όφελος των καταναλωτών και του </w:t>
      </w:r>
      <w:r w:rsidRPr="00041EE7">
        <w:rPr>
          <w:sz w:val="22"/>
          <w:szCs w:val="22"/>
        </w:rPr>
        <w:t>υ</w:t>
      </w:r>
      <w:r w:rsidRPr="00041EE7">
        <w:rPr>
          <w:sz w:val="22"/>
          <w:szCs w:val="22"/>
        </w:rPr>
        <w:t>γιούς ανταγωνισμού των επιχειρήσεων, καθώς και την προάσπιση των δικαιωμάτων των καταν</w:t>
      </w:r>
      <w:r w:rsidRPr="00041EE7">
        <w:rPr>
          <w:sz w:val="22"/>
          <w:szCs w:val="22"/>
        </w:rPr>
        <w:t>α</w:t>
      </w:r>
      <w:r w:rsidRPr="00041EE7">
        <w:rPr>
          <w:sz w:val="22"/>
          <w:szCs w:val="22"/>
        </w:rPr>
        <w:t xml:space="preserve">λωτών, την πληροφόρηση και ενημέρωσή τους, </w:t>
      </w:r>
    </w:p>
    <w:p w:rsidR="00041EE7" w:rsidRPr="00041EE7" w:rsidRDefault="00041EE7" w:rsidP="00041EE7">
      <w:pPr>
        <w:numPr>
          <w:ilvl w:val="0"/>
          <w:numId w:val="12"/>
        </w:numPr>
        <w:ind w:left="284" w:hanging="284"/>
        <w:jc w:val="both"/>
        <w:rPr>
          <w:sz w:val="22"/>
          <w:szCs w:val="22"/>
        </w:rPr>
      </w:pPr>
      <w:r w:rsidRPr="00041EE7">
        <w:rPr>
          <w:sz w:val="22"/>
          <w:szCs w:val="22"/>
        </w:rPr>
        <w:t>τη λειτουργία της Ανεξάρτητης Αρχ</w:t>
      </w:r>
      <w:r w:rsidR="00C2476E">
        <w:rPr>
          <w:sz w:val="22"/>
          <w:szCs w:val="22"/>
        </w:rPr>
        <w:t>ής του Συνηγόρου του Καταναλωτή</w:t>
      </w:r>
      <w:r w:rsidRPr="00041EE7">
        <w:rPr>
          <w:sz w:val="22"/>
          <w:szCs w:val="22"/>
        </w:rPr>
        <w:t xml:space="preserve"> και</w:t>
      </w:r>
    </w:p>
    <w:p w:rsidR="00041EE7" w:rsidRPr="00041EE7" w:rsidRDefault="00041EE7" w:rsidP="00041EE7">
      <w:pPr>
        <w:numPr>
          <w:ilvl w:val="0"/>
          <w:numId w:val="12"/>
        </w:numPr>
        <w:ind w:left="284" w:hanging="284"/>
        <w:jc w:val="both"/>
        <w:rPr>
          <w:sz w:val="22"/>
          <w:szCs w:val="22"/>
        </w:rPr>
      </w:pPr>
      <w:r w:rsidRPr="00041EE7">
        <w:rPr>
          <w:sz w:val="22"/>
          <w:szCs w:val="22"/>
        </w:rPr>
        <w:t>τη λειτουργία της νεοσύστατης Διυπηρεσιακής Μονάδας Ελέγχου Αγοράς.</w:t>
      </w:r>
    </w:p>
    <w:p w:rsidR="00041EE7" w:rsidRPr="00041EE7" w:rsidRDefault="00041EE7" w:rsidP="00041EE7">
      <w:pPr>
        <w:jc w:val="both"/>
        <w:rPr>
          <w:color w:val="0070C0"/>
          <w:sz w:val="22"/>
          <w:szCs w:val="22"/>
        </w:rPr>
      </w:pPr>
    </w:p>
    <w:p w:rsidR="00041EE7" w:rsidRPr="00041EE7" w:rsidRDefault="00041EE7" w:rsidP="00041EE7">
      <w:pPr>
        <w:jc w:val="both"/>
        <w:rPr>
          <w:sz w:val="22"/>
          <w:szCs w:val="22"/>
        </w:rPr>
      </w:pPr>
      <w:r w:rsidRPr="00041EE7">
        <w:rPr>
          <w:sz w:val="22"/>
          <w:szCs w:val="22"/>
        </w:rPr>
        <w:t>Οι πιστώσεις του προϋπολογισμού δημοσίων επενδύσεων του Υπουργείου χρηματοδοτούν πολιτικές ενίσχυσης των ιδιωτικών επενδύσεων μέσω της χρηματοδότησης δράσεων στους τομείς βιομηχανίας-βιοτεχνίας, τουρισμού, προστασίας του περιβάλλοντος και στον πρωτογενή τομέα. Βασικό πλαίσιο για την υλοποίηση των πολιτικών ενίσχυσης των ιδιωτικών επενδύσεων αποτελούν οι αναπτυξιακοί νόμοι.</w:t>
      </w:r>
    </w:p>
    <w:p w:rsidR="00041EE7" w:rsidRPr="00041EE7" w:rsidRDefault="00041EE7" w:rsidP="00041EE7">
      <w:pPr>
        <w:jc w:val="both"/>
        <w:rPr>
          <w:sz w:val="22"/>
          <w:szCs w:val="22"/>
        </w:rPr>
      </w:pPr>
    </w:p>
    <w:p w:rsidR="00041EE7" w:rsidRPr="00041EE7" w:rsidRDefault="00041EE7" w:rsidP="00041EE7">
      <w:pPr>
        <w:jc w:val="both"/>
        <w:rPr>
          <w:sz w:val="22"/>
          <w:szCs w:val="22"/>
        </w:rPr>
      </w:pPr>
      <w:r w:rsidRPr="00041EE7">
        <w:rPr>
          <w:sz w:val="22"/>
          <w:szCs w:val="22"/>
        </w:rPr>
        <w:lastRenderedPageBreak/>
        <w:t>Επίσης, για την ανάπτυξη και ενίσχυση των υπηρεσιών εμπορίου ενισχύονται από το ΠΔΕ δράσεις που αφορούν τον εκσυγχρονισμό χερσαίων εμπορευματικών και οδικών μεταφορών.</w:t>
      </w:r>
    </w:p>
    <w:p w:rsidR="00041EE7" w:rsidRPr="00041EE7" w:rsidRDefault="00041EE7" w:rsidP="00041EE7">
      <w:pPr>
        <w:jc w:val="both"/>
        <w:rPr>
          <w:sz w:val="22"/>
          <w:szCs w:val="22"/>
        </w:rPr>
      </w:pPr>
    </w:p>
    <w:p w:rsidR="00041EE7" w:rsidRPr="00041EE7" w:rsidRDefault="00041EE7" w:rsidP="00041EE7">
      <w:pPr>
        <w:jc w:val="both"/>
        <w:rPr>
          <w:sz w:val="22"/>
          <w:szCs w:val="22"/>
        </w:rPr>
      </w:pPr>
      <w:r w:rsidRPr="00041EE7">
        <w:rPr>
          <w:sz w:val="22"/>
          <w:szCs w:val="22"/>
        </w:rPr>
        <w:t>Επιπλέον, μέσω του ΠΔΕ, το Υπουργείο Ανάπτυξης και Επενδύσεων παρεμβαίνει για να χρηματοδ</w:t>
      </w:r>
      <w:r w:rsidRPr="00041EE7">
        <w:rPr>
          <w:sz w:val="22"/>
          <w:szCs w:val="22"/>
        </w:rPr>
        <w:t>ο</w:t>
      </w:r>
      <w:r w:rsidRPr="00041EE7">
        <w:rPr>
          <w:sz w:val="22"/>
          <w:szCs w:val="22"/>
        </w:rPr>
        <w:t>τήσει δράσεις στήριξης της ανταγωνιστικότητας και της εξωστρέφειας των επιχειρήσεων, με υλοπο</w:t>
      </w:r>
      <w:r w:rsidRPr="00041EE7">
        <w:rPr>
          <w:sz w:val="22"/>
          <w:szCs w:val="22"/>
        </w:rPr>
        <w:t>ί</w:t>
      </w:r>
      <w:r w:rsidRPr="00041EE7">
        <w:rPr>
          <w:sz w:val="22"/>
          <w:szCs w:val="22"/>
        </w:rPr>
        <w:t>ηση προγραμμάτων ενίσχυσης μικρομεσαίων επιχειρήσεων που δραστηριοποιούνται στους τομείς της μεταποίησης, του τουρισμού, του εμπορίου και των υπηρεσιών.</w:t>
      </w:r>
    </w:p>
    <w:p w:rsidR="00041EE7" w:rsidRPr="00041EE7" w:rsidRDefault="00041EE7" w:rsidP="00041EE7">
      <w:pPr>
        <w:jc w:val="both"/>
        <w:rPr>
          <w:sz w:val="22"/>
          <w:szCs w:val="22"/>
        </w:rPr>
      </w:pPr>
    </w:p>
    <w:p w:rsidR="00041EE7" w:rsidRPr="00041EE7" w:rsidRDefault="00041EE7" w:rsidP="00041EE7">
      <w:pPr>
        <w:jc w:val="both"/>
        <w:rPr>
          <w:sz w:val="22"/>
          <w:szCs w:val="22"/>
        </w:rPr>
      </w:pPr>
      <w:r w:rsidRPr="00041EE7">
        <w:rPr>
          <w:sz w:val="22"/>
          <w:szCs w:val="22"/>
        </w:rPr>
        <w:t>Το Υπουργείο χρηματοδοτεί επίσης μέσω του ΠΔΕ, δράσεις για την έρευνα, την τεχνολογία, την αν</w:t>
      </w:r>
      <w:r w:rsidRPr="00041EE7">
        <w:rPr>
          <w:sz w:val="22"/>
          <w:szCs w:val="22"/>
        </w:rPr>
        <w:t>ά</w:t>
      </w:r>
      <w:r w:rsidRPr="00041EE7">
        <w:rPr>
          <w:sz w:val="22"/>
          <w:szCs w:val="22"/>
        </w:rPr>
        <w:t>πτυξη βιομηχανικών ερευνών, την ενίσχυση ερευνητικού δυναμικού και παρεμβάσεις γενικότερου ο</w:t>
      </w:r>
      <w:r w:rsidRPr="00041EE7">
        <w:rPr>
          <w:sz w:val="22"/>
          <w:szCs w:val="22"/>
        </w:rPr>
        <w:t>ι</w:t>
      </w:r>
      <w:r w:rsidRPr="00041EE7">
        <w:rPr>
          <w:sz w:val="22"/>
          <w:szCs w:val="22"/>
        </w:rPr>
        <w:t>κονομικού σχεδιασμού.</w:t>
      </w:r>
    </w:p>
    <w:p w:rsidR="00041EE7" w:rsidRDefault="00041EE7" w:rsidP="00041EE7">
      <w:pPr>
        <w:jc w:val="both"/>
        <w:rPr>
          <w:sz w:val="22"/>
          <w:szCs w:val="22"/>
        </w:rPr>
      </w:pPr>
      <w:r w:rsidRPr="00041EE7">
        <w:rPr>
          <w:sz w:val="22"/>
          <w:szCs w:val="22"/>
        </w:rPr>
        <w:t>Μέσω του προϋπολογισμού του Υπουργείου επίσης, διατίθενται οι πόροι για τη χρηματοδότηση των έργων των 13 Περιφερειών της χώρας.</w:t>
      </w:r>
    </w:p>
    <w:p w:rsidR="00F472CD" w:rsidRPr="00F472CD" w:rsidRDefault="00F472CD" w:rsidP="00041EE7">
      <w:pPr>
        <w:jc w:val="both"/>
        <w:rPr>
          <w:sz w:val="22"/>
          <w:szCs w:val="22"/>
        </w:rPr>
      </w:pPr>
      <w:r>
        <w:rPr>
          <w:sz w:val="22"/>
          <w:szCs w:val="22"/>
        </w:rPr>
        <w:t>Στις εκτιμήσεις του προϋπολογισμού δημοσίων επενδύσεων 2020 του Υπουργείου, ύψους 5.611 εκατ. ευρώ, μεγάλο μέρος της δαπάνης αφορά μεταβιβάσεις στην Ελληνική Αναπτυξιακή Τράπεζα ΑΕ, μ</w:t>
      </w:r>
      <w:r>
        <w:rPr>
          <w:sz w:val="22"/>
          <w:szCs w:val="22"/>
        </w:rPr>
        <w:t>έ</w:t>
      </w:r>
      <w:r>
        <w:rPr>
          <w:sz w:val="22"/>
          <w:szCs w:val="22"/>
        </w:rPr>
        <w:t xml:space="preserve">σω της οποίας θα διατεθούν πόροι κυρίως για τους σκοπούς του Ταμείου Εγγυοδοσίας Επιχειρήσεων για την αντιμετώπιση των συνεπειών της πανδημίας </w:t>
      </w:r>
      <w:r>
        <w:rPr>
          <w:sz w:val="22"/>
          <w:szCs w:val="22"/>
          <w:lang w:val="en-US"/>
        </w:rPr>
        <w:t>Covid</w:t>
      </w:r>
      <w:r w:rsidRPr="00F472CD">
        <w:rPr>
          <w:sz w:val="22"/>
          <w:szCs w:val="22"/>
        </w:rPr>
        <w:t>-19</w:t>
      </w:r>
      <w:r>
        <w:rPr>
          <w:sz w:val="22"/>
          <w:szCs w:val="22"/>
        </w:rPr>
        <w:t xml:space="preserve"> ύψους </w:t>
      </w:r>
      <w:r w:rsidR="00802CEB">
        <w:rPr>
          <w:sz w:val="22"/>
          <w:szCs w:val="22"/>
        </w:rPr>
        <w:t xml:space="preserve">1.780 εκατ. ευρώ </w:t>
      </w:r>
      <w:r>
        <w:rPr>
          <w:sz w:val="22"/>
          <w:szCs w:val="22"/>
        </w:rPr>
        <w:t>και του Ταμε</w:t>
      </w:r>
      <w:r>
        <w:rPr>
          <w:sz w:val="22"/>
          <w:szCs w:val="22"/>
        </w:rPr>
        <w:t>ί</w:t>
      </w:r>
      <w:r>
        <w:rPr>
          <w:sz w:val="22"/>
          <w:szCs w:val="22"/>
        </w:rPr>
        <w:t>ου Επιχειρηματικότητας ΙΙ (ΤΕΠΙΧ ΙΙ),</w:t>
      </w:r>
      <w:r w:rsidR="00802CEB">
        <w:rPr>
          <w:sz w:val="22"/>
          <w:szCs w:val="22"/>
        </w:rPr>
        <w:t xml:space="preserve"> ύψους 768 εκατ. ευρώ</w:t>
      </w:r>
      <w:r>
        <w:rPr>
          <w:sz w:val="22"/>
          <w:szCs w:val="22"/>
        </w:rPr>
        <w:t xml:space="preserve"> για τον ίδιο σκοπό. </w:t>
      </w:r>
      <w:r w:rsidR="00802CEB">
        <w:rPr>
          <w:sz w:val="22"/>
          <w:szCs w:val="22"/>
        </w:rPr>
        <w:t>Επίσης,</w:t>
      </w:r>
      <w:r>
        <w:rPr>
          <w:sz w:val="22"/>
          <w:szCs w:val="22"/>
        </w:rPr>
        <w:t xml:space="preserve"> στις εκτ</w:t>
      </w:r>
      <w:r>
        <w:rPr>
          <w:sz w:val="22"/>
          <w:szCs w:val="22"/>
        </w:rPr>
        <w:t>ι</w:t>
      </w:r>
      <w:r>
        <w:rPr>
          <w:sz w:val="22"/>
          <w:szCs w:val="22"/>
        </w:rPr>
        <w:t>μήσεις περιλαμβάνεται και η δαπάνη για το μέτρο της επιδότησης δανείων μικρών και μεσαίων επ</w:t>
      </w:r>
      <w:r>
        <w:rPr>
          <w:sz w:val="22"/>
          <w:szCs w:val="22"/>
        </w:rPr>
        <w:t>ι</w:t>
      </w:r>
      <w:r>
        <w:rPr>
          <w:sz w:val="22"/>
          <w:szCs w:val="22"/>
        </w:rPr>
        <w:t>χειρήσεων που πλήττονται από την ίδια αι</w:t>
      </w:r>
      <w:r w:rsidR="00802CEB">
        <w:rPr>
          <w:sz w:val="22"/>
          <w:szCs w:val="22"/>
        </w:rPr>
        <w:t xml:space="preserve">τία, ύψους </w:t>
      </w:r>
      <w:r w:rsidR="006E6FBF">
        <w:rPr>
          <w:sz w:val="22"/>
          <w:szCs w:val="22"/>
        </w:rPr>
        <w:t>179</w:t>
      </w:r>
      <w:r w:rsidR="00802CEB">
        <w:rPr>
          <w:sz w:val="22"/>
          <w:szCs w:val="22"/>
        </w:rPr>
        <w:t xml:space="preserve"> εκατ. ευρώ περίπου.</w:t>
      </w:r>
    </w:p>
    <w:p w:rsidR="00041EE7" w:rsidRPr="00E01DA8" w:rsidRDefault="00041EE7" w:rsidP="00041EE7">
      <w:pPr>
        <w:jc w:val="both"/>
        <w:rPr>
          <w:sz w:val="22"/>
          <w:szCs w:val="22"/>
        </w:rPr>
      </w:pPr>
      <w:r w:rsidRPr="00041EE7">
        <w:rPr>
          <w:sz w:val="22"/>
          <w:szCs w:val="22"/>
        </w:rPr>
        <w:t xml:space="preserve">Το σύνολο των δαπανών του Υπουργείου στο ΠΔΕ έτους 2021 </w:t>
      </w:r>
      <w:r w:rsidR="00294E23" w:rsidRPr="00041EE7">
        <w:rPr>
          <w:sz w:val="22"/>
          <w:szCs w:val="22"/>
        </w:rPr>
        <w:t>προ</w:t>
      </w:r>
      <w:r w:rsidR="00294E23">
        <w:rPr>
          <w:sz w:val="22"/>
          <w:szCs w:val="22"/>
        </w:rPr>
        <w:t>βλέπεται να ανέλθει στα</w:t>
      </w:r>
      <w:r w:rsidR="00294E23" w:rsidRPr="00041EE7">
        <w:rPr>
          <w:sz w:val="22"/>
          <w:szCs w:val="22"/>
        </w:rPr>
        <w:t xml:space="preserve"> </w:t>
      </w:r>
      <w:r w:rsidRPr="00041EE7">
        <w:rPr>
          <w:sz w:val="22"/>
          <w:szCs w:val="22"/>
        </w:rPr>
        <w:t>2.480</w:t>
      </w:r>
      <w:r w:rsidRPr="00041EE7">
        <w:rPr>
          <w:b/>
          <w:sz w:val="22"/>
          <w:szCs w:val="22"/>
        </w:rPr>
        <w:t xml:space="preserve"> </w:t>
      </w:r>
      <w:r w:rsidRPr="00041EE7">
        <w:rPr>
          <w:sz w:val="22"/>
          <w:szCs w:val="22"/>
        </w:rPr>
        <w:t>ε</w:t>
      </w:r>
      <w:r w:rsidRPr="00041EE7">
        <w:rPr>
          <w:sz w:val="22"/>
          <w:szCs w:val="22"/>
        </w:rPr>
        <w:t xml:space="preserve">κατ. ευρώ, εκ των οποίων ποσό </w:t>
      </w:r>
      <w:r w:rsidR="00294E23">
        <w:rPr>
          <w:sz w:val="22"/>
          <w:szCs w:val="22"/>
        </w:rPr>
        <w:t xml:space="preserve">ύψους </w:t>
      </w:r>
      <w:r w:rsidRPr="00041EE7">
        <w:rPr>
          <w:sz w:val="22"/>
          <w:szCs w:val="22"/>
        </w:rPr>
        <w:t>1.310 εκατ. ευρώ αφορά το Περιφερειακό ΠΔΕ.</w:t>
      </w:r>
      <w:r w:rsidR="00F423B1">
        <w:rPr>
          <w:sz w:val="22"/>
          <w:szCs w:val="22"/>
        </w:rPr>
        <w:t xml:space="preserve"> Στις πιστώσεις του Υπουργείου περιλαμβάνεται ποσό 800 εκατ. ευρώ που θα διατεθεί στο Περιφερειακό ΠΔΕ για την αντιμετώπιση συνεπειών της πανδημίας μέσω του μέτρου μη επιστρεπτέας επιδότησης τόκων δανείων μικρών και μεσαίων επιχειρήσεων, καθώς και 80 εκατ. ευρώ για λοιπές δράσεις αντιμετώπισης των συνεπειών της πανδημίας </w:t>
      </w:r>
      <w:r w:rsidR="00F423B1">
        <w:rPr>
          <w:sz w:val="22"/>
          <w:szCs w:val="22"/>
          <w:lang w:val="en-US"/>
        </w:rPr>
        <w:t>Covid</w:t>
      </w:r>
      <w:r w:rsidR="00F423B1" w:rsidRPr="00E01DA8">
        <w:rPr>
          <w:sz w:val="22"/>
          <w:szCs w:val="22"/>
        </w:rPr>
        <w:t>-19.</w:t>
      </w:r>
    </w:p>
    <w:p w:rsidR="00041EE7" w:rsidRPr="00041EE7" w:rsidRDefault="00041EE7" w:rsidP="00041EE7">
      <w:pPr>
        <w:jc w:val="both"/>
        <w:rPr>
          <w:b/>
          <w:i/>
          <w:sz w:val="22"/>
          <w:szCs w:val="22"/>
        </w:rPr>
      </w:pPr>
    </w:p>
    <w:p w:rsidR="00041EE7" w:rsidRPr="00041EE7" w:rsidRDefault="00041EE7" w:rsidP="00041EE7">
      <w:pPr>
        <w:tabs>
          <w:tab w:val="left" w:pos="3720"/>
        </w:tabs>
        <w:rPr>
          <w:rFonts w:ascii="Arial Narrow" w:hAnsi="Arial Narrow"/>
          <w:b/>
          <w:i/>
          <w:sz w:val="22"/>
          <w:szCs w:val="22"/>
        </w:rPr>
      </w:pPr>
      <w:r w:rsidRPr="00041EE7">
        <w:rPr>
          <w:rFonts w:ascii="Arial Narrow" w:hAnsi="Arial Narrow"/>
          <w:b/>
          <w:i/>
          <w:sz w:val="22"/>
          <w:szCs w:val="22"/>
        </w:rPr>
        <w:t>Υπουργείο Υποδομών και Μεταφορών</w:t>
      </w:r>
    </w:p>
    <w:p w:rsidR="00041EE7" w:rsidRPr="00041EE7" w:rsidRDefault="00041EE7" w:rsidP="00041EE7">
      <w:pPr>
        <w:autoSpaceDE w:val="0"/>
        <w:autoSpaceDN w:val="0"/>
        <w:adjustRightInd w:val="0"/>
        <w:jc w:val="both"/>
        <w:rPr>
          <w:rFonts w:ascii="Arial Narrow" w:hAnsi="Arial Narrow"/>
          <w:b/>
          <w:i/>
          <w:sz w:val="22"/>
          <w:szCs w:val="22"/>
        </w:rPr>
      </w:pPr>
    </w:p>
    <w:p w:rsidR="00041EE7" w:rsidRPr="00041EE7" w:rsidRDefault="00041EE7" w:rsidP="00041EE7">
      <w:pPr>
        <w:jc w:val="both"/>
        <w:rPr>
          <w:sz w:val="22"/>
          <w:szCs w:val="22"/>
        </w:rPr>
      </w:pPr>
      <w:r w:rsidRPr="00041EE7">
        <w:rPr>
          <w:sz w:val="22"/>
          <w:szCs w:val="22"/>
        </w:rPr>
        <w:t xml:space="preserve">Στον τακτικό προϋπολογισμό του Υπουργείου έχουν προβλεφθεί πιστώσεις για την εκτέλεση της </w:t>
      </w:r>
      <w:r w:rsidRPr="00041EE7">
        <w:rPr>
          <w:sz w:val="22"/>
          <w:szCs w:val="22"/>
        </w:rPr>
        <w:t>α</w:t>
      </w:r>
      <w:r w:rsidRPr="00041EE7">
        <w:rPr>
          <w:sz w:val="22"/>
          <w:szCs w:val="22"/>
        </w:rPr>
        <w:t>ποστολής του, όπως είναι η υλοποίηση των έργων υποδομών της χώρας και η ανάπτυξη μεταφορικών και συγκοινωνιακών υπηρεσιών υψηλής ποιότητας. Οι πιστώσεις του τακτικού προϋπολογισμού του Υπουργείου προβλέπεται να καλύψουν κυρίως δαπάνες για:</w:t>
      </w:r>
    </w:p>
    <w:p w:rsidR="00041EE7" w:rsidRPr="00041EE7" w:rsidRDefault="00041EE7" w:rsidP="00041EE7">
      <w:pPr>
        <w:jc w:val="both"/>
        <w:rPr>
          <w:sz w:val="22"/>
          <w:szCs w:val="22"/>
        </w:rPr>
      </w:pPr>
    </w:p>
    <w:p w:rsidR="00041EE7" w:rsidRPr="00041EE7" w:rsidRDefault="00041EE7" w:rsidP="00041EE7">
      <w:pPr>
        <w:numPr>
          <w:ilvl w:val="0"/>
          <w:numId w:val="2"/>
        </w:numPr>
        <w:ind w:left="284" w:hanging="284"/>
        <w:jc w:val="both"/>
        <w:rPr>
          <w:sz w:val="22"/>
          <w:szCs w:val="22"/>
        </w:rPr>
      </w:pPr>
      <w:r w:rsidRPr="00041EE7">
        <w:rPr>
          <w:sz w:val="22"/>
          <w:szCs w:val="22"/>
        </w:rPr>
        <w:t>την επιχορήγηση των συγκοινωνιακών φορέων,</w:t>
      </w:r>
    </w:p>
    <w:p w:rsidR="00041EE7" w:rsidRPr="00041EE7" w:rsidRDefault="00041EE7" w:rsidP="00041EE7">
      <w:pPr>
        <w:numPr>
          <w:ilvl w:val="0"/>
          <w:numId w:val="2"/>
        </w:numPr>
        <w:ind w:left="284" w:hanging="284"/>
        <w:jc w:val="both"/>
        <w:rPr>
          <w:sz w:val="22"/>
          <w:szCs w:val="22"/>
        </w:rPr>
      </w:pPr>
      <w:r w:rsidRPr="00041EE7">
        <w:rPr>
          <w:sz w:val="22"/>
          <w:szCs w:val="22"/>
        </w:rPr>
        <w:t>την αποζημίωση των συγκοινωνιακών φορέων για την απώλεια εσόδων λόγω των απαλλαγών κ</w:t>
      </w:r>
      <w:r w:rsidRPr="00041EE7">
        <w:rPr>
          <w:sz w:val="22"/>
          <w:szCs w:val="22"/>
        </w:rPr>
        <w:t>α</w:t>
      </w:r>
      <w:r w:rsidRPr="00041EE7">
        <w:rPr>
          <w:sz w:val="22"/>
          <w:szCs w:val="22"/>
        </w:rPr>
        <w:t>ταβολής κομίστρου στα μέσα μαζικής μεταφοράς,</w:t>
      </w:r>
    </w:p>
    <w:p w:rsidR="00041EE7" w:rsidRPr="00041EE7" w:rsidRDefault="00041EE7" w:rsidP="00041EE7">
      <w:pPr>
        <w:numPr>
          <w:ilvl w:val="0"/>
          <w:numId w:val="2"/>
        </w:numPr>
        <w:ind w:left="284" w:hanging="284"/>
        <w:jc w:val="both"/>
        <w:rPr>
          <w:sz w:val="22"/>
          <w:szCs w:val="22"/>
        </w:rPr>
      </w:pPr>
      <w:r w:rsidRPr="00041EE7">
        <w:rPr>
          <w:sz w:val="22"/>
          <w:szCs w:val="22"/>
        </w:rPr>
        <w:t>την επιδότηση της ΤΡΑΙΝΟΣΕ ΑΕ,</w:t>
      </w:r>
    </w:p>
    <w:p w:rsidR="00041EE7" w:rsidRPr="00041EE7" w:rsidRDefault="00041EE7" w:rsidP="00041EE7">
      <w:pPr>
        <w:numPr>
          <w:ilvl w:val="0"/>
          <w:numId w:val="2"/>
        </w:numPr>
        <w:ind w:left="284" w:hanging="284"/>
        <w:jc w:val="both"/>
        <w:rPr>
          <w:sz w:val="22"/>
          <w:szCs w:val="22"/>
        </w:rPr>
      </w:pPr>
      <w:r w:rsidRPr="00041EE7">
        <w:rPr>
          <w:sz w:val="22"/>
          <w:szCs w:val="22"/>
        </w:rPr>
        <w:t>τη λειτουργία της Υπηρεσίας Πολιτικής Αεροπορίας,</w:t>
      </w:r>
    </w:p>
    <w:p w:rsidR="00041EE7" w:rsidRPr="00041EE7" w:rsidRDefault="00041EE7" w:rsidP="00041EE7">
      <w:pPr>
        <w:numPr>
          <w:ilvl w:val="0"/>
          <w:numId w:val="2"/>
        </w:numPr>
        <w:ind w:left="284" w:hanging="284"/>
        <w:jc w:val="both"/>
        <w:rPr>
          <w:sz w:val="22"/>
          <w:szCs w:val="22"/>
        </w:rPr>
      </w:pPr>
      <w:r w:rsidRPr="00041EE7">
        <w:rPr>
          <w:sz w:val="22"/>
          <w:szCs w:val="22"/>
        </w:rPr>
        <w:t>την επιχορήγηση των λοιπών φορέων εποπτείας του, όπως Κτιριακές Υποδομές ΑΕ, Οργανισμός Αντισεισ</w:t>
      </w:r>
      <w:r w:rsidR="007E42AD">
        <w:rPr>
          <w:sz w:val="22"/>
          <w:szCs w:val="22"/>
        </w:rPr>
        <w:t>μικού Σχεδιασμού και Προστασίας,</w:t>
      </w:r>
    </w:p>
    <w:p w:rsidR="00041EE7" w:rsidRPr="00041EE7" w:rsidRDefault="00041EE7" w:rsidP="00041EE7">
      <w:pPr>
        <w:numPr>
          <w:ilvl w:val="0"/>
          <w:numId w:val="2"/>
        </w:numPr>
        <w:ind w:left="284" w:hanging="284"/>
        <w:jc w:val="both"/>
        <w:rPr>
          <w:b/>
          <w:sz w:val="22"/>
          <w:szCs w:val="22"/>
        </w:rPr>
      </w:pPr>
      <w:r w:rsidRPr="00041EE7">
        <w:rPr>
          <w:sz w:val="22"/>
          <w:szCs w:val="22"/>
        </w:rPr>
        <w:t>τη λειτουργία της Επιτροπής Διερεύνησης Α</w:t>
      </w:r>
      <w:r w:rsidR="004F3D48">
        <w:rPr>
          <w:sz w:val="22"/>
          <w:szCs w:val="22"/>
        </w:rPr>
        <w:t>τυχημάτων και Ασφάλειας Πτήσεων</w:t>
      </w:r>
      <w:r w:rsidRPr="00041EE7">
        <w:rPr>
          <w:sz w:val="22"/>
          <w:szCs w:val="22"/>
        </w:rPr>
        <w:t xml:space="preserve"> και</w:t>
      </w:r>
    </w:p>
    <w:p w:rsidR="00041EE7" w:rsidRPr="00041EE7" w:rsidRDefault="00041EE7" w:rsidP="00041EE7">
      <w:pPr>
        <w:numPr>
          <w:ilvl w:val="0"/>
          <w:numId w:val="2"/>
        </w:numPr>
        <w:ind w:left="284" w:hanging="284"/>
        <w:jc w:val="both"/>
        <w:rPr>
          <w:b/>
          <w:sz w:val="22"/>
          <w:szCs w:val="22"/>
        </w:rPr>
      </w:pPr>
      <w:r w:rsidRPr="00041EE7">
        <w:rPr>
          <w:sz w:val="22"/>
          <w:szCs w:val="22"/>
        </w:rPr>
        <w:t>τη λειτουργία της Ρυθμιστικής Αρχής Σιδηροδρόμων.</w:t>
      </w:r>
    </w:p>
    <w:p w:rsidR="00041EE7" w:rsidRDefault="00041EE7" w:rsidP="00041EE7">
      <w:pPr>
        <w:jc w:val="both"/>
        <w:rPr>
          <w:b/>
          <w:sz w:val="22"/>
          <w:szCs w:val="22"/>
        </w:rPr>
      </w:pPr>
    </w:p>
    <w:p w:rsidR="003A25F4" w:rsidRDefault="003A25F4" w:rsidP="003A25F4">
      <w:pPr>
        <w:jc w:val="both"/>
        <w:rPr>
          <w:sz w:val="22"/>
          <w:szCs w:val="22"/>
        </w:rPr>
      </w:pPr>
      <w:r>
        <w:rPr>
          <w:sz w:val="22"/>
          <w:szCs w:val="22"/>
        </w:rPr>
        <w:t>Οι συνολικές πιστώσεις που αφορούν σε παρεμβάσεις για την αντιμετώπιση των συνεπειών του κ</w:t>
      </w:r>
      <w:r>
        <w:rPr>
          <w:sz w:val="22"/>
          <w:szCs w:val="22"/>
        </w:rPr>
        <w:t>ο</w:t>
      </w:r>
      <w:r>
        <w:rPr>
          <w:sz w:val="22"/>
          <w:szCs w:val="22"/>
        </w:rPr>
        <w:t>ρωνοϊού θα ανέλθουν το 2020 σε 108 εκατ. ευρώ και περιλαμβάνουν κυρίως μέτρα για την ενίσχυση των συγκοινωνιακών φορέων.</w:t>
      </w:r>
    </w:p>
    <w:p w:rsidR="003A25F4" w:rsidRPr="00041EE7" w:rsidRDefault="003A25F4" w:rsidP="00041EE7">
      <w:pPr>
        <w:jc w:val="both"/>
        <w:rPr>
          <w:b/>
          <w:sz w:val="22"/>
          <w:szCs w:val="22"/>
        </w:rPr>
      </w:pPr>
    </w:p>
    <w:p w:rsidR="004F3D48" w:rsidRDefault="00041EE7" w:rsidP="007E42AD">
      <w:pPr>
        <w:jc w:val="both"/>
        <w:rPr>
          <w:sz w:val="22"/>
          <w:szCs w:val="22"/>
        </w:rPr>
      </w:pPr>
      <w:r w:rsidRPr="00041EE7">
        <w:rPr>
          <w:sz w:val="22"/>
          <w:szCs w:val="22"/>
        </w:rPr>
        <w:t>Το πρόγραμμα δημοσίων επενδύσεων του Υπουργείου περιλαμβάνει δράσεις που αφορούν την κατ</w:t>
      </w:r>
      <w:r w:rsidRPr="00041EE7">
        <w:rPr>
          <w:sz w:val="22"/>
          <w:szCs w:val="22"/>
        </w:rPr>
        <w:t>α</w:t>
      </w:r>
      <w:r w:rsidRPr="00041EE7">
        <w:rPr>
          <w:sz w:val="22"/>
          <w:szCs w:val="22"/>
        </w:rPr>
        <w:t>σκευή εθνικών οδικών αξόνων, έργων μετρό, νέου σιδηροδρομικού δικτύου, επέκταση του προαστι</w:t>
      </w:r>
      <w:r w:rsidRPr="00041EE7">
        <w:rPr>
          <w:sz w:val="22"/>
          <w:szCs w:val="22"/>
        </w:rPr>
        <w:t>α</w:t>
      </w:r>
      <w:r w:rsidRPr="00041EE7">
        <w:rPr>
          <w:sz w:val="22"/>
          <w:szCs w:val="22"/>
        </w:rPr>
        <w:t xml:space="preserve">κού σιδηροδρόμου Αθηνών, λιμενικών έργων και έργων για τα αεροδρόμια, καθώς και έργων του </w:t>
      </w:r>
      <w:r w:rsidRPr="00041EE7">
        <w:rPr>
          <w:sz w:val="22"/>
          <w:szCs w:val="22"/>
        </w:rPr>
        <w:t>ε</w:t>
      </w:r>
      <w:r w:rsidRPr="00041EE7">
        <w:rPr>
          <w:sz w:val="22"/>
          <w:szCs w:val="22"/>
        </w:rPr>
        <w:t>παρχιακού οδικού δικτύου της χώρας. Επίσης, περιλαμβάνονται έργα κτιριακών υποδομών που συ</w:t>
      </w:r>
      <w:r w:rsidRPr="00041EE7">
        <w:rPr>
          <w:sz w:val="22"/>
          <w:szCs w:val="22"/>
        </w:rPr>
        <w:t>μ</w:t>
      </w:r>
      <w:r w:rsidRPr="00041EE7">
        <w:rPr>
          <w:sz w:val="22"/>
          <w:szCs w:val="22"/>
        </w:rPr>
        <w:t xml:space="preserve">βάλλουν σημαντικά στη βελτίωση των τομέων της υγείας, παιδείας και δικαιοσύνης (νοσοκομεία, </w:t>
      </w:r>
      <w:r w:rsidRPr="00041EE7">
        <w:rPr>
          <w:sz w:val="22"/>
          <w:szCs w:val="22"/>
        </w:rPr>
        <w:lastRenderedPageBreak/>
        <w:t xml:space="preserve">σχολεία, δικαστικά μέγαρα, </w:t>
      </w:r>
      <w:r w:rsidR="004F3D48">
        <w:rPr>
          <w:sz w:val="22"/>
          <w:szCs w:val="22"/>
        </w:rPr>
        <w:t>σωφρονιστικά ιδρύματα</w:t>
      </w:r>
      <w:r w:rsidRPr="00041EE7">
        <w:rPr>
          <w:sz w:val="22"/>
          <w:szCs w:val="22"/>
        </w:rPr>
        <w:t>), καθώς και έργα για τη βελτίωση των υποδομών ύδρευσης και αποχέτευσης.</w:t>
      </w:r>
    </w:p>
    <w:p w:rsidR="00041EE7" w:rsidRPr="00041EE7" w:rsidRDefault="00041EE7" w:rsidP="007E42AD">
      <w:pPr>
        <w:jc w:val="both"/>
        <w:rPr>
          <w:sz w:val="22"/>
          <w:szCs w:val="22"/>
        </w:rPr>
      </w:pPr>
      <w:r w:rsidRPr="00041EE7">
        <w:rPr>
          <w:sz w:val="22"/>
          <w:szCs w:val="22"/>
        </w:rPr>
        <w:t xml:space="preserve">Το σύνολο των δαπανών του Υπουργείου στο ΠΔΕ έτους 2021 </w:t>
      </w:r>
      <w:r w:rsidR="00A55130" w:rsidRPr="00041EE7">
        <w:rPr>
          <w:sz w:val="22"/>
          <w:szCs w:val="22"/>
        </w:rPr>
        <w:t>προ</w:t>
      </w:r>
      <w:r w:rsidR="00A55130">
        <w:rPr>
          <w:sz w:val="22"/>
          <w:szCs w:val="22"/>
        </w:rPr>
        <w:t>βλέπεται να ανέλθει στα</w:t>
      </w:r>
      <w:r w:rsidRPr="00041EE7">
        <w:rPr>
          <w:sz w:val="22"/>
          <w:szCs w:val="22"/>
        </w:rPr>
        <w:t xml:space="preserve"> 867</w:t>
      </w:r>
      <w:r w:rsidRPr="00041EE7">
        <w:rPr>
          <w:b/>
          <w:sz w:val="22"/>
          <w:szCs w:val="22"/>
        </w:rPr>
        <w:t xml:space="preserve"> </w:t>
      </w:r>
      <w:r w:rsidRPr="00041EE7">
        <w:rPr>
          <w:sz w:val="22"/>
          <w:szCs w:val="22"/>
        </w:rPr>
        <w:t>εκατ. ευρώ.</w:t>
      </w:r>
    </w:p>
    <w:p w:rsidR="00041EE7" w:rsidRPr="00041EE7" w:rsidRDefault="00041EE7" w:rsidP="00041EE7">
      <w:pPr>
        <w:autoSpaceDE w:val="0"/>
        <w:autoSpaceDN w:val="0"/>
        <w:adjustRightInd w:val="0"/>
        <w:jc w:val="both"/>
        <w:rPr>
          <w:rFonts w:ascii="Arial Narrow" w:hAnsi="Arial Narrow"/>
          <w:b/>
          <w:i/>
          <w:sz w:val="22"/>
          <w:szCs w:val="22"/>
        </w:rPr>
      </w:pPr>
    </w:p>
    <w:p w:rsidR="00041EE7" w:rsidRPr="00041EE7" w:rsidRDefault="00041EE7" w:rsidP="00041EE7">
      <w:pPr>
        <w:tabs>
          <w:tab w:val="left" w:pos="3720"/>
        </w:tabs>
        <w:rPr>
          <w:rFonts w:ascii="Arial Narrow" w:hAnsi="Arial Narrow"/>
          <w:b/>
          <w:i/>
          <w:sz w:val="22"/>
          <w:szCs w:val="22"/>
        </w:rPr>
      </w:pPr>
      <w:r w:rsidRPr="00041EE7">
        <w:rPr>
          <w:rFonts w:ascii="Arial Narrow" w:hAnsi="Arial Narrow"/>
          <w:b/>
          <w:i/>
          <w:sz w:val="22"/>
          <w:szCs w:val="22"/>
        </w:rPr>
        <w:t>Υπουργείο Ναυτιλίας και Νησιωτικής Πολιτικής</w:t>
      </w:r>
    </w:p>
    <w:p w:rsidR="00041EE7" w:rsidRPr="00041EE7" w:rsidRDefault="00041EE7" w:rsidP="00041EE7">
      <w:pPr>
        <w:jc w:val="both"/>
        <w:rPr>
          <w:b/>
          <w:sz w:val="22"/>
          <w:szCs w:val="22"/>
        </w:rPr>
      </w:pPr>
    </w:p>
    <w:p w:rsidR="00041EE7" w:rsidRPr="00041EE7" w:rsidRDefault="00041EE7" w:rsidP="00041EE7">
      <w:pPr>
        <w:jc w:val="both"/>
        <w:rPr>
          <w:sz w:val="22"/>
          <w:szCs w:val="22"/>
        </w:rPr>
      </w:pPr>
      <w:r w:rsidRPr="00041EE7">
        <w:rPr>
          <w:sz w:val="22"/>
          <w:szCs w:val="22"/>
        </w:rPr>
        <w:t>Οι πιστώσεις του τακτικού προϋπολογισμού του Υπουργείου θα καλύψουν κυρίως δαπάνες για:</w:t>
      </w:r>
    </w:p>
    <w:p w:rsidR="00041EE7" w:rsidRPr="00041EE7" w:rsidRDefault="00041EE7" w:rsidP="00041EE7">
      <w:pPr>
        <w:jc w:val="both"/>
        <w:rPr>
          <w:sz w:val="22"/>
          <w:szCs w:val="22"/>
        </w:rPr>
      </w:pPr>
    </w:p>
    <w:p w:rsidR="00041EE7" w:rsidRPr="00041EE7" w:rsidRDefault="00041EE7" w:rsidP="00041EE7">
      <w:pPr>
        <w:numPr>
          <w:ilvl w:val="0"/>
          <w:numId w:val="12"/>
        </w:numPr>
        <w:tabs>
          <w:tab w:val="num" w:pos="426"/>
        </w:tabs>
        <w:ind w:left="284" w:hanging="284"/>
        <w:jc w:val="both"/>
        <w:rPr>
          <w:sz w:val="22"/>
          <w:szCs w:val="22"/>
        </w:rPr>
      </w:pPr>
      <w:r w:rsidRPr="00041EE7">
        <w:rPr>
          <w:sz w:val="22"/>
          <w:szCs w:val="22"/>
        </w:rPr>
        <w:t>τις δράσεις που συνδέονται με τη βελτίωση της ανταγωνιστικότητας στον τομέα της ναυτιλίας,</w:t>
      </w:r>
    </w:p>
    <w:p w:rsidR="00041EE7" w:rsidRPr="00041EE7" w:rsidRDefault="00041EE7" w:rsidP="00041EE7">
      <w:pPr>
        <w:numPr>
          <w:ilvl w:val="0"/>
          <w:numId w:val="12"/>
        </w:numPr>
        <w:tabs>
          <w:tab w:val="num" w:pos="426"/>
        </w:tabs>
        <w:ind w:left="284" w:hanging="284"/>
        <w:jc w:val="both"/>
        <w:rPr>
          <w:sz w:val="22"/>
          <w:szCs w:val="22"/>
        </w:rPr>
      </w:pPr>
      <w:r w:rsidRPr="00041EE7">
        <w:rPr>
          <w:sz w:val="22"/>
          <w:szCs w:val="22"/>
        </w:rPr>
        <w:t>τη φύλαξη των θαλασσίων οδών εισόδου στη χώρα και την κάλυψη των αναγκών που σχετίζονται με τις μεταναστευτικές και προσφυγικές ροές,</w:t>
      </w:r>
    </w:p>
    <w:p w:rsidR="00041EE7" w:rsidRPr="00041EE7" w:rsidRDefault="00041EE7" w:rsidP="00041EE7">
      <w:pPr>
        <w:numPr>
          <w:ilvl w:val="0"/>
          <w:numId w:val="12"/>
        </w:numPr>
        <w:tabs>
          <w:tab w:val="num" w:pos="426"/>
        </w:tabs>
        <w:ind w:left="284" w:hanging="284"/>
        <w:jc w:val="both"/>
        <w:rPr>
          <w:sz w:val="22"/>
          <w:szCs w:val="22"/>
        </w:rPr>
      </w:pPr>
      <w:r w:rsidRPr="00041EE7">
        <w:rPr>
          <w:sz w:val="22"/>
          <w:szCs w:val="22"/>
        </w:rPr>
        <w:t>την τριτοβάθμια εκπαίδευση των στελεχών του Λιμενικού Σώματος - Ελληνικής Ακτοφυλακής και τη ναυτική εκπαίδευση,</w:t>
      </w:r>
    </w:p>
    <w:p w:rsidR="00041EE7" w:rsidRPr="00041EE7" w:rsidRDefault="00041EE7" w:rsidP="00041EE7">
      <w:pPr>
        <w:numPr>
          <w:ilvl w:val="0"/>
          <w:numId w:val="12"/>
        </w:numPr>
        <w:tabs>
          <w:tab w:val="num" w:pos="426"/>
        </w:tabs>
        <w:ind w:left="284" w:hanging="284"/>
        <w:jc w:val="both"/>
        <w:rPr>
          <w:sz w:val="22"/>
          <w:szCs w:val="22"/>
        </w:rPr>
      </w:pPr>
      <w:r w:rsidRPr="00041EE7">
        <w:rPr>
          <w:sz w:val="22"/>
          <w:szCs w:val="22"/>
        </w:rPr>
        <w:t>τη χορήγηση στεγαστικού επιδόματος σε σπουδαστές των Ακαδημιών Εμπορικού Ναυτικού που σπουδάζουν μακριά από τον τόπο κατοικίας τους,</w:t>
      </w:r>
    </w:p>
    <w:p w:rsidR="00041EE7" w:rsidRPr="00041EE7" w:rsidRDefault="00041EE7" w:rsidP="00041EE7">
      <w:pPr>
        <w:numPr>
          <w:ilvl w:val="0"/>
          <w:numId w:val="12"/>
        </w:numPr>
        <w:tabs>
          <w:tab w:val="num" w:pos="426"/>
        </w:tabs>
        <w:ind w:left="284" w:hanging="284"/>
        <w:jc w:val="both"/>
        <w:rPr>
          <w:sz w:val="22"/>
          <w:szCs w:val="22"/>
        </w:rPr>
      </w:pPr>
      <w:r w:rsidRPr="00041EE7">
        <w:rPr>
          <w:sz w:val="22"/>
          <w:szCs w:val="22"/>
        </w:rPr>
        <w:t xml:space="preserve">την ασφάλεια της ναυσιπλοΐας και την ασφάλεια της ανθρώπινης ζωής στη θάλασσα, </w:t>
      </w:r>
    </w:p>
    <w:p w:rsidR="00041EE7" w:rsidRPr="00041EE7" w:rsidRDefault="00041EE7" w:rsidP="00041EE7">
      <w:pPr>
        <w:numPr>
          <w:ilvl w:val="0"/>
          <w:numId w:val="12"/>
        </w:numPr>
        <w:tabs>
          <w:tab w:val="num" w:pos="426"/>
        </w:tabs>
        <w:ind w:left="284" w:hanging="284"/>
        <w:jc w:val="both"/>
        <w:rPr>
          <w:sz w:val="22"/>
          <w:szCs w:val="22"/>
        </w:rPr>
      </w:pPr>
      <w:r w:rsidRPr="00041EE7">
        <w:rPr>
          <w:sz w:val="22"/>
          <w:szCs w:val="22"/>
        </w:rPr>
        <w:t xml:space="preserve">τις δράσεις που συνδέονται με τον πολιτισμό, τον αθλητισμό, την προστασία της πολιτιστικής κληρονομιάς και της αρχιτεκτονικής των νησιωτικών περιοχών του Αιγαίου, </w:t>
      </w:r>
    </w:p>
    <w:p w:rsidR="00041EE7" w:rsidRPr="00041EE7" w:rsidRDefault="00041EE7" w:rsidP="00041EE7">
      <w:pPr>
        <w:numPr>
          <w:ilvl w:val="0"/>
          <w:numId w:val="12"/>
        </w:numPr>
        <w:tabs>
          <w:tab w:val="num" w:pos="426"/>
        </w:tabs>
        <w:ind w:left="284" w:hanging="284"/>
        <w:jc w:val="both"/>
        <w:rPr>
          <w:sz w:val="22"/>
          <w:szCs w:val="22"/>
        </w:rPr>
      </w:pPr>
      <w:r w:rsidRPr="00041EE7">
        <w:rPr>
          <w:sz w:val="22"/>
          <w:szCs w:val="22"/>
        </w:rPr>
        <w:t>τις δράσεις που συνδέονται με το</w:t>
      </w:r>
      <w:r w:rsidR="007E42AD">
        <w:rPr>
          <w:sz w:val="22"/>
          <w:szCs w:val="22"/>
        </w:rPr>
        <w:t>ν</w:t>
      </w:r>
      <w:r w:rsidRPr="00041EE7">
        <w:rPr>
          <w:sz w:val="22"/>
          <w:szCs w:val="22"/>
        </w:rPr>
        <w:t xml:space="preserve"> σχεδιασμό και την εφαρμογή της εθνικής νησιωτικής πολιτικής, και</w:t>
      </w:r>
    </w:p>
    <w:p w:rsidR="00041EE7" w:rsidRPr="00041EE7" w:rsidRDefault="00041EE7" w:rsidP="00041EE7">
      <w:pPr>
        <w:numPr>
          <w:ilvl w:val="0"/>
          <w:numId w:val="12"/>
        </w:numPr>
        <w:tabs>
          <w:tab w:val="num" w:pos="426"/>
        </w:tabs>
        <w:ind w:left="284" w:hanging="284"/>
        <w:jc w:val="both"/>
        <w:rPr>
          <w:sz w:val="22"/>
          <w:szCs w:val="22"/>
        </w:rPr>
      </w:pPr>
      <w:r w:rsidRPr="00041EE7">
        <w:rPr>
          <w:sz w:val="22"/>
          <w:szCs w:val="22"/>
        </w:rPr>
        <w:t>τις αποδόσεις εσόδων στο Κεφάλαιο Ναυτικής Εκπαίδευσης (ΚΝΕ), στο Μετοχικό Ταμείο Ναυτ</w:t>
      </w:r>
      <w:r w:rsidRPr="00041EE7">
        <w:rPr>
          <w:sz w:val="22"/>
          <w:szCs w:val="22"/>
        </w:rPr>
        <w:t>ι</w:t>
      </w:r>
      <w:r w:rsidRPr="00041EE7">
        <w:rPr>
          <w:sz w:val="22"/>
          <w:szCs w:val="22"/>
        </w:rPr>
        <w:t>κού (ΜΤΝ) και στη Δημόσια Αρχή Λιμένων.</w:t>
      </w:r>
    </w:p>
    <w:p w:rsidR="00041EE7" w:rsidRPr="00041EE7" w:rsidRDefault="00041EE7" w:rsidP="00041EE7">
      <w:pPr>
        <w:ind w:left="284"/>
        <w:jc w:val="both"/>
        <w:rPr>
          <w:sz w:val="22"/>
          <w:szCs w:val="22"/>
        </w:rPr>
      </w:pPr>
    </w:p>
    <w:p w:rsidR="00041EE7" w:rsidRPr="00041EE7" w:rsidRDefault="00041EE7" w:rsidP="00041EE7">
      <w:pPr>
        <w:jc w:val="both"/>
        <w:rPr>
          <w:sz w:val="22"/>
          <w:szCs w:val="22"/>
        </w:rPr>
      </w:pPr>
      <w:r w:rsidRPr="00041EE7">
        <w:rPr>
          <w:sz w:val="22"/>
          <w:szCs w:val="22"/>
        </w:rPr>
        <w:t xml:space="preserve">Στις εκτιμήσεις του προϋπολογισμού 2020 περιλαμβάνονται μεταξύ άλλων και δαπάνες ύψους 6,3 </w:t>
      </w:r>
      <w:r w:rsidRPr="00041EE7">
        <w:rPr>
          <w:sz w:val="22"/>
          <w:szCs w:val="22"/>
        </w:rPr>
        <w:t>ε</w:t>
      </w:r>
      <w:r w:rsidRPr="00041EE7">
        <w:rPr>
          <w:sz w:val="22"/>
          <w:szCs w:val="22"/>
        </w:rPr>
        <w:t>κατ. ευρώ για δράσεις που σχετίζονται με την υλοποίηση μέτρων αντιμετώπισης των αρνητικών συν</w:t>
      </w:r>
      <w:r w:rsidRPr="00041EE7">
        <w:rPr>
          <w:sz w:val="22"/>
          <w:szCs w:val="22"/>
        </w:rPr>
        <w:t>ε</w:t>
      </w:r>
      <w:r w:rsidRPr="00041EE7">
        <w:rPr>
          <w:sz w:val="22"/>
          <w:szCs w:val="22"/>
        </w:rPr>
        <w:t>πειών της υγειονομικής κρίσης που αφορούν δαπάνες επιχορήγησης του Οίκου Ναύτου για αποζημ</w:t>
      </w:r>
      <w:r w:rsidRPr="00041EE7">
        <w:rPr>
          <w:sz w:val="22"/>
          <w:szCs w:val="22"/>
        </w:rPr>
        <w:t>ί</w:t>
      </w:r>
      <w:r w:rsidRPr="00041EE7">
        <w:rPr>
          <w:sz w:val="22"/>
          <w:szCs w:val="22"/>
        </w:rPr>
        <w:t>ωση ειδικού σκοπού στους ναυτικούς και για την κατ</w:t>
      </w:r>
      <w:r w:rsidR="00C723C6">
        <w:rPr>
          <w:sz w:val="22"/>
          <w:szCs w:val="22"/>
        </w:rPr>
        <w:t>αβολή επιδόματος ανεργίας σε άνε</w:t>
      </w:r>
      <w:r w:rsidRPr="00041EE7">
        <w:rPr>
          <w:sz w:val="22"/>
          <w:szCs w:val="22"/>
        </w:rPr>
        <w:t>ργους ναυτ</w:t>
      </w:r>
      <w:r w:rsidRPr="00041EE7">
        <w:rPr>
          <w:sz w:val="22"/>
          <w:szCs w:val="22"/>
        </w:rPr>
        <w:t>ι</w:t>
      </w:r>
      <w:r w:rsidRPr="00041EE7">
        <w:rPr>
          <w:sz w:val="22"/>
          <w:szCs w:val="22"/>
        </w:rPr>
        <w:t>κούς</w:t>
      </w:r>
      <w:r w:rsidR="00D13CAF">
        <w:rPr>
          <w:sz w:val="22"/>
          <w:szCs w:val="22"/>
        </w:rPr>
        <w:t>,</w:t>
      </w:r>
      <w:r w:rsidRPr="00041EE7">
        <w:rPr>
          <w:sz w:val="22"/>
          <w:szCs w:val="22"/>
        </w:rPr>
        <w:t xml:space="preserve"> καθώς και άλλες λειτουργικές δαπάνες του Υπουργείου.</w:t>
      </w:r>
    </w:p>
    <w:p w:rsidR="00041EE7" w:rsidRPr="00041EE7" w:rsidRDefault="00041EE7" w:rsidP="00041EE7">
      <w:pPr>
        <w:jc w:val="both"/>
        <w:rPr>
          <w:sz w:val="22"/>
          <w:szCs w:val="22"/>
        </w:rPr>
      </w:pPr>
    </w:p>
    <w:p w:rsidR="00041EE7" w:rsidRDefault="00041EE7" w:rsidP="00041EE7">
      <w:pPr>
        <w:jc w:val="both"/>
        <w:rPr>
          <w:sz w:val="22"/>
          <w:szCs w:val="22"/>
        </w:rPr>
      </w:pPr>
      <w:r w:rsidRPr="00041EE7">
        <w:rPr>
          <w:sz w:val="22"/>
          <w:szCs w:val="22"/>
        </w:rPr>
        <w:t>Το πρόγραμμα δημοσίων επενδύσεων χρηματοδοτεί δράσεις του Υπουργείου με αντικείμενο την επ</w:t>
      </w:r>
      <w:r w:rsidRPr="00041EE7">
        <w:rPr>
          <w:sz w:val="22"/>
          <w:szCs w:val="22"/>
        </w:rPr>
        <w:t>ι</w:t>
      </w:r>
      <w:r w:rsidRPr="00041EE7">
        <w:rPr>
          <w:sz w:val="22"/>
          <w:szCs w:val="22"/>
        </w:rPr>
        <w:t>δότηση των άγονων γραμμών, την ανάπτυξη των νησιωτικών περιοχών και την κάλυψη των τοπικών κοινωνικών αναγκών, καθώς και δράσεις στο μεταναστευτικό τομέα, στο πλαίσιο της αρμοδιότητάς του.</w:t>
      </w:r>
    </w:p>
    <w:p w:rsidR="0061648D" w:rsidRPr="00041EE7" w:rsidRDefault="0061648D" w:rsidP="00041EE7">
      <w:pPr>
        <w:jc w:val="both"/>
        <w:rPr>
          <w:sz w:val="22"/>
          <w:szCs w:val="22"/>
        </w:rPr>
      </w:pPr>
      <w:r>
        <w:rPr>
          <w:sz w:val="22"/>
          <w:szCs w:val="22"/>
        </w:rPr>
        <w:t>Μεγάλο μέρος των εκτιμώμενων πληρωμών έτους 2020 από το εθνικό σκέλος, αφορά συμβάσεις αν</w:t>
      </w:r>
      <w:r>
        <w:rPr>
          <w:sz w:val="22"/>
          <w:szCs w:val="22"/>
        </w:rPr>
        <w:t>ά</w:t>
      </w:r>
      <w:r>
        <w:rPr>
          <w:sz w:val="22"/>
          <w:szCs w:val="22"/>
        </w:rPr>
        <w:t>θεσης δημόσιας υπηρεσίας για τη διασφάλιση της ελάχιστης θαλάσσιας συγκοινωνιακής εξυπηρέτ</w:t>
      </w:r>
      <w:r>
        <w:rPr>
          <w:sz w:val="22"/>
          <w:szCs w:val="22"/>
        </w:rPr>
        <w:t>η</w:t>
      </w:r>
      <w:r>
        <w:rPr>
          <w:sz w:val="22"/>
          <w:szCs w:val="22"/>
        </w:rPr>
        <w:t>σης νησιωτικών π</w:t>
      </w:r>
      <w:r w:rsidR="0065246E">
        <w:rPr>
          <w:sz w:val="22"/>
          <w:szCs w:val="22"/>
        </w:rPr>
        <w:t>εριοχών, λόγω έκτακτων συνθηκών, ύψους 33 εκατ. ευρώ.</w:t>
      </w:r>
    </w:p>
    <w:p w:rsidR="00041EE7" w:rsidRPr="00041EE7" w:rsidRDefault="00041EE7" w:rsidP="00041EE7">
      <w:pPr>
        <w:rPr>
          <w:sz w:val="22"/>
          <w:szCs w:val="22"/>
        </w:rPr>
      </w:pPr>
      <w:r w:rsidRPr="00041EE7">
        <w:rPr>
          <w:sz w:val="22"/>
          <w:szCs w:val="22"/>
        </w:rPr>
        <w:t xml:space="preserve">Το σύνολο των δαπανών του Υπουργείου στο ΠΔΕ έτους 2021 </w:t>
      </w:r>
      <w:r w:rsidR="00A55130" w:rsidRPr="00041EE7">
        <w:rPr>
          <w:sz w:val="22"/>
          <w:szCs w:val="22"/>
        </w:rPr>
        <w:t>προ</w:t>
      </w:r>
      <w:r w:rsidR="00A55130">
        <w:rPr>
          <w:sz w:val="22"/>
          <w:szCs w:val="22"/>
        </w:rPr>
        <w:t>βλέπεται να ανέλθει στα</w:t>
      </w:r>
      <w:r w:rsidRPr="00041EE7">
        <w:rPr>
          <w:sz w:val="22"/>
          <w:szCs w:val="22"/>
        </w:rPr>
        <w:t xml:space="preserve"> 140</w:t>
      </w:r>
      <w:r w:rsidRPr="00041EE7">
        <w:rPr>
          <w:b/>
          <w:sz w:val="22"/>
          <w:szCs w:val="22"/>
        </w:rPr>
        <w:t xml:space="preserve"> </w:t>
      </w:r>
      <w:r w:rsidRPr="00041EE7">
        <w:rPr>
          <w:sz w:val="22"/>
          <w:szCs w:val="22"/>
        </w:rPr>
        <w:t>εκατ. ευρώ.</w:t>
      </w:r>
    </w:p>
    <w:p w:rsidR="00041EE7" w:rsidRPr="00041EE7" w:rsidRDefault="00041EE7" w:rsidP="00041EE7">
      <w:pPr>
        <w:jc w:val="center"/>
        <w:rPr>
          <w:sz w:val="22"/>
          <w:szCs w:val="22"/>
        </w:rPr>
      </w:pPr>
    </w:p>
    <w:p w:rsidR="00041EE7" w:rsidRPr="00041EE7" w:rsidRDefault="00041EE7" w:rsidP="00041EE7">
      <w:pPr>
        <w:tabs>
          <w:tab w:val="left" w:pos="3720"/>
        </w:tabs>
        <w:rPr>
          <w:rFonts w:ascii="Arial Narrow" w:hAnsi="Arial Narrow"/>
          <w:b/>
          <w:i/>
          <w:sz w:val="22"/>
          <w:szCs w:val="22"/>
        </w:rPr>
      </w:pPr>
      <w:r w:rsidRPr="00041EE7">
        <w:rPr>
          <w:rFonts w:ascii="Arial Narrow" w:hAnsi="Arial Narrow"/>
          <w:b/>
          <w:i/>
          <w:sz w:val="22"/>
          <w:szCs w:val="22"/>
        </w:rPr>
        <w:t>Υπουργείο Προστασίας του Πολίτη</w:t>
      </w:r>
    </w:p>
    <w:p w:rsidR="00041EE7" w:rsidRPr="00041EE7" w:rsidRDefault="00041EE7" w:rsidP="00041EE7">
      <w:pPr>
        <w:jc w:val="both"/>
        <w:rPr>
          <w:sz w:val="22"/>
          <w:szCs w:val="22"/>
        </w:rPr>
      </w:pPr>
    </w:p>
    <w:p w:rsidR="00041EE7" w:rsidRPr="00041EE7" w:rsidRDefault="00041EE7" w:rsidP="00041EE7">
      <w:pPr>
        <w:jc w:val="both"/>
        <w:rPr>
          <w:sz w:val="22"/>
          <w:szCs w:val="22"/>
        </w:rPr>
      </w:pPr>
      <w:r w:rsidRPr="00041EE7">
        <w:rPr>
          <w:sz w:val="22"/>
          <w:szCs w:val="22"/>
        </w:rPr>
        <w:t>Στον τακτικό προϋπολογισμό του Υπουργείου έχουν προβλεφθεί πιστώσεις που θα καλύψουν κυρίως δαπάνες για:</w:t>
      </w:r>
    </w:p>
    <w:p w:rsidR="00041EE7" w:rsidRPr="00041EE7" w:rsidRDefault="00041EE7" w:rsidP="00041EE7">
      <w:pPr>
        <w:jc w:val="both"/>
        <w:rPr>
          <w:sz w:val="22"/>
          <w:szCs w:val="22"/>
        </w:rPr>
      </w:pPr>
      <w:r w:rsidRPr="00041EE7">
        <w:rPr>
          <w:sz w:val="22"/>
          <w:szCs w:val="22"/>
        </w:rPr>
        <w:t xml:space="preserve"> </w:t>
      </w:r>
    </w:p>
    <w:p w:rsidR="00041EE7" w:rsidRPr="00041EE7" w:rsidRDefault="00041EE7" w:rsidP="00041EE7">
      <w:pPr>
        <w:numPr>
          <w:ilvl w:val="0"/>
          <w:numId w:val="12"/>
        </w:numPr>
        <w:ind w:left="284" w:hanging="284"/>
        <w:jc w:val="both"/>
        <w:rPr>
          <w:sz w:val="22"/>
          <w:szCs w:val="22"/>
        </w:rPr>
      </w:pPr>
      <w:r w:rsidRPr="00041EE7">
        <w:rPr>
          <w:sz w:val="22"/>
          <w:szCs w:val="22"/>
        </w:rPr>
        <w:t>τη λειτουργία των αστυνομικών επιχειρησιακών μονάδων, την προμήθεια σύγχρονων και αποτελ</w:t>
      </w:r>
      <w:r w:rsidRPr="00041EE7">
        <w:rPr>
          <w:sz w:val="22"/>
          <w:szCs w:val="22"/>
        </w:rPr>
        <w:t>ε</w:t>
      </w:r>
      <w:r w:rsidRPr="00041EE7">
        <w:rPr>
          <w:sz w:val="22"/>
          <w:szCs w:val="22"/>
        </w:rPr>
        <w:t xml:space="preserve">σματικών μέσων προστασίας του προσωπικού, τη συντήρηση και προμήθεια ανταλλακτικών των υπηρεσιακών οχημάτων, </w:t>
      </w:r>
    </w:p>
    <w:p w:rsidR="00041EE7" w:rsidRPr="00041EE7" w:rsidRDefault="00041EE7" w:rsidP="00041EE7">
      <w:pPr>
        <w:numPr>
          <w:ilvl w:val="0"/>
          <w:numId w:val="12"/>
        </w:numPr>
        <w:ind w:left="284" w:hanging="284"/>
        <w:jc w:val="both"/>
        <w:rPr>
          <w:sz w:val="22"/>
          <w:szCs w:val="22"/>
        </w:rPr>
      </w:pPr>
      <w:r w:rsidRPr="00041EE7">
        <w:rPr>
          <w:sz w:val="22"/>
          <w:szCs w:val="22"/>
        </w:rPr>
        <w:t>τη σίτιση των προσωρινά ημεδαπών κρατούμενων στα κατά τόπους καταστήματα κράτησης,</w:t>
      </w:r>
    </w:p>
    <w:p w:rsidR="00041EE7" w:rsidRPr="00041EE7" w:rsidRDefault="00041EE7" w:rsidP="00041EE7">
      <w:pPr>
        <w:numPr>
          <w:ilvl w:val="0"/>
          <w:numId w:val="12"/>
        </w:numPr>
        <w:ind w:left="284" w:hanging="284"/>
        <w:jc w:val="both"/>
        <w:rPr>
          <w:sz w:val="22"/>
          <w:szCs w:val="22"/>
        </w:rPr>
      </w:pPr>
      <w:r w:rsidRPr="00041EE7">
        <w:rPr>
          <w:sz w:val="22"/>
          <w:szCs w:val="22"/>
        </w:rPr>
        <w:t>την προστασία των δασών από πυρκαγιές με τη χρήση επίγειων μονάδων και ενα</w:t>
      </w:r>
      <w:r w:rsidR="004F3D48">
        <w:rPr>
          <w:sz w:val="22"/>
          <w:szCs w:val="22"/>
        </w:rPr>
        <w:t>έρι</w:t>
      </w:r>
      <w:r w:rsidRPr="00041EE7">
        <w:rPr>
          <w:sz w:val="22"/>
          <w:szCs w:val="22"/>
        </w:rPr>
        <w:t xml:space="preserve">ων μέσων του Πυροσβεστικού Σώματος, </w:t>
      </w:r>
    </w:p>
    <w:p w:rsidR="00041EE7" w:rsidRPr="00041EE7" w:rsidRDefault="00041EE7" w:rsidP="00041EE7">
      <w:pPr>
        <w:numPr>
          <w:ilvl w:val="0"/>
          <w:numId w:val="12"/>
        </w:numPr>
        <w:ind w:left="284" w:hanging="284"/>
        <w:jc w:val="both"/>
        <w:rPr>
          <w:sz w:val="22"/>
          <w:szCs w:val="22"/>
        </w:rPr>
      </w:pPr>
      <w:r w:rsidRPr="00041EE7">
        <w:rPr>
          <w:sz w:val="22"/>
          <w:szCs w:val="22"/>
        </w:rPr>
        <w:t>τη σίτιση και διαμονή των αλλοδαπών στα προαναχωρησιακά κέντρα, σε εναρμόνιση με το δι</w:t>
      </w:r>
      <w:r w:rsidRPr="00041EE7">
        <w:rPr>
          <w:sz w:val="22"/>
          <w:szCs w:val="22"/>
        </w:rPr>
        <w:t>ε</w:t>
      </w:r>
      <w:r w:rsidRPr="00041EE7">
        <w:rPr>
          <w:sz w:val="22"/>
          <w:szCs w:val="22"/>
        </w:rPr>
        <w:t>θνώς επικρατούν πλαίσιο,</w:t>
      </w:r>
    </w:p>
    <w:p w:rsidR="00041EE7" w:rsidRPr="00041EE7" w:rsidRDefault="00041EE7" w:rsidP="00041EE7">
      <w:pPr>
        <w:numPr>
          <w:ilvl w:val="0"/>
          <w:numId w:val="12"/>
        </w:numPr>
        <w:ind w:left="284" w:hanging="284"/>
        <w:jc w:val="both"/>
        <w:rPr>
          <w:sz w:val="22"/>
          <w:szCs w:val="22"/>
        </w:rPr>
      </w:pPr>
      <w:r w:rsidRPr="00041EE7">
        <w:rPr>
          <w:sz w:val="22"/>
          <w:szCs w:val="22"/>
        </w:rPr>
        <w:lastRenderedPageBreak/>
        <w:t>την κάλυψη δαπανών για τη</w:t>
      </w:r>
      <w:r w:rsidR="007E42AD">
        <w:rPr>
          <w:sz w:val="22"/>
          <w:szCs w:val="22"/>
        </w:rPr>
        <w:t>ν</w:t>
      </w:r>
      <w:r w:rsidRPr="00041EE7">
        <w:rPr>
          <w:sz w:val="22"/>
          <w:szCs w:val="22"/>
        </w:rPr>
        <w:t xml:space="preserve"> αποτελεσματική λειτουργία της Γενικής Γραμματείας Πολιτικής Προστασίας, στο πλαίσιο </w:t>
      </w:r>
      <w:r w:rsidR="00011444">
        <w:rPr>
          <w:sz w:val="22"/>
          <w:szCs w:val="22"/>
        </w:rPr>
        <w:t xml:space="preserve">τόσο της </w:t>
      </w:r>
      <w:r w:rsidRPr="00041EE7">
        <w:rPr>
          <w:sz w:val="22"/>
          <w:szCs w:val="22"/>
        </w:rPr>
        <w:t xml:space="preserve">αντιμετώπισης των συνεπειών της πανδημίας </w:t>
      </w:r>
      <w:r w:rsidR="00011444">
        <w:rPr>
          <w:sz w:val="22"/>
          <w:szCs w:val="22"/>
        </w:rPr>
        <w:t>όσο και ευρύτερα του συντονισμού του συνόλου των δράσεων πολιτικής προστασίας όλων των εμπλεκόμενων φ</w:t>
      </w:r>
      <w:r w:rsidR="00011444">
        <w:rPr>
          <w:sz w:val="22"/>
          <w:szCs w:val="22"/>
        </w:rPr>
        <w:t>ο</w:t>
      </w:r>
      <w:r w:rsidR="00011444">
        <w:rPr>
          <w:sz w:val="22"/>
          <w:szCs w:val="22"/>
        </w:rPr>
        <w:t>ρέων για την αντιμετώπιση πάσης φύσεως καταστροφών κατά τη διάρκεια της ειρηνικής περιόδου</w:t>
      </w:r>
      <w:r w:rsidRPr="00041EE7">
        <w:rPr>
          <w:sz w:val="22"/>
          <w:szCs w:val="22"/>
        </w:rPr>
        <w:t>,</w:t>
      </w:r>
    </w:p>
    <w:p w:rsidR="00041EE7" w:rsidRPr="00041EE7" w:rsidRDefault="00041EE7" w:rsidP="00041EE7">
      <w:pPr>
        <w:numPr>
          <w:ilvl w:val="0"/>
          <w:numId w:val="12"/>
        </w:numPr>
        <w:ind w:left="284" w:hanging="284"/>
        <w:jc w:val="both"/>
        <w:rPr>
          <w:sz w:val="22"/>
          <w:szCs w:val="22"/>
        </w:rPr>
      </w:pPr>
      <w:r w:rsidRPr="00041EE7">
        <w:rPr>
          <w:sz w:val="22"/>
          <w:szCs w:val="22"/>
        </w:rPr>
        <w:t>την εφαρμογή της σωφρονιστικής</w:t>
      </w:r>
      <w:r w:rsidR="001C3CFC">
        <w:rPr>
          <w:sz w:val="22"/>
          <w:szCs w:val="22"/>
        </w:rPr>
        <w:t xml:space="preserve"> και αντεγκληματικής πολιτικής και τέλος,</w:t>
      </w:r>
    </w:p>
    <w:p w:rsidR="00041EE7" w:rsidRPr="00041EE7" w:rsidRDefault="00041EE7" w:rsidP="00041EE7">
      <w:pPr>
        <w:numPr>
          <w:ilvl w:val="0"/>
          <w:numId w:val="12"/>
        </w:numPr>
        <w:ind w:left="284" w:hanging="284"/>
        <w:jc w:val="both"/>
        <w:rPr>
          <w:sz w:val="22"/>
          <w:szCs w:val="22"/>
        </w:rPr>
      </w:pPr>
      <w:r w:rsidRPr="00041EE7">
        <w:rPr>
          <w:sz w:val="22"/>
          <w:szCs w:val="22"/>
        </w:rPr>
        <w:t>την υλοποίηση και επίβλεψη του έργου «Κατασκευή νέου, αναβάθμιση-επισκευή υφιστάμενου τ</w:t>
      </w:r>
      <w:r w:rsidRPr="00041EE7">
        <w:rPr>
          <w:sz w:val="22"/>
          <w:szCs w:val="22"/>
        </w:rPr>
        <w:t>ε</w:t>
      </w:r>
      <w:r w:rsidRPr="00041EE7">
        <w:rPr>
          <w:sz w:val="22"/>
          <w:szCs w:val="22"/>
        </w:rPr>
        <w:t xml:space="preserve">χνητού εμποδίου </w:t>
      </w:r>
      <w:r w:rsidR="00011444">
        <w:rPr>
          <w:sz w:val="22"/>
          <w:szCs w:val="22"/>
        </w:rPr>
        <w:t xml:space="preserve">και συναφών έργων </w:t>
      </w:r>
      <w:r w:rsidRPr="00041EE7">
        <w:rPr>
          <w:sz w:val="22"/>
          <w:szCs w:val="22"/>
        </w:rPr>
        <w:t>κατά μήκος της οριογραμμής της Ελληνοτουρκικής Μεθορ</w:t>
      </w:r>
      <w:r w:rsidRPr="00041EE7">
        <w:rPr>
          <w:sz w:val="22"/>
          <w:szCs w:val="22"/>
        </w:rPr>
        <w:t>ί</w:t>
      </w:r>
      <w:r w:rsidRPr="00041EE7">
        <w:rPr>
          <w:sz w:val="22"/>
          <w:szCs w:val="22"/>
        </w:rPr>
        <w:t>ου στην ΠΕ Έβρου», για την αν</w:t>
      </w:r>
      <w:r w:rsidR="004F3D48">
        <w:rPr>
          <w:sz w:val="22"/>
          <w:szCs w:val="22"/>
        </w:rPr>
        <w:t>άσχεση</w:t>
      </w:r>
      <w:r w:rsidRPr="00041EE7">
        <w:rPr>
          <w:sz w:val="22"/>
          <w:szCs w:val="22"/>
        </w:rPr>
        <w:t xml:space="preserve"> των μεταναστευτικών ροών.</w:t>
      </w:r>
    </w:p>
    <w:p w:rsidR="00041EE7" w:rsidRPr="00041EE7" w:rsidRDefault="00041EE7" w:rsidP="00041EE7">
      <w:pPr>
        <w:jc w:val="both"/>
        <w:rPr>
          <w:sz w:val="22"/>
          <w:szCs w:val="22"/>
        </w:rPr>
      </w:pPr>
    </w:p>
    <w:p w:rsidR="00041EE7" w:rsidRPr="00041EE7" w:rsidRDefault="00041EE7" w:rsidP="00041EE7">
      <w:pPr>
        <w:jc w:val="both"/>
        <w:rPr>
          <w:sz w:val="22"/>
          <w:szCs w:val="22"/>
        </w:rPr>
      </w:pPr>
      <w:r w:rsidRPr="00041EE7">
        <w:rPr>
          <w:sz w:val="22"/>
          <w:szCs w:val="22"/>
        </w:rPr>
        <w:t xml:space="preserve">Το 2020 </w:t>
      </w:r>
      <w:r w:rsidR="005024D7">
        <w:rPr>
          <w:sz w:val="22"/>
          <w:szCs w:val="22"/>
        </w:rPr>
        <w:t>θα διατεθούν</w:t>
      </w:r>
      <w:r w:rsidR="005024D7" w:rsidRPr="00041EE7">
        <w:rPr>
          <w:sz w:val="22"/>
          <w:szCs w:val="22"/>
        </w:rPr>
        <w:t xml:space="preserve"> </w:t>
      </w:r>
      <w:r w:rsidR="00011444">
        <w:rPr>
          <w:sz w:val="22"/>
          <w:szCs w:val="22"/>
        </w:rPr>
        <w:t>πιστώσεις</w:t>
      </w:r>
      <w:r w:rsidR="001C3CFC">
        <w:rPr>
          <w:sz w:val="22"/>
          <w:szCs w:val="22"/>
        </w:rPr>
        <w:t xml:space="preserve"> </w:t>
      </w:r>
      <w:r w:rsidRPr="00041EE7">
        <w:rPr>
          <w:sz w:val="22"/>
          <w:szCs w:val="22"/>
        </w:rPr>
        <w:t xml:space="preserve">ύψους </w:t>
      </w:r>
      <w:r w:rsidR="00EA594C">
        <w:rPr>
          <w:sz w:val="22"/>
          <w:szCs w:val="22"/>
        </w:rPr>
        <w:t>94</w:t>
      </w:r>
      <w:r w:rsidR="00EA594C" w:rsidRPr="00041EE7">
        <w:rPr>
          <w:sz w:val="22"/>
          <w:szCs w:val="22"/>
        </w:rPr>
        <w:t xml:space="preserve"> </w:t>
      </w:r>
      <w:r w:rsidRPr="00041EE7">
        <w:rPr>
          <w:sz w:val="22"/>
          <w:szCs w:val="22"/>
        </w:rPr>
        <w:t>εκ</w:t>
      </w:r>
      <w:r w:rsidR="007E42AD">
        <w:rPr>
          <w:sz w:val="22"/>
          <w:szCs w:val="22"/>
        </w:rPr>
        <w:t>ατ</w:t>
      </w:r>
      <w:r w:rsidRPr="00041EE7">
        <w:rPr>
          <w:sz w:val="22"/>
          <w:szCs w:val="22"/>
        </w:rPr>
        <w:t xml:space="preserve">. ευρώ </w:t>
      </w:r>
      <w:r w:rsidR="00224BAB" w:rsidRPr="00224BAB">
        <w:rPr>
          <w:sz w:val="22"/>
          <w:szCs w:val="22"/>
        </w:rPr>
        <w:t xml:space="preserve">(εκ των οποίων </w:t>
      </w:r>
      <w:r w:rsidR="00224BAB">
        <w:rPr>
          <w:sz w:val="22"/>
          <w:szCs w:val="22"/>
        </w:rPr>
        <w:t>31</w:t>
      </w:r>
      <w:r w:rsidR="00224BAB" w:rsidRPr="00224BAB">
        <w:rPr>
          <w:sz w:val="22"/>
          <w:szCs w:val="22"/>
        </w:rPr>
        <w:t xml:space="preserve"> εκατ. περιλαμβάνονται στις Γενικές Κρατικές Δαπάνες)</w:t>
      </w:r>
      <w:r w:rsidR="00224BAB">
        <w:rPr>
          <w:sz w:val="22"/>
          <w:szCs w:val="22"/>
        </w:rPr>
        <w:t xml:space="preserve"> </w:t>
      </w:r>
      <w:r w:rsidRPr="00041EE7">
        <w:rPr>
          <w:sz w:val="22"/>
          <w:szCs w:val="22"/>
        </w:rPr>
        <w:t xml:space="preserve">για δράσεις που σχετίζονται με την υλοποίηση μέτρων προστασίας της δημόσιας υγείας από τον κορωνοϊό. </w:t>
      </w:r>
    </w:p>
    <w:p w:rsidR="00041EE7" w:rsidRPr="00041EE7" w:rsidRDefault="00041EE7" w:rsidP="00041EE7">
      <w:pPr>
        <w:jc w:val="both"/>
        <w:rPr>
          <w:sz w:val="22"/>
          <w:szCs w:val="22"/>
        </w:rPr>
      </w:pPr>
    </w:p>
    <w:p w:rsidR="00041EE7" w:rsidRPr="00041EE7" w:rsidRDefault="00041EE7" w:rsidP="001C3CFC">
      <w:pPr>
        <w:jc w:val="both"/>
        <w:rPr>
          <w:sz w:val="22"/>
          <w:szCs w:val="22"/>
        </w:rPr>
      </w:pPr>
      <w:r w:rsidRPr="00041EE7">
        <w:rPr>
          <w:sz w:val="22"/>
          <w:szCs w:val="22"/>
        </w:rPr>
        <w:t>Το πρόγραμμα δημοσίων επενδύσεων παρέχει σημαντική χρηματοδότηση δράσεων του Υπουργείου στον μεταναστευτικό τομέα, στο πλαίσιο της αρμοδιότητάς του.</w:t>
      </w:r>
    </w:p>
    <w:p w:rsidR="00041EE7" w:rsidRPr="00041EE7" w:rsidRDefault="00041EE7" w:rsidP="001C3CFC">
      <w:pPr>
        <w:jc w:val="both"/>
        <w:rPr>
          <w:sz w:val="22"/>
          <w:szCs w:val="22"/>
        </w:rPr>
      </w:pPr>
      <w:r w:rsidRPr="00041EE7">
        <w:rPr>
          <w:sz w:val="22"/>
          <w:szCs w:val="22"/>
        </w:rPr>
        <w:t xml:space="preserve">Το σύνολο των δαπανών του Υπουργείου στο ΠΔΕ έτους 2021 </w:t>
      </w:r>
      <w:r w:rsidR="001C3CFC" w:rsidRPr="00041EE7">
        <w:rPr>
          <w:sz w:val="22"/>
          <w:szCs w:val="22"/>
        </w:rPr>
        <w:t>προ</w:t>
      </w:r>
      <w:r w:rsidR="001C3CFC">
        <w:rPr>
          <w:sz w:val="22"/>
          <w:szCs w:val="22"/>
        </w:rPr>
        <w:t>βλέπεται να ανέλθει στα</w:t>
      </w:r>
      <w:r w:rsidRPr="00041EE7">
        <w:rPr>
          <w:sz w:val="22"/>
          <w:szCs w:val="22"/>
        </w:rPr>
        <w:t xml:space="preserve"> 74</w:t>
      </w:r>
      <w:r w:rsidRPr="00041EE7">
        <w:rPr>
          <w:b/>
          <w:sz w:val="22"/>
          <w:szCs w:val="22"/>
        </w:rPr>
        <w:t xml:space="preserve"> </w:t>
      </w:r>
      <w:r w:rsidRPr="00041EE7">
        <w:rPr>
          <w:sz w:val="22"/>
          <w:szCs w:val="22"/>
        </w:rPr>
        <w:t>εκατ. ευρώ.</w:t>
      </w:r>
    </w:p>
    <w:p w:rsidR="00041EE7" w:rsidRPr="00041EE7" w:rsidRDefault="00041EE7" w:rsidP="00041EE7">
      <w:pPr>
        <w:autoSpaceDE w:val="0"/>
        <w:autoSpaceDN w:val="0"/>
        <w:adjustRightInd w:val="0"/>
        <w:jc w:val="both"/>
        <w:rPr>
          <w:rFonts w:ascii="Arial Narrow" w:hAnsi="Arial Narrow"/>
          <w:b/>
          <w:i/>
          <w:sz w:val="22"/>
          <w:szCs w:val="22"/>
          <w:highlight w:val="yellow"/>
        </w:rPr>
      </w:pPr>
    </w:p>
    <w:p w:rsidR="00041EE7" w:rsidRPr="00041EE7" w:rsidRDefault="00041EE7" w:rsidP="00041EE7">
      <w:pPr>
        <w:tabs>
          <w:tab w:val="left" w:pos="3720"/>
        </w:tabs>
        <w:rPr>
          <w:rFonts w:ascii="Arial Narrow" w:hAnsi="Arial Narrow"/>
          <w:b/>
          <w:i/>
          <w:sz w:val="22"/>
          <w:szCs w:val="22"/>
        </w:rPr>
      </w:pPr>
      <w:r w:rsidRPr="00041EE7">
        <w:rPr>
          <w:rFonts w:ascii="Arial Narrow" w:hAnsi="Arial Narrow"/>
          <w:b/>
          <w:i/>
          <w:sz w:val="22"/>
          <w:szCs w:val="22"/>
        </w:rPr>
        <w:t>Υπουργείο Τουρισμού</w:t>
      </w:r>
    </w:p>
    <w:p w:rsidR="00041EE7" w:rsidRPr="00041EE7" w:rsidRDefault="00041EE7" w:rsidP="00041EE7">
      <w:pPr>
        <w:jc w:val="both"/>
        <w:rPr>
          <w:b/>
          <w:bCs/>
          <w:i/>
          <w:iCs/>
          <w:sz w:val="22"/>
          <w:szCs w:val="22"/>
        </w:rPr>
      </w:pPr>
    </w:p>
    <w:p w:rsidR="00041EE7" w:rsidRPr="00041EE7" w:rsidRDefault="00041EE7" w:rsidP="001C3CFC">
      <w:pPr>
        <w:jc w:val="both"/>
        <w:rPr>
          <w:sz w:val="22"/>
          <w:szCs w:val="22"/>
        </w:rPr>
      </w:pPr>
      <w:r w:rsidRPr="00041EE7">
        <w:rPr>
          <w:sz w:val="22"/>
          <w:szCs w:val="22"/>
        </w:rPr>
        <w:t>Οι πιστώσεις του τακτικού προϋπολογισμού θα καλύψουν κυρίως δαπάνες για:</w:t>
      </w:r>
    </w:p>
    <w:p w:rsidR="00041EE7" w:rsidRPr="00041EE7" w:rsidRDefault="00041EE7" w:rsidP="001C3CFC">
      <w:pPr>
        <w:jc w:val="both"/>
        <w:rPr>
          <w:sz w:val="22"/>
          <w:szCs w:val="22"/>
        </w:rPr>
      </w:pPr>
    </w:p>
    <w:p w:rsidR="00041EE7" w:rsidRPr="00041EE7" w:rsidRDefault="00041EE7" w:rsidP="001C3CFC">
      <w:pPr>
        <w:numPr>
          <w:ilvl w:val="0"/>
          <w:numId w:val="12"/>
        </w:numPr>
        <w:tabs>
          <w:tab w:val="num" w:pos="284"/>
        </w:tabs>
        <w:ind w:left="284" w:hanging="284"/>
        <w:jc w:val="both"/>
        <w:rPr>
          <w:sz w:val="22"/>
          <w:szCs w:val="22"/>
        </w:rPr>
      </w:pPr>
      <w:r w:rsidRPr="00041EE7">
        <w:rPr>
          <w:sz w:val="22"/>
          <w:szCs w:val="22"/>
        </w:rPr>
        <w:t>την προβολή της χώρας στο εξωτερικό ως σημαντικού και ελκυστικού τουριστικού προορισμού,</w:t>
      </w:r>
    </w:p>
    <w:p w:rsidR="00041EE7" w:rsidRPr="00041EE7" w:rsidRDefault="00041EE7" w:rsidP="001C3CFC">
      <w:pPr>
        <w:numPr>
          <w:ilvl w:val="0"/>
          <w:numId w:val="12"/>
        </w:numPr>
        <w:tabs>
          <w:tab w:val="num" w:pos="284"/>
        </w:tabs>
        <w:ind w:left="284" w:hanging="284"/>
        <w:jc w:val="both"/>
        <w:rPr>
          <w:sz w:val="22"/>
          <w:szCs w:val="22"/>
        </w:rPr>
      </w:pPr>
      <w:r w:rsidRPr="00041EE7">
        <w:rPr>
          <w:sz w:val="22"/>
          <w:szCs w:val="22"/>
        </w:rPr>
        <w:t xml:space="preserve">την τουριστική εκπαίδευση και κατάρτιση, </w:t>
      </w:r>
    </w:p>
    <w:p w:rsidR="00041EE7" w:rsidRPr="00041EE7" w:rsidRDefault="00041EE7" w:rsidP="001C3CFC">
      <w:pPr>
        <w:numPr>
          <w:ilvl w:val="0"/>
          <w:numId w:val="12"/>
        </w:numPr>
        <w:tabs>
          <w:tab w:val="num" w:pos="284"/>
        </w:tabs>
        <w:ind w:left="284" w:hanging="284"/>
        <w:jc w:val="both"/>
        <w:rPr>
          <w:sz w:val="22"/>
          <w:szCs w:val="22"/>
        </w:rPr>
      </w:pPr>
      <w:r w:rsidRPr="00041EE7">
        <w:rPr>
          <w:sz w:val="22"/>
          <w:szCs w:val="22"/>
        </w:rPr>
        <w:t>τη λειτουργία νέων Σχολών Ξεναγών στην Κέρκυρα, Κρήτη και Ρόδο,</w:t>
      </w:r>
    </w:p>
    <w:p w:rsidR="00041EE7" w:rsidRPr="00041EE7" w:rsidRDefault="00041EE7" w:rsidP="001C3CFC">
      <w:pPr>
        <w:numPr>
          <w:ilvl w:val="0"/>
          <w:numId w:val="12"/>
        </w:numPr>
        <w:tabs>
          <w:tab w:val="num" w:pos="284"/>
        </w:tabs>
        <w:ind w:left="284" w:hanging="284"/>
        <w:jc w:val="both"/>
        <w:rPr>
          <w:sz w:val="22"/>
          <w:szCs w:val="22"/>
        </w:rPr>
      </w:pPr>
      <w:r w:rsidRPr="00041EE7">
        <w:rPr>
          <w:sz w:val="22"/>
          <w:szCs w:val="22"/>
        </w:rPr>
        <w:t>τη χορήγηση στεγαστικού επιδόματος των φοιτητών τριτοβάθμιας εκπαίδευσης Σχολών Τουριστ</w:t>
      </w:r>
      <w:r w:rsidRPr="00041EE7">
        <w:rPr>
          <w:sz w:val="22"/>
          <w:szCs w:val="22"/>
        </w:rPr>
        <w:t>ι</w:t>
      </w:r>
      <w:r w:rsidRPr="00041EE7">
        <w:rPr>
          <w:sz w:val="22"/>
          <w:szCs w:val="22"/>
        </w:rPr>
        <w:t>κών Επαγγελμάτων, που σπουδάζουν μακριά από τον τόπο κατοικίας τους,</w:t>
      </w:r>
    </w:p>
    <w:p w:rsidR="00041EE7" w:rsidRPr="00041EE7" w:rsidRDefault="00041EE7" w:rsidP="001C3CFC">
      <w:pPr>
        <w:numPr>
          <w:ilvl w:val="0"/>
          <w:numId w:val="12"/>
        </w:numPr>
        <w:tabs>
          <w:tab w:val="num" w:pos="284"/>
        </w:tabs>
        <w:ind w:left="284" w:hanging="284"/>
        <w:jc w:val="both"/>
        <w:rPr>
          <w:sz w:val="22"/>
          <w:szCs w:val="22"/>
        </w:rPr>
      </w:pPr>
      <w:r w:rsidRPr="00041EE7">
        <w:rPr>
          <w:sz w:val="22"/>
          <w:szCs w:val="22"/>
        </w:rPr>
        <w:t>τη διασφάλιση ποιότητας του παρεχόμενου τουριστικού προϊόντος,</w:t>
      </w:r>
    </w:p>
    <w:p w:rsidR="00041EE7" w:rsidRPr="00041EE7" w:rsidRDefault="00041EE7" w:rsidP="001C3CFC">
      <w:pPr>
        <w:numPr>
          <w:ilvl w:val="0"/>
          <w:numId w:val="12"/>
        </w:numPr>
        <w:tabs>
          <w:tab w:val="num" w:pos="284"/>
        </w:tabs>
        <w:ind w:left="284" w:hanging="284"/>
        <w:jc w:val="both"/>
        <w:rPr>
          <w:sz w:val="22"/>
          <w:szCs w:val="22"/>
        </w:rPr>
      </w:pPr>
      <w:r w:rsidRPr="00041EE7">
        <w:rPr>
          <w:sz w:val="22"/>
          <w:szCs w:val="22"/>
        </w:rPr>
        <w:t>την εκπόνηση συμβουλευτικών μελετών από εξειδικευμένους φορείς και τη διεξαγωγή πρωτογ</w:t>
      </w:r>
      <w:r w:rsidRPr="00041EE7">
        <w:rPr>
          <w:sz w:val="22"/>
          <w:szCs w:val="22"/>
        </w:rPr>
        <w:t>ε</w:t>
      </w:r>
      <w:r w:rsidRPr="00041EE7">
        <w:rPr>
          <w:sz w:val="22"/>
          <w:szCs w:val="22"/>
        </w:rPr>
        <w:t>νούς έρευνας στις ξένες αγορές</w:t>
      </w:r>
      <w:r w:rsidR="000E02E1">
        <w:rPr>
          <w:sz w:val="22"/>
          <w:szCs w:val="22"/>
        </w:rPr>
        <w:t>,</w:t>
      </w:r>
      <w:r w:rsidRPr="00041EE7">
        <w:rPr>
          <w:sz w:val="22"/>
          <w:szCs w:val="22"/>
        </w:rPr>
        <w:t xml:space="preserve"> προκειμένου να διαμορφωθεί στρατηγική μάρκετινγκ για την αν</w:t>
      </w:r>
      <w:r w:rsidRPr="00041EE7">
        <w:rPr>
          <w:sz w:val="22"/>
          <w:szCs w:val="22"/>
        </w:rPr>
        <w:t>ά</w:t>
      </w:r>
      <w:r w:rsidRPr="00041EE7">
        <w:rPr>
          <w:sz w:val="22"/>
          <w:szCs w:val="22"/>
        </w:rPr>
        <w:t>καμψη του τουρισμού,</w:t>
      </w:r>
    </w:p>
    <w:p w:rsidR="00041EE7" w:rsidRPr="00041EE7" w:rsidRDefault="00041EE7" w:rsidP="001C3CFC">
      <w:pPr>
        <w:numPr>
          <w:ilvl w:val="0"/>
          <w:numId w:val="12"/>
        </w:numPr>
        <w:tabs>
          <w:tab w:val="num" w:pos="284"/>
        </w:tabs>
        <w:ind w:left="284" w:hanging="284"/>
        <w:jc w:val="both"/>
        <w:rPr>
          <w:sz w:val="22"/>
          <w:szCs w:val="22"/>
        </w:rPr>
      </w:pPr>
      <w:r w:rsidRPr="00041EE7">
        <w:rPr>
          <w:sz w:val="22"/>
          <w:szCs w:val="22"/>
        </w:rPr>
        <w:t>την προώθηση αναπτυξιακών πρωτοβουλιών στο</w:t>
      </w:r>
      <w:r w:rsidR="000E02E1">
        <w:rPr>
          <w:sz w:val="22"/>
          <w:szCs w:val="22"/>
        </w:rPr>
        <w:t>ν τομέα του τουρισμού</w:t>
      </w:r>
      <w:r w:rsidRPr="00041EE7">
        <w:rPr>
          <w:sz w:val="22"/>
          <w:szCs w:val="22"/>
        </w:rPr>
        <w:t xml:space="preserve"> και</w:t>
      </w:r>
    </w:p>
    <w:p w:rsidR="00041EE7" w:rsidRPr="00041EE7" w:rsidRDefault="00041EE7" w:rsidP="00041EE7">
      <w:pPr>
        <w:numPr>
          <w:ilvl w:val="0"/>
          <w:numId w:val="12"/>
        </w:numPr>
        <w:tabs>
          <w:tab w:val="num" w:pos="284"/>
        </w:tabs>
        <w:ind w:left="284" w:hanging="284"/>
        <w:jc w:val="both"/>
        <w:rPr>
          <w:sz w:val="22"/>
          <w:szCs w:val="22"/>
        </w:rPr>
      </w:pPr>
      <w:r w:rsidRPr="00041EE7">
        <w:rPr>
          <w:sz w:val="22"/>
          <w:szCs w:val="22"/>
        </w:rPr>
        <w:t>την επιχορήγηση και απόδοση εσόδων στον Ελληνικό Οργανισμό Τουρισμού.</w:t>
      </w:r>
    </w:p>
    <w:p w:rsidR="00041EE7" w:rsidRPr="00041EE7" w:rsidRDefault="00041EE7" w:rsidP="00041EE7">
      <w:pPr>
        <w:jc w:val="both"/>
        <w:rPr>
          <w:sz w:val="22"/>
          <w:szCs w:val="22"/>
        </w:rPr>
      </w:pPr>
    </w:p>
    <w:p w:rsidR="0086294A" w:rsidRDefault="0086294A" w:rsidP="00041EE7">
      <w:pPr>
        <w:jc w:val="both"/>
        <w:rPr>
          <w:sz w:val="22"/>
          <w:szCs w:val="22"/>
        </w:rPr>
      </w:pPr>
      <w:r>
        <w:rPr>
          <w:sz w:val="22"/>
          <w:szCs w:val="22"/>
        </w:rPr>
        <w:t xml:space="preserve">Το 2020 διατέθηκαν πιστώσεις ύψους 5,7 εκατ. ευρώ για δράσεις που σχετίζονται με την υλοποίηση μέτρων αντιμετώπισης των αρνητικών συνεπειών του κορωνοϊού </w:t>
      </w:r>
      <w:r>
        <w:rPr>
          <w:sz w:val="22"/>
          <w:szCs w:val="22"/>
          <w:lang w:val="en-US"/>
        </w:rPr>
        <w:t>Covid</w:t>
      </w:r>
      <w:r w:rsidRPr="0086294A">
        <w:rPr>
          <w:sz w:val="22"/>
          <w:szCs w:val="22"/>
        </w:rPr>
        <w:t>-19</w:t>
      </w:r>
      <w:r>
        <w:rPr>
          <w:sz w:val="22"/>
          <w:szCs w:val="22"/>
        </w:rPr>
        <w:t xml:space="preserve"> και αφορούν δαπάνες επ</w:t>
      </w:r>
      <w:r>
        <w:rPr>
          <w:sz w:val="22"/>
          <w:szCs w:val="22"/>
        </w:rPr>
        <w:t>ι</w:t>
      </w:r>
      <w:r>
        <w:rPr>
          <w:sz w:val="22"/>
          <w:szCs w:val="22"/>
        </w:rPr>
        <w:t>χορήγησης του Ελληνικού Οργανισμού Τουρισμού (ΕΟΤ) για λειτουργικές δαπάνες λόγω απώλειας εσόδων</w:t>
      </w:r>
      <w:r w:rsidR="001D19C1">
        <w:rPr>
          <w:sz w:val="22"/>
          <w:szCs w:val="22"/>
        </w:rPr>
        <w:t>, καθώς και</w:t>
      </w:r>
      <w:r>
        <w:rPr>
          <w:sz w:val="22"/>
          <w:szCs w:val="22"/>
        </w:rPr>
        <w:t xml:space="preserve"> μίσθωσης τουριστικών καταλυμ</w:t>
      </w:r>
      <w:r w:rsidR="001D19C1">
        <w:rPr>
          <w:sz w:val="22"/>
          <w:szCs w:val="22"/>
        </w:rPr>
        <w:t>άτων γ</w:t>
      </w:r>
      <w:r>
        <w:rPr>
          <w:sz w:val="22"/>
          <w:szCs w:val="22"/>
        </w:rPr>
        <w:t>ια την κάλυψη αναγκών δημόσιας υγείας.</w:t>
      </w:r>
    </w:p>
    <w:p w:rsidR="001D19C1" w:rsidRPr="0086294A" w:rsidRDefault="001D19C1" w:rsidP="00041EE7">
      <w:pPr>
        <w:jc w:val="both"/>
        <w:rPr>
          <w:sz w:val="22"/>
          <w:szCs w:val="22"/>
        </w:rPr>
      </w:pPr>
    </w:p>
    <w:p w:rsidR="00041EE7" w:rsidRPr="00041EE7" w:rsidRDefault="00041EE7" w:rsidP="00041EE7">
      <w:pPr>
        <w:jc w:val="both"/>
        <w:rPr>
          <w:sz w:val="22"/>
          <w:szCs w:val="22"/>
        </w:rPr>
      </w:pPr>
      <w:r w:rsidRPr="00041EE7">
        <w:rPr>
          <w:sz w:val="22"/>
          <w:szCs w:val="22"/>
        </w:rPr>
        <w:t>Σημαντικό μέρος της χρηματοδότησης της δράσης του Υπουργείου προέρχεται από το πρόγραμμα δημοσίων επενδύσεων.</w:t>
      </w:r>
      <w:r w:rsidR="0065246E">
        <w:rPr>
          <w:sz w:val="22"/>
          <w:szCs w:val="22"/>
        </w:rPr>
        <w:t xml:space="preserve"> Το 2020 η εκτιμώμενη δαπάνη περιλαμβάνει πληρωμές για το πρόγραμμα «Τουρισμός για όλους», καθώς και για τη διαφημιστική δαπάνη του ΕΟΤ συνολικού ύψους 43 εκατ. ευρώ.</w:t>
      </w:r>
    </w:p>
    <w:p w:rsidR="00041EE7" w:rsidRPr="00041EE7" w:rsidRDefault="00041EE7" w:rsidP="001C3CFC">
      <w:pPr>
        <w:jc w:val="both"/>
        <w:rPr>
          <w:sz w:val="22"/>
          <w:szCs w:val="22"/>
        </w:rPr>
      </w:pPr>
      <w:r w:rsidRPr="00041EE7">
        <w:rPr>
          <w:sz w:val="22"/>
          <w:szCs w:val="22"/>
        </w:rPr>
        <w:t xml:space="preserve">Το σύνολο των δαπανών του Υπουργείου στο ΠΔΕ έτους 2021 </w:t>
      </w:r>
      <w:r w:rsidR="001C3CFC" w:rsidRPr="00041EE7">
        <w:rPr>
          <w:sz w:val="22"/>
          <w:szCs w:val="22"/>
        </w:rPr>
        <w:t>προ</w:t>
      </w:r>
      <w:r w:rsidR="001C3CFC">
        <w:rPr>
          <w:sz w:val="22"/>
          <w:szCs w:val="22"/>
        </w:rPr>
        <w:t>βλέπεται να ανέλθει στα</w:t>
      </w:r>
      <w:r w:rsidRPr="00041EE7">
        <w:rPr>
          <w:sz w:val="22"/>
          <w:szCs w:val="22"/>
        </w:rPr>
        <w:t xml:space="preserve"> 21</w:t>
      </w:r>
      <w:r w:rsidRPr="00041EE7">
        <w:rPr>
          <w:b/>
          <w:sz w:val="22"/>
          <w:szCs w:val="22"/>
        </w:rPr>
        <w:t xml:space="preserve"> </w:t>
      </w:r>
      <w:r w:rsidRPr="00041EE7">
        <w:rPr>
          <w:sz w:val="22"/>
          <w:szCs w:val="22"/>
        </w:rPr>
        <w:t>εκατ. ευρώ.</w:t>
      </w:r>
    </w:p>
    <w:p w:rsidR="00041EE7" w:rsidRPr="00041EE7" w:rsidRDefault="00041EE7" w:rsidP="00041EE7">
      <w:pPr>
        <w:jc w:val="both"/>
        <w:rPr>
          <w:b/>
          <w:i/>
          <w:sz w:val="22"/>
          <w:szCs w:val="22"/>
        </w:rPr>
      </w:pPr>
    </w:p>
    <w:p w:rsidR="00041EE7" w:rsidRPr="00041EE7" w:rsidRDefault="00041EE7" w:rsidP="00041EE7">
      <w:pPr>
        <w:tabs>
          <w:tab w:val="left" w:pos="3720"/>
        </w:tabs>
        <w:rPr>
          <w:rFonts w:ascii="Arial Narrow" w:hAnsi="Arial Narrow"/>
          <w:b/>
          <w:i/>
          <w:sz w:val="22"/>
          <w:szCs w:val="22"/>
        </w:rPr>
      </w:pPr>
      <w:r w:rsidRPr="00041EE7">
        <w:rPr>
          <w:rFonts w:ascii="Arial Narrow" w:hAnsi="Arial Narrow"/>
          <w:b/>
          <w:i/>
          <w:sz w:val="22"/>
          <w:szCs w:val="22"/>
        </w:rPr>
        <w:t>Υπουργείο Ψηφιακής Διακυβέρνησης</w:t>
      </w:r>
    </w:p>
    <w:p w:rsidR="00041EE7" w:rsidRPr="00041EE7" w:rsidRDefault="00041EE7" w:rsidP="00041EE7">
      <w:pPr>
        <w:jc w:val="both"/>
        <w:rPr>
          <w:sz w:val="22"/>
          <w:szCs w:val="22"/>
        </w:rPr>
      </w:pPr>
    </w:p>
    <w:p w:rsidR="00041EE7" w:rsidRPr="00041EE7" w:rsidRDefault="00041EE7" w:rsidP="00041EE7">
      <w:pPr>
        <w:autoSpaceDE w:val="0"/>
        <w:autoSpaceDN w:val="0"/>
        <w:adjustRightInd w:val="0"/>
        <w:jc w:val="both"/>
        <w:rPr>
          <w:sz w:val="22"/>
          <w:szCs w:val="22"/>
        </w:rPr>
      </w:pPr>
      <w:r w:rsidRPr="00041EE7">
        <w:rPr>
          <w:sz w:val="22"/>
          <w:szCs w:val="22"/>
        </w:rPr>
        <w:t xml:space="preserve">Στον τακτικό προϋπολογισμό του Υπουργείου έχουν προβλεφθεί πιστώσεις για την εκτέλεση της </w:t>
      </w:r>
      <w:r w:rsidRPr="00041EE7">
        <w:rPr>
          <w:sz w:val="22"/>
          <w:szCs w:val="22"/>
        </w:rPr>
        <w:t>α</w:t>
      </w:r>
      <w:r w:rsidRPr="00041EE7">
        <w:rPr>
          <w:sz w:val="22"/>
          <w:szCs w:val="22"/>
        </w:rPr>
        <w:t>ποστολής του Υπουργείου και ειδικότερα για την ανάπτυξη της ψηφιακής πολιτικής, την προώθηση της ηλεκτρονικής διακυβέρνησης και την ανάπτυξη τηλεπικοινωνιακών και ταχυδρομικών υπηρεσιών υψηλής ποιότητας. Στο πλαίσιο αυτό, έχουν προβλεφθεί, μεταξύ άλλων, πιστώσεις για την εφαρμογή του έργου ΣΥΖΕΥΞΙΣ ΙΙ και για την κάλυψη της ετήσιας συνδρομής της χώρας για τη συμμετοχή της στον Ευρωπαϊκό Οργανισμό Διαστήματος (</w:t>
      </w:r>
      <w:r w:rsidRPr="00041EE7">
        <w:rPr>
          <w:sz w:val="22"/>
          <w:szCs w:val="22"/>
          <w:lang w:val="en-US"/>
        </w:rPr>
        <w:t>ESA</w:t>
      </w:r>
      <w:r w:rsidRPr="00041EE7">
        <w:rPr>
          <w:sz w:val="22"/>
          <w:szCs w:val="22"/>
        </w:rPr>
        <w:t>).</w:t>
      </w:r>
    </w:p>
    <w:p w:rsidR="00041EE7" w:rsidRPr="00041EE7" w:rsidRDefault="00041EE7" w:rsidP="00041EE7">
      <w:pPr>
        <w:jc w:val="both"/>
        <w:rPr>
          <w:sz w:val="22"/>
          <w:szCs w:val="22"/>
        </w:rPr>
      </w:pPr>
    </w:p>
    <w:p w:rsidR="00041EE7" w:rsidRPr="00041EE7" w:rsidRDefault="00041EE7" w:rsidP="00041EE7">
      <w:pPr>
        <w:jc w:val="both"/>
        <w:rPr>
          <w:sz w:val="22"/>
          <w:szCs w:val="22"/>
        </w:rPr>
      </w:pPr>
      <w:r w:rsidRPr="00041EE7">
        <w:rPr>
          <w:sz w:val="22"/>
          <w:szCs w:val="22"/>
        </w:rPr>
        <w:t>Σημαντικά ποσά θα διατεθούν το 2021 από το ΠΔΕ για τη χρηματοδότηση δράσεων του Υπουργείου στον τομέα ανάπτυξης της ηλεκτρον</w:t>
      </w:r>
      <w:r w:rsidR="000E02E1">
        <w:rPr>
          <w:sz w:val="22"/>
          <w:szCs w:val="22"/>
        </w:rPr>
        <w:t>ικής διακυβέρνησης, δικτύωσης του δημόσιου τ</w:t>
      </w:r>
      <w:r w:rsidRPr="00041EE7">
        <w:rPr>
          <w:sz w:val="22"/>
          <w:szCs w:val="22"/>
        </w:rPr>
        <w:t>ομέα (ΣΥΖΕΥΞΙΣ</w:t>
      </w:r>
      <w:r w:rsidR="000E02E1">
        <w:rPr>
          <w:sz w:val="22"/>
          <w:szCs w:val="22"/>
        </w:rPr>
        <w:t xml:space="preserve"> ΙΙ), ψηφιακού μ</w:t>
      </w:r>
      <w:r w:rsidRPr="00041EE7">
        <w:rPr>
          <w:sz w:val="22"/>
          <w:szCs w:val="22"/>
        </w:rPr>
        <w:t>ετασχηματισμού και ψηφιακής σύγκλισης.</w:t>
      </w:r>
    </w:p>
    <w:p w:rsidR="00041EE7" w:rsidRPr="00041EE7" w:rsidRDefault="00041EE7" w:rsidP="001C3CFC">
      <w:pPr>
        <w:jc w:val="both"/>
        <w:rPr>
          <w:sz w:val="22"/>
          <w:szCs w:val="22"/>
        </w:rPr>
      </w:pPr>
      <w:r w:rsidRPr="00041EE7">
        <w:rPr>
          <w:sz w:val="22"/>
          <w:szCs w:val="22"/>
        </w:rPr>
        <w:t xml:space="preserve">Το σύνολο των δαπανών του Υπουργείου στο ΠΔΕ έτους 2021 προβλέπεται </w:t>
      </w:r>
      <w:r w:rsidR="001C3CFC">
        <w:rPr>
          <w:sz w:val="22"/>
          <w:szCs w:val="22"/>
        </w:rPr>
        <w:t xml:space="preserve">να ανέλθει </w:t>
      </w:r>
      <w:r w:rsidRPr="00041EE7">
        <w:rPr>
          <w:sz w:val="22"/>
          <w:szCs w:val="22"/>
        </w:rPr>
        <w:t>στα 90</w:t>
      </w:r>
      <w:r w:rsidRPr="00041EE7">
        <w:rPr>
          <w:b/>
          <w:sz w:val="22"/>
          <w:szCs w:val="22"/>
        </w:rPr>
        <w:t xml:space="preserve"> </w:t>
      </w:r>
      <w:r w:rsidRPr="00041EE7">
        <w:rPr>
          <w:sz w:val="22"/>
          <w:szCs w:val="22"/>
        </w:rPr>
        <w:t>εκατ. ευρώ.</w:t>
      </w:r>
    </w:p>
    <w:p w:rsidR="00960593" w:rsidRPr="00A10FE3" w:rsidRDefault="00960593" w:rsidP="00041EE7">
      <w:pPr>
        <w:jc w:val="both"/>
        <w:rPr>
          <w:sz w:val="22"/>
          <w:szCs w:val="22"/>
        </w:rPr>
      </w:pPr>
    </w:p>
    <w:p w:rsidR="00041EE7" w:rsidRPr="00041EE7" w:rsidRDefault="00041EE7" w:rsidP="00041EE7">
      <w:pPr>
        <w:tabs>
          <w:tab w:val="left" w:pos="3720"/>
        </w:tabs>
        <w:rPr>
          <w:rFonts w:ascii="Arial Narrow" w:hAnsi="Arial Narrow"/>
          <w:b/>
          <w:i/>
          <w:sz w:val="22"/>
          <w:szCs w:val="22"/>
        </w:rPr>
      </w:pPr>
      <w:r w:rsidRPr="00041EE7">
        <w:rPr>
          <w:rFonts w:ascii="Arial Narrow" w:hAnsi="Arial Narrow"/>
          <w:b/>
          <w:i/>
          <w:sz w:val="22"/>
          <w:szCs w:val="22"/>
        </w:rPr>
        <w:t>Υπουργείο Μετανάστευσης και Ασύλου</w:t>
      </w:r>
    </w:p>
    <w:p w:rsidR="00041EE7" w:rsidRPr="00041EE7" w:rsidRDefault="00041EE7" w:rsidP="00041EE7">
      <w:pPr>
        <w:autoSpaceDE w:val="0"/>
        <w:autoSpaceDN w:val="0"/>
        <w:adjustRightInd w:val="0"/>
        <w:jc w:val="both"/>
        <w:rPr>
          <w:rFonts w:ascii="Arial Narrow" w:hAnsi="Arial Narrow"/>
          <w:b/>
          <w:i/>
          <w:sz w:val="22"/>
          <w:szCs w:val="22"/>
          <w:highlight w:val="yellow"/>
        </w:rPr>
      </w:pPr>
    </w:p>
    <w:p w:rsidR="00041EE7" w:rsidRDefault="00041EE7" w:rsidP="00041EE7">
      <w:pPr>
        <w:autoSpaceDE w:val="0"/>
        <w:autoSpaceDN w:val="0"/>
        <w:adjustRightInd w:val="0"/>
        <w:jc w:val="both"/>
        <w:rPr>
          <w:sz w:val="22"/>
          <w:szCs w:val="22"/>
        </w:rPr>
      </w:pPr>
      <w:r w:rsidRPr="00041EE7">
        <w:rPr>
          <w:sz w:val="22"/>
          <w:szCs w:val="22"/>
        </w:rPr>
        <w:t xml:space="preserve">Στον τακτικό προϋπολογισμό του Υπουργείου έχουν προβλεφθεί πιστώσεις για την εκτέλεση της </w:t>
      </w:r>
      <w:r w:rsidRPr="00041EE7">
        <w:rPr>
          <w:sz w:val="22"/>
          <w:szCs w:val="22"/>
        </w:rPr>
        <w:t>α</w:t>
      </w:r>
      <w:r w:rsidRPr="00041EE7">
        <w:rPr>
          <w:sz w:val="22"/>
          <w:szCs w:val="22"/>
        </w:rPr>
        <w:t>ποστολής του και κυρίως για το σχεδιασμό και την εφαρμογή της εθνικής πολιτικής για τη μεταν</w:t>
      </w:r>
      <w:r w:rsidRPr="00041EE7">
        <w:rPr>
          <w:sz w:val="22"/>
          <w:szCs w:val="22"/>
        </w:rPr>
        <w:t>ά</w:t>
      </w:r>
      <w:r w:rsidRPr="00041EE7">
        <w:rPr>
          <w:sz w:val="22"/>
          <w:szCs w:val="22"/>
        </w:rPr>
        <w:t>στευση</w:t>
      </w:r>
      <w:r w:rsidR="000E02E1">
        <w:rPr>
          <w:sz w:val="22"/>
          <w:szCs w:val="22"/>
        </w:rPr>
        <w:t>,</w:t>
      </w:r>
      <w:r w:rsidRPr="00041EE7">
        <w:rPr>
          <w:sz w:val="22"/>
          <w:szCs w:val="22"/>
        </w:rPr>
        <w:t xml:space="preserve"> τόσο σχετικά με τη νόμιμη είσοδο, διαμονή και κοινωνική ένταξη των πολιτών τρίτων χωρών στην ελληνική επικράτεια</w:t>
      </w:r>
      <w:r w:rsidR="000E02E1">
        <w:rPr>
          <w:sz w:val="22"/>
          <w:szCs w:val="22"/>
        </w:rPr>
        <w:t>,</w:t>
      </w:r>
      <w:r w:rsidRPr="00041EE7">
        <w:rPr>
          <w:sz w:val="22"/>
          <w:szCs w:val="22"/>
        </w:rPr>
        <w:t xml:space="preserve"> όσο και σχετικά με την ταυτοποίηση και υποδοχή πολιτών τρίτων χωρών που εισέρχονται στη χώρα χωρίς τις νόμιμες διατυπώσεις, καθώς και για το</w:t>
      </w:r>
      <w:r w:rsidR="007E42AD">
        <w:rPr>
          <w:sz w:val="22"/>
          <w:szCs w:val="22"/>
        </w:rPr>
        <w:t>ν</w:t>
      </w:r>
      <w:r w:rsidRPr="00041EE7">
        <w:rPr>
          <w:sz w:val="22"/>
          <w:szCs w:val="22"/>
        </w:rPr>
        <w:t xml:space="preserve"> σχεδιασμό και την υλ</w:t>
      </w:r>
      <w:r w:rsidRPr="00041EE7">
        <w:rPr>
          <w:sz w:val="22"/>
          <w:szCs w:val="22"/>
        </w:rPr>
        <w:t>ο</w:t>
      </w:r>
      <w:r w:rsidRPr="00041EE7">
        <w:rPr>
          <w:sz w:val="22"/>
          <w:szCs w:val="22"/>
        </w:rPr>
        <w:t>ποίηση της εθνικής πολιτικής για τη χορήγηση ασύλου ή άλλων μορφών διεθνούς προστασίας. Πιο συγκεκριμένα, σημαντικό μέρος των πιστώσεων αυτών θα διατεθεί για:</w:t>
      </w:r>
    </w:p>
    <w:p w:rsidR="007E42AD" w:rsidRPr="00041EE7" w:rsidRDefault="007E42AD" w:rsidP="00041EE7">
      <w:pPr>
        <w:autoSpaceDE w:val="0"/>
        <w:autoSpaceDN w:val="0"/>
        <w:adjustRightInd w:val="0"/>
        <w:jc w:val="both"/>
        <w:rPr>
          <w:sz w:val="22"/>
          <w:szCs w:val="22"/>
        </w:rPr>
      </w:pPr>
    </w:p>
    <w:p w:rsidR="00041EE7" w:rsidRPr="00041EE7" w:rsidRDefault="007E42AD" w:rsidP="00041EE7">
      <w:pPr>
        <w:numPr>
          <w:ilvl w:val="0"/>
          <w:numId w:val="35"/>
        </w:numPr>
        <w:autoSpaceDE w:val="0"/>
        <w:autoSpaceDN w:val="0"/>
        <w:adjustRightInd w:val="0"/>
        <w:ind w:left="426"/>
        <w:jc w:val="both"/>
        <w:rPr>
          <w:strike/>
          <w:sz w:val="22"/>
          <w:szCs w:val="22"/>
        </w:rPr>
      </w:pPr>
      <w:r>
        <w:rPr>
          <w:sz w:val="22"/>
          <w:szCs w:val="22"/>
        </w:rPr>
        <w:t>τ</w:t>
      </w:r>
      <w:r w:rsidR="00041EE7" w:rsidRPr="00041EE7">
        <w:rPr>
          <w:sz w:val="22"/>
          <w:szCs w:val="22"/>
        </w:rPr>
        <w:t>ην εύρυθμη εκτέλεση των διαδικασιών και τη λειτουργική ετοιμότητα των συστημάτων συλλ</w:t>
      </w:r>
      <w:r w:rsidR="00041EE7" w:rsidRPr="00041EE7">
        <w:rPr>
          <w:sz w:val="22"/>
          <w:szCs w:val="22"/>
        </w:rPr>
        <w:t>ο</w:t>
      </w:r>
      <w:r w:rsidR="00041EE7" w:rsidRPr="00041EE7">
        <w:rPr>
          <w:sz w:val="22"/>
          <w:szCs w:val="22"/>
        </w:rPr>
        <w:t>γής και διαχείρισης δεδομένων για την έκδοση των αδειών διαμονής των πολιτών τρίτων χωρών,</w:t>
      </w:r>
    </w:p>
    <w:p w:rsidR="00041EE7" w:rsidRPr="00041EE7" w:rsidRDefault="007E42AD" w:rsidP="00041EE7">
      <w:pPr>
        <w:numPr>
          <w:ilvl w:val="0"/>
          <w:numId w:val="35"/>
        </w:numPr>
        <w:autoSpaceDE w:val="0"/>
        <w:autoSpaceDN w:val="0"/>
        <w:adjustRightInd w:val="0"/>
        <w:ind w:left="426"/>
        <w:jc w:val="both"/>
        <w:rPr>
          <w:sz w:val="22"/>
          <w:szCs w:val="22"/>
        </w:rPr>
      </w:pPr>
      <w:r>
        <w:rPr>
          <w:sz w:val="22"/>
          <w:szCs w:val="22"/>
        </w:rPr>
        <w:t>τ</w:t>
      </w:r>
      <w:r w:rsidR="00041EE7" w:rsidRPr="00041EE7">
        <w:rPr>
          <w:sz w:val="22"/>
          <w:szCs w:val="22"/>
        </w:rPr>
        <w:t>η λειτουργία της Αρχής Προσφυγών,</w:t>
      </w:r>
    </w:p>
    <w:p w:rsidR="00041EE7" w:rsidRPr="00041EE7" w:rsidRDefault="007E42AD" w:rsidP="00041EE7">
      <w:pPr>
        <w:numPr>
          <w:ilvl w:val="0"/>
          <w:numId w:val="35"/>
        </w:numPr>
        <w:autoSpaceDE w:val="0"/>
        <w:autoSpaceDN w:val="0"/>
        <w:adjustRightInd w:val="0"/>
        <w:ind w:left="426"/>
        <w:jc w:val="both"/>
        <w:rPr>
          <w:sz w:val="22"/>
          <w:szCs w:val="22"/>
        </w:rPr>
      </w:pPr>
      <w:r>
        <w:rPr>
          <w:sz w:val="22"/>
          <w:szCs w:val="22"/>
        </w:rPr>
        <w:t>τ</w:t>
      </w:r>
      <w:r w:rsidR="00041EE7" w:rsidRPr="00041EE7">
        <w:rPr>
          <w:sz w:val="22"/>
          <w:szCs w:val="22"/>
        </w:rPr>
        <w:t>ο</w:t>
      </w:r>
      <w:r>
        <w:rPr>
          <w:sz w:val="22"/>
          <w:szCs w:val="22"/>
        </w:rPr>
        <w:t>ν</w:t>
      </w:r>
      <w:r w:rsidR="00041EE7" w:rsidRPr="00041EE7">
        <w:rPr>
          <w:sz w:val="22"/>
          <w:szCs w:val="22"/>
        </w:rPr>
        <w:t xml:space="preserve"> συντονισμό και την αποτελεσματική δράση των υπηρεσιών υποδοχής και ταυτοποίησης και τον προσδιορισμό των αναγκών ίδρυσης και επέκτασης κέντρων υποδοχής και δομών φιλοξενίας</w:t>
      </w:r>
      <w:r>
        <w:rPr>
          <w:sz w:val="22"/>
          <w:szCs w:val="22"/>
        </w:rPr>
        <w:t>,</w:t>
      </w:r>
      <w:r w:rsidR="00041EE7" w:rsidRPr="00041EE7">
        <w:rPr>
          <w:sz w:val="22"/>
          <w:szCs w:val="22"/>
        </w:rPr>
        <w:t xml:space="preserve"> </w:t>
      </w:r>
    </w:p>
    <w:p w:rsidR="00041EE7" w:rsidRPr="00041EE7" w:rsidRDefault="007E42AD" w:rsidP="00041EE7">
      <w:pPr>
        <w:numPr>
          <w:ilvl w:val="0"/>
          <w:numId w:val="35"/>
        </w:numPr>
        <w:autoSpaceDE w:val="0"/>
        <w:autoSpaceDN w:val="0"/>
        <w:adjustRightInd w:val="0"/>
        <w:ind w:left="426"/>
        <w:jc w:val="both"/>
        <w:rPr>
          <w:sz w:val="22"/>
          <w:szCs w:val="22"/>
        </w:rPr>
      </w:pPr>
      <w:r>
        <w:rPr>
          <w:sz w:val="22"/>
          <w:szCs w:val="22"/>
        </w:rPr>
        <w:t>τ</w:t>
      </w:r>
      <w:r w:rsidR="00041EE7" w:rsidRPr="00041EE7">
        <w:rPr>
          <w:sz w:val="22"/>
          <w:szCs w:val="22"/>
        </w:rPr>
        <w:t>ο</w:t>
      </w:r>
      <w:r>
        <w:rPr>
          <w:sz w:val="22"/>
          <w:szCs w:val="22"/>
        </w:rPr>
        <w:t>ν</w:t>
      </w:r>
      <w:r w:rsidR="00041EE7" w:rsidRPr="00041EE7">
        <w:rPr>
          <w:sz w:val="22"/>
          <w:szCs w:val="22"/>
        </w:rPr>
        <w:t xml:space="preserve"> σχεδιασμό, την υλοποίηση και την εποπτεία της εθνικής στρατηγικής για την προστασία των ασυνόδευτων και των χωρ</w:t>
      </w:r>
      <w:r w:rsidR="000E02E1">
        <w:rPr>
          <w:sz w:val="22"/>
          <w:szCs w:val="22"/>
        </w:rPr>
        <w:t>ισμένων από την οικογένειά τους</w:t>
      </w:r>
      <w:r w:rsidR="00041EE7" w:rsidRPr="00041EE7">
        <w:rPr>
          <w:sz w:val="22"/>
          <w:szCs w:val="22"/>
        </w:rPr>
        <w:t xml:space="preserve"> ανηλίκων, </w:t>
      </w:r>
    </w:p>
    <w:p w:rsidR="00041EE7" w:rsidRPr="00041EE7" w:rsidRDefault="007E42AD" w:rsidP="00041EE7">
      <w:pPr>
        <w:numPr>
          <w:ilvl w:val="0"/>
          <w:numId w:val="34"/>
        </w:numPr>
        <w:autoSpaceDE w:val="0"/>
        <w:autoSpaceDN w:val="0"/>
        <w:adjustRightInd w:val="0"/>
        <w:ind w:left="426"/>
        <w:jc w:val="both"/>
        <w:rPr>
          <w:sz w:val="22"/>
          <w:szCs w:val="22"/>
        </w:rPr>
      </w:pPr>
      <w:r>
        <w:rPr>
          <w:sz w:val="22"/>
          <w:szCs w:val="22"/>
        </w:rPr>
        <w:t>τ</w:t>
      </w:r>
      <w:r w:rsidR="00041EE7" w:rsidRPr="00041EE7">
        <w:rPr>
          <w:sz w:val="22"/>
          <w:szCs w:val="22"/>
        </w:rPr>
        <w:t>ην πιστοποίηση και τον έλεγχο Νομικών Προσώπων Ιδιωτικού Δικαίου (ΝΠΙΔ) μη κερδοσκοπ</w:t>
      </w:r>
      <w:r w:rsidR="00041EE7" w:rsidRPr="00041EE7">
        <w:rPr>
          <w:sz w:val="22"/>
          <w:szCs w:val="22"/>
        </w:rPr>
        <w:t>ι</w:t>
      </w:r>
      <w:r w:rsidR="00041EE7" w:rsidRPr="00041EE7">
        <w:rPr>
          <w:sz w:val="22"/>
          <w:szCs w:val="22"/>
        </w:rPr>
        <w:t xml:space="preserve">κού Χαρακτήρα και Μη Κυβερνητικών Οργανώσεων, </w:t>
      </w:r>
    </w:p>
    <w:p w:rsidR="00041EE7" w:rsidRPr="00041EE7" w:rsidRDefault="007E42AD" w:rsidP="00041EE7">
      <w:pPr>
        <w:numPr>
          <w:ilvl w:val="0"/>
          <w:numId w:val="34"/>
        </w:numPr>
        <w:autoSpaceDE w:val="0"/>
        <w:autoSpaceDN w:val="0"/>
        <w:adjustRightInd w:val="0"/>
        <w:ind w:left="426"/>
        <w:jc w:val="both"/>
        <w:rPr>
          <w:sz w:val="22"/>
          <w:szCs w:val="22"/>
        </w:rPr>
      </w:pPr>
      <w:r>
        <w:rPr>
          <w:sz w:val="22"/>
          <w:szCs w:val="22"/>
        </w:rPr>
        <w:t>τ</w:t>
      </w:r>
      <w:r w:rsidR="00041EE7" w:rsidRPr="00041EE7">
        <w:rPr>
          <w:sz w:val="22"/>
          <w:szCs w:val="22"/>
        </w:rPr>
        <w:t>ην παροχή προστασίας των αιτούντων και των ατόμων που διαπιστωμένα χρήζουν διεθνούς προ</w:t>
      </w:r>
      <w:r>
        <w:rPr>
          <w:sz w:val="22"/>
          <w:szCs w:val="22"/>
        </w:rPr>
        <w:t>στασίας και</w:t>
      </w:r>
    </w:p>
    <w:p w:rsidR="00041EE7" w:rsidRDefault="007E42AD" w:rsidP="00041EE7">
      <w:pPr>
        <w:numPr>
          <w:ilvl w:val="0"/>
          <w:numId w:val="34"/>
        </w:numPr>
        <w:autoSpaceDE w:val="0"/>
        <w:autoSpaceDN w:val="0"/>
        <w:adjustRightInd w:val="0"/>
        <w:ind w:left="426"/>
        <w:jc w:val="both"/>
        <w:rPr>
          <w:sz w:val="22"/>
          <w:szCs w:val="22"/>
        </w:rPr>
      </w:pPr>
      <w:r>
        <w:rPr>
          <w:sz w:val="22"/>
          <w:szCs w:val="22"/>
        </w:rPr>
        <w:t>τ</w:t>
      </w:r>
      <w:r w:rsidR="00041EE7" w:rsidRPr="00041EE7">
        <w:rPr>
          <w:sz w:val="22"/>
          <w:szCs w:val="22"/>
        </w:rPr>
        <w:t>η στήριξη των τοπικών κοινωνιών που επιβαρύνονται από τη λειτουργία μονάδων φιλοξενίας.</w:t>
      </w:r>
    </w:p>
    <w:p w:rsidR="002D1EEC" w:rsidRDefault="002D1EEC" w:rsidP="002D1EEC">
      <w:pPr>
        <w:autoSpaceDE w:val="0"/>
        <w:autoSpaceDN w:val="0"/>
        <w:adjustRightInd w:val="0"/>
        <w:ind w:left="66"/>
        <w:jc w:val="both"/>
        <w:rPr>
          <w:sz w:val="22"/>
          <w:szCs w:val="22"/>
        </w:rPr>
      </w:pPr>
    </w:p>
    <w:p w:rsidR="002D1EEC" w:rsidRPr="002D1EEC" w:rsidRDefault="002D1EEC" w:rsidP="002D1EEC">
      <w:pPr>
        <w:autoSpaceDE w:val="0"/>
        <w:autoSpaceDN w:val="0"/>
        <w:adjustRightInd w:val="0"/>
        <w:ind w:left="66"/>
        <w:jc w:val="both"/>
        <w:rPr>
          <w:sz w:val="22"/>
          <w:szCs w:val="22"/>
        </w:rPr>
      </w:pPr>
      <w:r w:rsidRPr="002D1EEC">
        <w:rPr>
          <w:sz w:val="22"/>
          <w:szCs w:val="22"/>
        </w:rPr>
        <w:t>Το νεοσυσταθέν Υπουργείο ανέλαβε το μεγαλύτερο μέρος των έργων με αντικείμενο το</w:t>
      </w:r>
      <w:r>
        <w:rPr>
          <w:sz w:val="22"/>
          <w:szCs w:val="22"/>
        </w:rPr>
        <w:t>ν</w:t>
      </w:r>
      <w:r w:rsidRPr="002D1EEC">
        <w:rPr>
          <w:sz w:val="22"/>
          <w:szCs w:val="22"/>
        </w:rPr>
        <w:t xml:space="preserve"> μεταν</w:t>
      </w:r>
      <w:r w:rsidRPr="002D1EEC">
        <w:rPr>
          <w:sz w:val="22"/>
          <w:szCs w:val="22"/>
        </w:rPr>
        <w:t>α</w:t>
      </w:r>
      <w:r w:rsidRPr="002D1EEC">
        <w:rPr>
          <w:sz w:val="22"/>
          <w:szCs w:val="22"/>
        </w:rPr>
        <w:t>στευτικό τομέα, τα</w:t>
      </w:r>
      <w:r>
        <w:rPr>
          <w:sz w:val="22"/>
          <w:szCs w:val="22"/>
        </w:rPr>
        <w:t xml:space="preserve"> οποία μέχρι το 2019 εντάσσονταν</w:t>
      </w:r>
      <w:r w:rsidRPr="002D1EEC">
        <w:rPr>
          <w:sz w:val="22"/>
          <w:szCs w:val="22"/>
        </w:rPr>
        <w:t xml:space="preserve"> στο Υπουργείο Προστασίας του Πολίτη.</w:t>
      </w:r>
    </w:p>
    <w:p w:rsidR="002D1EEC" w:rsidRPr="002D1EEC" w:rsidRDefault="002D1EEC" w:rsidP="002D1EEC">
      <w:pPr>
        <w:autoSpaceDE w:val="0"/>
        <w:autoSpaceDN w:val="0"/>
        <w:adjustRightInd w:val="0"/>
        <w:ind w:left="66"/>
        <w:jc w:val="both"/>
        <w:rPr>
          <w:b/>
          <w:sz w:val="22"/>
          <w:szCs w:val="22"/>
        </w:rPr>
      </w:pPr>
      <w:r w:rsidRPr="002D1EEC">
        <w:rPr>
          <w:sz w:val="22"/>
          <w:szCs w:val="22"/>
        </w:rPr>
        <w:t xml:space="preserve">Το σύνολο των δαπανών του Υπουργείου στο ΠΔΕ έτους 2021 </w:t>
      </w:r>
      <w:r>
        <w:rPr>
          <w:sz w:val="22"/>
          <w:szCs w:val="22"/>
        </w:rPr>
        <w:t>προβλέπεται να ανέλθει στα</w:t>
      </w:r>
      <w:r w:rsidRPr="002D1EEC">
        <w:rPr>
          <w:sz w:val="22"/>
          <w:szCs w:val="22"/>
        </w:rPr>
        <w:t xml:space="preserve"> 31 εκατ. ευρώ.</w:t>
      </w:r>
    </w:p>
    <w:p w:rsidR="00FB60E3" w:rsidRPr="00960593" w:rsidRDefault="00FB60E3" w:rsidP="00041EE7">
      <w:pPr>
        <w:autoSpaceDE w:val="0"/>
        <w:autoSpaceDN w:val="0"/>
        <w:adjustRightInd w:val="0"/>
        <w:jc w:val="both"/>
        <w:rPr>
          <w:rFonts w:ascii="Arial Narrow" w:hAnsi="Arial Narrow"/>
          <w:sz w:val="22"/>
          <w:szCs w:val="22"/>
          <w:highlight w:val="yellow"/>
        </w:rPr>
      </w:pPr>
    </w:p>
    <w:p w:rsidR="00041EE7" w:rsidRPr="00041EE7" w:rsidRDefault="00041EE7" w:rsidP="00041EE7">
      <w:pPr>
        <w:tabs>
          <w:tab w:val="left" w:pos="3720"/>
        </w:tabs>
        <w:rPr>
          <w:rFonts w:ascii="Arial Narrow" w:hAnsi="Arial Narrow"/>
          <w:b/>
          <w:i/>
          <w:sz w:val="22"/>
          <w:szCs w:val="22"/>
        </w:rPr>
      </w:pPr>
      <w:r w:rsidRPr="00041EE7">
        <w:rPr>
          <w:rFonts w:ascii="Arial Narrow" w:hAnsi="Arial Narrow"/>
          <w:b/>
          <w:i/>
          <w:sz w:val="22"/>
          <w:szCs w:val="22"/>
        </w:rPr>
        <w:t>Αποκεντρωμένες Διοικήσεις</w:t>
      </w:r>
    </w:p>
    <w:p w:rsidR="00041EE7" w:rsidRPr="00041EE7" w:rsidRDefault="00041EE7" w:rsidP="00041EE7">
      <w:pPr>
        <w:jc w:val="both"/>
        <w:rPr>
          <w:sz w:val="22"/>
          <w:szCs w:val="22"/>
        </w:rPr>
      </w:pPr>
    </w:p>
    <w:p w:rsidR="00041EE7" w:rsidRDefault="00041EE7" w:rsidP="00041EE7">
      <w:pPr>
        <w:jc w:val="both"/>
        <w:rPr>
          <w:sz w:val="22"/>
          <w:szCs w:val="22"/>
        </w:rPr>
      </w:pPr>
      <w:r w:rsidRPr="00041EE7">
        <w:rPr>
          <w:sz w:val="22"/>
          <w:szCs w:val="22"/>
        </w:rPr>
        <w:t>Οι πιστώσεις του τακτικού προϋπολογισμού των Αποκεντρωμένων Διοικήσεων προβλέπεται μεταξύ άλλων να καλύψουν δαπάνες για:</w:t>
      </w:r>
    </w:p>
    <w:p w:rsidR="007E42AD" w:rsidRPr="00041EE7" w:rsidRDefault="007E42AD" w:rsidP="00041EE7">
      <w:pPr>
        <w:jc w:val="both"/>
        <w:rPr>
          <w:sz w:val="22"/>
          <w:szCs w:val="22"/>
        </w:rPr>
      </w:pPr>
    </w:p>
    <w:p w:rsidR="00041EE7" w:rsidRPr="00041EE7" w:rsidRDefault="00041EE7" w:rsidP="001C3CFC">
      <w:pPr>
        <w:numPr>
          <w:ilvl w:val="0"/>
          <w:numId w:val="33"/>
        </w:numPr>
        <w:ind w:left="284" w:hanging="284"/>
        <w:jc w:val="both"/>
        <w:rPr>
          <w:sz w:val="22"/>
          <w:szCs w:val="22"/>
        </w:rPr>
      </w:pPr>
      <w:r w:rsidRPr="00041EE7">
        <w:rPr>
          <w:sz w:val="22"/>
          <w:szCs w:val="22"/>
        </w:rPr>
        <w:t>τις υπηρεσίες που αφορούν σε θέμ</w:t>
      </w:r>
      <w:r w:rsidR="000E02E1">
        <w:rPr>
          <w:sz w:val="22"/>
          <w:szCs w:val="22"/>
        </w:rPr>
        <w:t>ατα αλλοδαπών και μετανάστευσης</w:t>
      </w:r>
      <w:r w:rsidRPr="00041EE7">
        <w:rPr>
          <w:sz w:val="22"/>
          <w:szCs w:val="22"/>
        </w:rPr>
        <w:t xml:space="preserve"> και</w:t>
      </w:r>
    </w:p>
    <w:p w:rsidR="00041EE7" w:rsidRPr="00041EE7" w:rsidRDefault="00041EE7" w:rsidP="001C3CFC">
      <w:pPr>
        <w:numPr>
          <w:ilvl w:val="0"/>
          <w:numId w:val="33"/>
        </w:numPr>
        <w:ind w:left="284" w:hanging="284"/>
        <w:jc w:val="both"/>
        <w:rPr>
          <w:sz w:val="22"/>
          <w:szCs w:val="22"/>
        </w:rPr>
      </w:pPr>
      <w:r w:rsidRPr="00041EE7">
        <w:rPr>
          <w:sz w:val="22"/>
          <w:szCs w:val="22"/>
        </w:rPr>
        <w:t>τη χωροταξία, την περιβαλλοντική πολιτική και την εποπτεία</w:t>
      </w:r>
      <w:r w:rsidR="000E02E1">
        <w:rPr>
          <w:sz w:val="22"/>
          <w:szCs w:val="22"/>
        </w:rPr>
        <w:t>,</w:t>
      </w:r>
      <w:r w:rsidRPr="00041EE7">
        <w:rPr>
          <w:sz w:val="22"/>
          <w:szCs w:val="22"/>
        </w:rPr>
        <w:t xml:space="preserve"> καθώς και την προστασία και εκμ</w:t>
      </w:r>
      <w:r w:rsidRPr="00041EE7">
        <w:rPr>
          <w:sz w:val="22"/>
          <w:szCs w:val="22"/>
        </w:rPr>
        <w:t>ε</w:t>
      </w:r>
      <w:r w:rsidRPr="00041EE7">
        <w:rPr>
          <w:sz w:val="22"/>
          <w:szCs w:val="22"/>
        </w:rPr>
        <w:t>τάλλευση των δασών.</w:t>
      </w:r>
    </w:p>
    <w:p w:rsidR="00871C93" w:rsidRDefault="00871C93" w:rsidP="00853402">
      <w:pPr>
        <w:ind w:right="-1"/>
        <w:rPr>
          <w:sz w:val="22"/>
          <w:szCs w:val="22"/>
          <w:highlight w:val="lightGray"/>
        </w:rPr>
      </w:pPr>
    </w:p>
    <w:p w:rsidR="00871C93" w:rsidRDefault="00871C93" w:rsidP="00853402">
      <w:pPr>
        <w:ind w:right="-1"/>
        <w:rPr>
          <w:sz w:val="22"/>
          <w:szCs w:val="22"/>
          <w:highlight w:val="lightGray"/>
        </w:rPr>
      </w:pPr>
    </w:p>
    <w:p w:rsidR="00FB60E3" w:rsidRDefault="00FB60E3">
      <w:pPr>
        <w:rPr>
          <w:sz w:val="22"/>
          <w:szCs w:val="22"/>
          <w:highlight w:val="lightGray"/>
        </w:rPr>
      </w:pPr>
    </w:p>
    <w:p w:rsidR="00871C93" w:rsidRDefault="00871C93" w:rsidP="00853402">
      <w:pPr>
        <w:ind w:right="-1"/>
        <w:rPr>
          <w:sz w:val="22"/>
          <w:szCs w:val="22"/>
          <w:highlight w:val="lightGray"/>
        </w:rPr>
      </w:pPr>
    </w:p>
    <w:p w:rsidR="00871C93" w:rsidRDefault="00871C93" w:rsidP="00853402">
      <w:pPr>
        <w:ind w:right="-1"/>
        <w:rPr>
          <w:sz w:val="22"/>
          <w:szCs w:val="22"/>
          <w:highlight w:val="lightGray"/>
        </w:rPr>
      </w:pPr>
    </w:p>
    <w:p w:rsidR="00871C93" w:rsidRDefault="00871C93" w:rsidP="00853402">
      <w:pPr>
        <w:ind w:right="-1"/>
        <w:rPr>
          <w:sz w:val="22"/>
          <w:szCs w:val="22"/>
          <w:highlight w:val="lightGray"/>
        </w:rPr>
      </w:pPr>
    </w:p>
    <w:p w:rsidR="00871C93" w:rsidRDefault="00871C93" w:rsidP="00853402">
      <w:pPr>
        <w:ind w:right="-1"/>
        <w:rPr>
          <w:sz w:val="22"/>
          <w:szCs w:val="22"/>
          <w:highlight w:val="lightGray"/>
        </w:rPr>
      </w:pPr>
    </w:p>
    <w:p w:rsidR="00871C93" w:rsidRDefault="00871C93" w:rsidP="00853402">
      <w:pPr>
        <w:ind w:right="-1"/>
        <w:rPr>
          <w:sz w:val="22"/>
          <w:szCs w:val="22"/>
          <w:highlight w:val="lightGray"/>
        </w:rPr>
      </w:pPr>
    </w:p>
    <w:p w:rsidR="00FB60E3" w:rsidRDefault="00FB60E3">
      <w:pPr>
        <w:rPr>
          <w:sz w:val="22"/>
          <w:szCs w:val="22"/>
          <w:highlight w:val="lightGray"/>
        </w:rPr>
      </w:pPr>
      <w:r>
        <w:rPr>
          <w:sz w:val="22"/>
          <w:szCs w:val="22"/>
          <w:highlight w:val="lightGray"/>
        </w:rPr>
        <w:br w:type="page"/>
      </w:r>
    </w:p>
    <w:p w:rsidR="00CD41E5" w:rsidRPr="000574DA" w:rsidRDefault="00CD41E5" w:rsidP="00CD41E5">
      <w:pPr>
        <w:rPr>
          <w:sz w:val="22"/>
          <w:szCs w:val="22"/>
          <w:highlight w:val="lightGray"/>
        </w:rPr>
      </w:pPr>
    </w:p>
    <w:p w:rsidR="00CD41E5" w:rsidRPr="0063065A" w:rsidRDefault="00CD41E5" w:rsidP="00CD41E5">
      <w:pPr>
        <w:shd w:val="clear" w:color="auto" w:fill="595959"/>
        <w:jc w:val="both"/>
        <w:rPr>
          <w:rFonts w:ascii="Arial Narrow" w:hAnsi="Arial Narrow"/>
          <w:b/>
          <w:color w:val="FFFFFF"/>
          <w:sz w:val="26"/>
          <w:szCs w:val="22"/>
        </w:rPr>
      </w:pPr>
      <w:r>
        <w:rPr>
          <w:rFonts w:ascii="Arial Narrow" w:hAnsi="Arial Narrow"/>
          <w:b/>
          <w:color w:val="FFFFFF"/>
          <w:sz w:val="26"/>
          <w:szCs w:val="22"/>
        </w:rPr>
        <w:t>5</w:t>
      </w:r>
      <w:r w:rsidRPr="0063065A">
        <w:rPr>
          <w:rFonts w:ascii="Arial Narrow" w:hAnsi="Arial Narrow"/>
          <w:b/>
          <w:color w:val="FFFFFF"/>
          <w:sz w:val="26"/>
          <w:szCs w:val="22"/>
        </w:rPr>
        <w:t>.</w:t>
      </w:r>
      <w:r w:rsidRPr="0063065A">
        <w:rPr>
          <w:rFonts w:ascii="Arial Narrow" w:hAnsi="Arial Narrow"/>
          <w:b/>
          <w:color w:val="FFFFFF"/>
          <w:sz w:val="26"/>
          <w:szCs w:val="22"/>
        </w:rPr>
        <w:tab/>
        <w:t xml:space="preserve">Νομικά Πρόσωπα </w:t>
      </w:r>
      <w:r>
        <w:rPr>
          <w:rFonts w:ascii="Arial Narrow" w:hAnsi="Arial Narrow"/>
          <w:b/>
          <w:color w:val="FFFFFF"/>
          <w:sz w:val="26"/>
          <w:szCs w:val="22"/>
        </w:rPr>
        <w:t>Κεντρικής Κυβέρνησης</w:t>
      </w:r>
      <w:r>
        <w:rPr>
          <w:rFonts w:ascii="Arial Narrow" w:hAnsi="Arial Narrow"/>
          <w:b/>
          <w:color w:val="FFFFFF"/>
          <w:sz w:val="26"/>
          <w:szCs w:val="22"/>
        </w:rPr>
        <w:tab/>
      </w:r>
    </w:p>
    <w:p w:rsidR="00CD41E5" w:rsidRDefault="00CD41E5" w:rsidP="00CD41E5">
      <w:pPr>
        <w:jc w:val="both"/>
        <w:rPr>
          <w:b/>
          <w:sz w:val="22"/>
          <w:szCs w:val="22"/>
        </w:rPr>
      </w:pPr>
    </w:p>
    <w:p w:rsidR="00CD41E5" w:rsidRDefault="00CD41E5" w:rsidP="00CD41E5">
      <w:pPr>
        <w:jc w:val="both"/>
        <w:rPr>
          <w:b/>
          <w:sz w:val="22"/>
          <w:szCs w:val="22"/>
        </w:rPr>
      </w:pPr>
    </w:p>
    <w:p w:rsidR="00CD41E5" w:rsidRPr="00E36FE7" w:rsidRDefault="00CD41E5" w:rsidP="00CD41E5">
      <w:pPr>
        <w:shd w:val="clear" w:color="auto" w:fill="BFBFBF" w:themeFill="background1" w:themeFillShade="BF"/>
        <w:jc w:val="both"/>
        <w:rPr>
          <w:rFonts w:ascii="Arial Narrow" w:hAnsi="Arial Narrow"/>
          <w:b/>
          <w:szCs w:val="22"/>
        </w:rPr>
      </w:pPr>
      <w:r>
        <w:rPr>
          <w:rFonts w:ascii="Arial Narrow" w:hAnsi="Arial Narrow"/>
          <w:b/>
          <w:szCs w:val="22"/>
        </w:rPr>
        <w:t>5</w:t>
      </w:r>
      <w:r w:rsidRPr="00E36FE7">
        <w:rPr>
          <w:rFonts w:ascii="Arial Narrow" w:hAnsi="Arial Narrow"/>
          <w:b/>
          <w:szCs w:val="22"/>
        </w:rPr>
        <w:t>.1</w:t>
      </w:r>
      <w:r w:rsidRPr="00E36FE7">
        <w:rPr>
          <w:rFonts w:ascii="Arial Narrow" w:hAnsi="Arial Narrow"/>
          <w:b/>
          <w:szCs w:val="22"/>
        </w:rPr>
        <w:tab/>
      </w:r>
      <w:r>
        <w:rPr>
          <w:rFonts w:ascii="Arial Narrow" w:hAnsi="Arial Narrow"/>
          <w:b/>
          <w:szCs w:val="22"/>
        </w:rPr>
        <w:t xml:space="preserve">Λοιπά νομικά πρόσωπα </w:t>
      </w:r>
    </w:p>
    <w:p w:rsidR="00CD41E5" w:rsidRDefault="00CD41E5" w:rsidP="00CD41E5">
      <w:pPr>
        <w:jc w:val="both"/>
        <w:rPr>
          <w:b/>
          <w:sz w:val="22"/>
          <w:szCs w:val="22"/>
        </w:rPr>
      </w:pPr>
    </w:p>
    <w:p w:rsidR="004618CD" w:rsidRPr="00A77319" w:rsidRDefault="004618CD" w:rsidP="004618CD">
      <w:pPr>
        <w:jc w:val="both"/>
        <w:rPr>
          <w:sz w:val="22"/>
          <w:szCs w:val="22"/>
        </w:rPr>
      </w:pPr>
      <w:r w:rsidRPr="00A77319">
        <w:rPr>
          <w:sz w:val="22"/>
          <w:szCs w:val="22"/>
        </w:rPr>
        <w:t xml:space="preserve">Ο προϋπολογισμός των λοιπών νομικών προσώπων </w:t>
      </w:r>
      <w:r w:rsidRPr="006D58F6">
        <w:rPr>
          <w:sz w:val="22"/>
          <w:szCs w:val="22"/>
        </w:rPr>
        <w:t xml:space="preserve">της Κεντρικής Κυβέρνησης απεικονίζεται στους πίνακες </w:t>
      </w:r>
      <w:r w:rsidR="006D58F6" w:rsidRPr="006D58F6">
        <w:rPr>
          <w:sz w:val="22"/>
          <w:szCs w:val="22"/>
        </w:rPr>
        <w:t>3.17, 3.18, 3.19 και 3.20</w:t>
      </w:r>
      <w:r w:rsidRPr="006D58F6">
        <w:rPr>
          <w:sz w:val="22"/>
          <w:szCs w:val="22"/>
        </w:rPr>
        <w:t>.</w:t>
      </w:r>
    </w:p>
    <w:p w:rsidR="004618CD" w:rsidRDefault="004618CD" w:rsidP="004618CD">
      <w:pPr>
        <w:jc w:val="both"/>
        <w:rPr>
          <w:sz w:val="22"/>
          <w:szCs w:val="22"/>
        </w:rPr>
      </w:pPr>
    </w:p>
    <w:p w:rsidR="00AA531D" w:rsidRPr="0063065A" w:rsidRDefault="00AA531D" w:rsidP="00AA531D">
      <w:pPr>
        <w:jc w:val="both"/>
        <w:rPr>
          <w:b/>
          <w:sz w:val="22"/>
          <w:szCs w:val="22"/>
        </w:rPr>
      </w:pPr>
    </w:p>
    <w:tbl>
      <w:tblPr>
        <w:tblW w:w="0" w:type="auto"/>
        <w:jc w:val="center"/>
        <w:tblLayout w:type="fixed"/>
        <w:tblCellMar>
          <w:left w:w="30" w:type="dxa"/>
          <w:right w:w="30" w:type="dxa"/>
        </w:tblCellMar>
        <w:tblLook w:val="0000"/>
      </w:tblPr>
      <w:tblGrid>
        <w:gridCol w:w="4882"/>
        <w:gridCol w:w="1934"/>
        <w:gridCol w:w="1934"/>
      </w:tblGrid>
      <w:tr w:rsidR="00AA531D" w:rsidRPr="00E820AC" w:rsidTr="003C4CB4">
        <w:trPr>
          <w:trHeight w:val="887"/>
          <w:jc w:val="center"/>
        </w:trPr>
        <w:tc>
          <w:tcPr>
            <w:tcW w:w="8750" w:type="dxa"/>
            <w:gridSpan w:val="3"/>
            <w:tcBorders>
              <w:top w:val="single" w:sz="6" w:space="0" w:color="auto"/>
              <w:left w:val="single" w:sz="6" w:space="0" w:color="auto"/>
              <w:bottom w:val="nil"/>
              <w:right w:val="single" w:sz="6" w:space="0" w:color="auto"/>
            </w:tcBorders>
            <w:shd w:val="clear" w:color="auto" w:fill="404040" w:themeFill="text1" w:themeFillTint="BF"/>
          </w:tcPr>
          <w:p w:rsidR="00AA531D" w:rsidRPr="007921AC" w:rsidRDefault="006D58F6" w:rsidP="003C4CB4">
            <w:pPr>
              <w:autoSpaceDE w:val="0"/>
              <w:autoSpaceDN w:val="0"/>
              <w:adjustRightInd w:val="0"/>
              <w:jc w:val="center"/>
              <w:rPr>
                <w:rFonts w:ascii="Arial Narrow" w:eastAsiaTheme="minorHAnsi" w:hAnsi="Arial Narrow" w:cs="Calibri"/>
                <w:b/>
                <w:color w:val="FFFFFF"/>
                <w:szCs w:val="28"/>
                <w:lang w:eastAsia="en-US"/>
              </w:rPr>
            </w:pPr>
            <w:r>
              <w:rPr>
                <w:rFonts w:ascii="Arial Narrow" w:eastAsiaTheme="minorHAnsi" w:hAnsi="Arial Narrow" w:cs="Calibri"/>
                <w:b/>
                <w:color w:val="FFFFFF"/>
                <w:szCs w:val="28"/>
                <w:lang w:eastAsia="en-US"/>
              </w:rPr>
              <w:t>Πίνακας 3.17</w:t>
            </w:r>
            <w:r w:rsidR="00AA531D">
              <w:rPr>
                <w:rFonts w:ascii="Arial Narrow" w:eastAsiaTheme="minorHAnsi" w:hAnsi="Arial Narrow" w:cs="Calibri"/>
                <w:b/>
                <w:color w:val="FFFFFF"/>
                <w:szCs w:val="28"/>
                <w:lang w:eastAsia="en-US"/>
              </w:rPr>
              <w:t xml:space="preserve"> </w:t>
            </w:r>
            <w:r w:rsidR="00AA531D" w:rsidRPr="007921AC">
              <w:rPr>
                <w:rFonts w:ascii="Arial Narrow" w:eastAsiaTheme="minorHAnsi" w:hAnsi="Arial Narrow" w:cs="Calibri"/>
                <w:b/>
                <w:color w:val="FFFFFF"/>
                <w:szCs w:val="28"/>
                <w:lang w:eastAsia="en-US"/>
              </w:rPr>
              <w:t xml:space="preserve"> Προϋπολογισμός </w:t>
            </w:r>
            <w:r w:rsidR="00AA531D" w:rsidRPr="00156075">
              <w:rPr>
                <w:rFonts w:ascii="Arial Narrow" w:eastAsiaTheme="minorHAnsi" w:hAnsi="Arial Narrow" w:cs="Calibri"/>
                <w:b/>
                <w:color w:val="FFFFFF" w:themeColor="background1"/>
                <w:szCs w:val="28"/>
                <w:lang w:eastAsia="en-US"/>
              </w:rPr>
              <w:t>λοιπών</w:t>
            </w:r>
            <w:r w:rsidR="00AA531D">
              <w:rPr>
                <w:rFonts w:ascii="Arial Narrow" w:eastAsiaTheme="minorHAnsi" w:hAnsi="Arial Narrow" w:cs="Calibri"/>
                <w:b/>
                <w:color w:val="FFFFFF"/>
                <w:szCs w:val="28"/>
                <w:lang w:eastAsia="en-US"/>
              </w:rPr>
              <w:t xml:space="preserve"> </w:t>
            </w:r>
            <w:r w:rsidR="00AA531D" w:rsidRPr="007921AC">
              <w:rPr>
                <w:rFonts w:ascii="Arial Narrow" w:eastAsiaTheme="minorHAnsi" w:hAnsi="Arial Narrow" w:cs="Calibri"/>
                <w:b/>
                <w:color w:val="FFFFFF"/>
                <w:szCs w:val="28"/>
                <w:lang w:eastAsia="en-US"/>
              </w:rPr>
              <w:t>νομικών προσώπων</w:t>
            </w:r>
          </w:p>
          <w:p w:rsidR="00AA531D" w:rsidRPr="007921AC" w:rsidRDefault="00AA531D" w:rsidP="003C4CB4">
            <w:pPr>
              <w:autoSpaceDE w:val="0"/>
              <w:autoSpaceDN w:val="0"/>
              <w:adjustRightInd w:val="0"/>
              <w:jc w:val="center"/>
              <w:rPr>
                <w:rFonts w:ascii="Arial Narrow" w:eastAsiaTheme="minorHAnsi" w:hAnsi="Arial Narrow" w:cs="Calibri"/>
                <w:b/>
                <w:color w:val="FFFFFF"/>
                <w:szCs w:val="28"/>
                <w:lang w:eastAsia="en-US"/>
              </w:rPr>
            </w:pPr>
            <w:r>
              <w:rPr>
                <w:rFonts w:ascii="Arial Narrow" w:eastAsiaTheme="minorHAnsi" w:hAnsi="Arial Narrow" w:cs="Calibri"/>
                <w:b/>
                <w:color w:val="FFFFFF"/>
                <w:szCs w:val="28"/>
                <w:lang w:eastAsia="en-US"/>
              </w:rPr>
              <w:t>Κεντρικής</w:t>
            </w:r>
            <w:r w:rsidRPr="007921AC">
              <w:rPr>
                <w:rFonts w:ascii="Arial Narrow" w:eastAsiaTheme="minorHAnsi" w:hAnsi="Arial Narrow" w:cs="Calibri"/>
                <w:b/>
                <w:color w:val="FFFFFF"/>
                <w:szCs w:val="28"/>
                <w:lang w:eastAsia="en-US"/>
              </w:rPr>
              <w:t xml:space="preserve"> Κυβέρνησης (περιλαμβάνονται </w:t>
            </w:r>
            <w:r>
              <w:rPr>
                <w:rFonts w:ascii="Arial Narrow" w:eastAsiaTheme="minorHAnsi" w:hAnsi="Arial Narrow" w:cs="Calibri"/>
                <w:b/>
                <w:color w:val="FFFFFF"/>
                <w:szCs w:val="28"/>
                <w:lang w:eastAsia="en-US"/>
              </w:rPr>
              <w:t xml:space="preserve">οι </w:t>
            </w:r>
            <w:r w:rsidRPr="007921AC">
              <w:rPr>
                <w:rFonts w:ascii="Arial Narrow" w:eastAsiaTheme="minorHAnsi" w:hAnsi="Arial Narrow" w:cs="Calibri"/>
                <w:b/>
                <w:color w:val="FFFFFF"/>
                <w:szCs w:val="28"/>
                <w:lang w:eastAsia="en-US"/>
              </w:rPr>
              <w:t xml:space="preserve">ΑΔΑ και </w:t>
            </w:r>
            <w:r>
              <w:rPr>
                <w:rFonts w:ascii="Arial Narrow" w:eastAsiaTheme="minorHAnsi" w:hAnsi="Arial Narrow" w:cs="Calibri"/>
                <w:b/>
                <w:color w:val="FFFFFF"/>
                <w:szCs w:val="28"/>
                <w:lang w:eastAsia="en-US"/>
              </w:rPr>
              <w:t xml:space="preserve">το </w:t>
            </w:r>
            <w:r w:rsidRPr="007921AC">
              <w:rPr>
                <w:rFonts w:ascii="Arial Narrow" w:eastAsiaTheme="minorHAnsi" w:hAnsi="Arial Narrow" w:cs="Calibri"/>
                <w:b/>
                <w:color w:val="FFFFFF"/>
                <w:szCs w:val="28"/>
                <w:lang w:eastAsia="en-US"/>
              </w:rPr>
              <w:t>ΑΚΑΓΕ)</w:t>
            </w:r>
          </w:p>
          <w:p w:rsidR="00AA531D" w:rsidRPr="007921AC" w:rsidRDefault="00AA531D" w:rsidP="003C4CB4">
            <w:pPr>
              <w:autoSpaceDE w:val="0"/>
              <w:autoSpaceDN w:val="0"/>
              <w:adjustRightInd w:val="0"/>
              <w:jc w:val="center"/>
              <w:rPr>
                <w:rFonts w:ascii="Calibri" w:eastAsiaTheme="minorHAnsi" w:hAnsi="Calibri" w:cs="Calibri"/>
                <w:b/>
                <w:color w:val="FFFFFF"/>
                <w:szCs w:val="28"/>
                <w:lang w:eastAsia="en-US"/>
              </w:rPr>
            </w:pPr>
            <w:r w:rsidRPr="007921AC">
              <w:rPr>
                <w:rFonts w:ascii="Arial Narrow" w:eastAsiaTheme="minorHAnsi" w:hAnsi="Arial Narrow" w:cs="Calibri"/>
                <w:b/>
                <w:color w:val="FFFFFF"/>
                <w:szCs w:val="28"/>
                <w:lang w:eastAsia="en-US"/>
              </w:rPr>
              <w:t>(σε εκατ. ευρώ)</w:t>
            </w:r>
          </w:p>
        </w:tc>
      </w:tr>
      <w:tr w:rsidR="00AA531D" w:rsidRPr="00E820AC" w:rsidTr="003C4CB4">
        <w:trPr>
          <w:trHeight w:val="227"/>
          <w:jc w:val="center"/>
        </w:trPr>
        <w:tc>
          <w:tcPr>
            <w:tcW w:w="4882" w:type="dxa"/>
            <w:tcBorders>
              <w:top w:val="nil"/>
              <w:left w:val="single" w:sz="6" w:space="0" w:color="auto"/>
              <w:bottom w:val="single" w:sz="6" w:space="0" w:color="auto"/>
              <w:right w:val="nil"/>
            </w:tcBorders>
            <w:shd w:val="solid" w:color="FFFFFF" w:fill="auto"/>
          </w:tcPr>
          <w:p w:rsidR="00AA531D" w:rsidRPr="00E820AC" w:rsidRDefault="00AA531D" w:rsidP="003C4CB4">
            <w:pPr>
              <w:autoSpaceDE w:val="0"/>
              <w:autoSpaceDN w:val="0"/>
              <w:adjustRightInd w:val="0"/>
              <w:jc w:val="right"/>
              <w:rPr>
                <w:rFonts w:ascii="Calibri" w:eastAsiaTheme="minorHAnsi" w:hAnsi="Calibri" w:cs="Calibri"/>
                <w:color w:val="000000"/>
                <w:sz w:val="22"/>
                <w:szCs w:val="22"/>
                <w:lang w:eastAsia="en-US"/>
              </w:rPr>
            </w:pPr>
          </w:p>
        </w:tc>
        <w:tc>
          <w:tcPr>
            <w:tcW w:w="1934" w:type="dxa"/>
            <w:tcBorders>
              <w:top w:val="nil"/>
              <w:left w:val="nil"/>
              <w:bottom w:val="single" w:sz="6" w:space="0" w:color="auto"/>
              <w:right w:val="nil"/>
            </w:tcBorders>
            <w:shd w:val="solid" w:color="FFFFFF" w:fill="auto"/>
          </w:tcPr>
          <w:p w:rsidR="00AA531D" w:rsidRPr="00E820AC" w:rsidRDefault="00AA531D" w:rsidP="003C4CB4">
            <w:pPr>
              <w:autoSpaceDE w:val="0"/>
              <w:autoSpaceDN w:val="0"/>
              <w:adjustRightInd w:val="0"/>
              <w:jc w:val="right"/>
              <w:rPr>
                <w:rFonts w:ascii="Calibri" w:eastAsiaTheme="minorHAnsi" w:hAnsi="Calibri" w:cs="Calibri"/>
                <w:color w:val="000000"/>
                <w:sz w:val="22"/>
                <w:szCs w:val="22"/>
                <w:lang w:eastAsia="en-US"/>
              </w:rPr>
            </w:pPr>
          </w:p>
        </w:tc>
        <w:tc>
          <w:tcPr>
            <w:tcW w:w="1934" w:type="dxa"/>
            <w:tcBorders>
              <w:top w:val="nil"/>
              <w:left w:val="nil"/>
              <w:bottom w:val="single" w:sz="6" w:space="0" w:color="auto"/>
              <w:right w:val="single" w:sz="6" w:space="0" w:color="auto"/>
            </w:tcBorders>
            <w:shd w:val="solid" w:color="FFFFFF" w:fill="auto"/>
          </w:tcPr>
          <w:p w:rsidR="00AA531D" w:rsidRPr="00E820AC" w:rsidRDefault="00AA531D" w:rsidP="003C4CB4">
            <w:pPr>
              <w:autoSpaceDE w:val="0"/>
              <w:autoSpaceDN w:val="0"/>
              <w:adjustRightInd w:val="0"/>
              <w:jc w:val="right"/>
              <w:rPr>
                <w:rFonts w:ascii="Calibri" w:eastAsiaTheme="minorHAnsi" w:hAnsi="Calibri" w:cs="Calibri"/>
                <w:color w:val="000000"/>
                <w:sz w:val="22"/>
                <w:szCs w:val="22"/>
                <w:lang w:eastAsia="en-US"/>
              </w:rPr>
            </w:pPr>
          </w:p>
        </w:tc>
      </w:tr>
      <w:tr w:rsidR="00AA531D" w:rsidRPr="00E820AC" w:rsidTr="003C4CB4">
        <w:trPr>
          <w:trHeight w:val="227"/>
          <w:jc w:val="center"/>
        </w:trPr>
        <w:tc>
          <w:tcPr>
            <w:tcW w:w="4882" w:type="dxa"/>
            <w:tcBorders>
              <w:top w:val="single" w:sz="6" w:space="0" w:color="auto"/>
              <w:left w:val="single" w:sz="6" w:space="0" w:color="auto"/>
              <w:bottom w:val="nil"/>
              <w:right w:val="single" w:sz="6" w:space="0" w:color="auto"/>
            </w:tcBorders>
            <w:vAlign w:val="center"/>
          </w:tcPr>
          <w:p w:rsidR="00AA531D" w:rsidRPr="0087182E" w:rsidRDefault="00AA531D" w:rsidP="003C4CB4">
            <w:pPr>
              <w:rPr>
                <w:rFonts w:ascii="Arial Greek" w:hAnsi="Arial Greek" w:cs="Arial Greek"/>
                <w:b/>
                <w:bCs/>
                <w:sz w:val="16"/>
                <w:szCs w:val="16"/>
              </w:rPr>
            </w:pPr>
            <w:r w:rsidRPr="0087182E">
              <w:rPr>
                <w:rFonts w:ascii="Arial Greek" w:hAnsi="Arial Greek" w:cs="Arial Greek"/>
                <w:b/>
                <w:bCs/>
                <w:sz w:val="16"/>
                <w:szCs w:val="16"/>
              </w:rPr>
              <w:t> </w:t>
            </w:r>
          </w:p>
        </w:tc>
        <w:tc>
          <w:tcPr>
            <w:tcW w:w="1934" w:type="dxa"/>
            <w:tcBorders>
              <w:top w:val="single" w:sz="6" w:space="0" w:color="auto"/>
              <w:left w:val="single" w:sz="6" w:space="0" w:color="auto"/>
              <w:bottom w:val="single" w:sz="6" w:space="0" w:color="auto"/>
              <w:right w:val="single" w:sz="6" w:space="0" w:color="auto"/>
            </w:tcBorders>
            <w:vAlign w:val="bottom"/>
          </w:tcPr>
          <w:p w:rsidR="00AA531D" w:rsidRPr="0087182E" w:rsidRDefault="00AA531D" w:rsidP="003C4CB4">
            <w:pPr>
              <w:jc w:val="center"/>
              <w:rPr>
                <w:rFonts w:ascii="Arial Greek" w:hAnsi="Arial Greek" w:cs="Arial Greek"/>
                <w:b/>
                <w:bCs/>
                <w:color w:val="000000"/>
                <w:sz w:val="16"/>
                <w:szCs w:val="16"/>
              </w:rPr>
            </w:pPr>
            <w:r w:rsidRPr="0087182E">
              <w:rPr>
                <w:rFonts w:ascii="Arial Greek" w:hAnsi="Arial Greek" w:cs="Arial Greek"/>
                <w:b/>
                <w:bCs/>
                <w:color w:val="000000"/>
                <w:sz w:val="16"/>
                <w:szCs w:val="16"/>
              </w:rPr>
              <w:t>2020</w:t>
            </w:r>
          </w:p>
        </w:tc>
        <w:tc>
          <w:tcPr>
            <w:tcW w:w="1934" w:type="dxa"/>
            <w:tcBorders>
              <w:top w:val="single" w:sz="6" w:space="0" w:color="auto"/>
              <w:left w:val="single" w:sz="6" w:space="0" w:color="auto"/>
              <w:bottom w:val="single" w:sz="6" w:space="0" w:color="auto"/>
              <w:right w:val="single" w:sz="6" w:space="0" w:color="auto"/>
            </w:tcBorders>
            <w:vAlign w:val="bottom"/>
          </w:tcPr>
          <w:p w:rsidR="00AA531D" w:rsidRPr="0087182E" w:rsidRDefault="00AA531D" w:rsidP="003C4CB4">
            <w:pPr>
              <w:jc w:val="center"/>
              <w:rPr>
                <w:rFonts w:ascii="Arial Greek" w:hAnsi="Arial Greek" w:cs="Arial Greek"/>
                <w:b/>
                <w:bCs/>
                <w:color w:val="000000"/>
                <w:sz w:val="16"/>
                <w:szCs w:val="16"/>
              </w:rPr>
            </w:pPr>
            <w:r w:rsidRPr="0087182E">
              <w:rPr>
                <w:rFonts w:ascii="Arial Greek" w:hAnsi="Arial Greek" w:cs="Arial Greek"/>
                <w:b/>
                <w:bCs/>
                <w:color w:val="000000"/>
                <w:sz w:val="16"/>
                <w:szCs w:val="16"/>
              </w:rPr>
              <w:t>2021</w:t>
            </w:r>
          </w:p>
        </w:tc>
      </w:tr>
      <w:tr w:rsidR="00AA531D" w:rsidRPr="00E820AC" w:rsidTr="003C4CB4">
        <w:trPr>
          <w:trHeight w:val="227"/>
          <w:jc w:val="center"/>
        </w:trPr>
        <w:tc>
          <w:tcPr>
            <w:tcW w:w="4882" w:type="dxa"/>
            <w:tcBorders>
              <w:top w:val="nil"/>
              <w:left w:val="single" w:sz="6" w:space="0" w:color="auto"/>
              <w:bottom w:val="single" w:sz="6" w:space="0" w:color="auto"/>
              <w:right w:val="single" w:sz="6" w:space="0" w:color="auto"/>
            </w:tcBorders>
            <w:vAlign w:val="center"/>
          </w:tcPr>
          <w:p w:rsidR="00AA531D" w:rsidRPr="0087182E" w:rsidRDefault="00AA531D" w:rsidP="003C4CB4">
            <w:pPr>
              <w:rPr>
                <w:rFonts w:ascii="Arial Greek" w:hAnsi="Arial Greek" w:cs="Arial Greek"/>
                <w:b/>
                <w:bCs/>
                <w:sz w:val="16"/>
                <w:szCs w:val="16"/>
              </w:rPr>
            </w:pPr>
            <w:r w:rsidRPr="0087182E">
              <w:rPr>
                <w:rFonts w:ascii="Arial Greek" w:hAnsi="Arial Greek" w:cs="Arial Greek"/>
                <w:b/>
                <w:bCs/>
                <w:sz w:val="16"/>
                <w:szCs w:val="16"/>
              </w:rPr>
              <w:t> </w:t>
            </w:r>
          </w:p>
        </w:tc>
        <w:tc>
          <w:tcPr>
            <w:tcW w:w="1934" w:type="dxa"/>
            <w:tcBorders>
              <w:top w:val="single" w:sz="6" w:space="0" w:color="auto"/>
              <w:left w:val="single" w:sz="6" w:space="0" w:color="auto"/>
              <w:bottom w:val="single" w:sz="6" w:space="0" w:color="auto"/>
              <w:right w:val="single" w:sz="6" w:space="0" w:color="auto"/>
            </w:tcBorders>
            <w:vAlign w:val="center"/>
          </w:tcPr>
          <w:p w:rsidR="00AA531D" w:rsidRPr="0087182E" w:rsidRDefault="00AA531D" w:rsidP="003C4CB4">
            <w:pPr>
              <w:jc w:val="center"/>
              <w:rPr>
                <w:rFonts w:ascii="Arial Greek" w:hAnsi="Arial Greek" w:cs="Arial Greek"/>
                <w:b/>
                <w:bCs/>
                <w:color w:val="000000"/>
                <w:sz w:val="16"/>
                <w:szCs w:val="16"/>
              </w:rPr>
            </w:pPr>
            <w:r w:rsidRPr="0087182E">
              <w:rPr>
                <w:rFonts w:ascii="Arial Greek" w:hAnsi="Arial Greek" w:cs="Arial Greek"/>
                <w:b/>
                <w:bCs/>
                <w:color w:val="000000"/>
                <w:sz w:val="16"/>
                <w:szCs w:val="16"/>
              </w:rPr>
              <w:t>Εκτιμήσεις</w:t>
            </w:r>
          </w:p>
        </w:tc>
        <w:tc>
          <w:tcPr>
            <w:tcW w:w="1934" w:type="dxa"/>
            <w:tcBorders>
              <w:top w:val="single" w:sz="6" w:space="0" w:color="auto"/>
              <w:left w:val="single" w:sz="6" w:space="0" w:color="auto"/>
              <w:bottom w:val="single" w:sz="6" w:space="0" w:color="auto"/>
              <w:right w:val="single" w:sz="6" w:space="0" w:color="auto"/>
            </w:tcBorders>
            <w:vAlign w:val="center"/>
          </w:tcPr>
          <w:p w:rsidR="00AA531D" w:rsidRPr="0087182E" w:rsidRDefault="00AA531D" w:rsidP="003C4CB4">
            <w:pPr>
              <w:jc w:val="center"/>
              <w:rPr>
                <w:rFonts w:ascii="Arial Greek" w:hAnsi="Arial Greek" w:cs="Arial Greek"/>
                <w:b/>
                <w:bCs/>
                <w:color w:val="000000"/>
                <w:sz w:val="16"/>
                <w:szCs w:val="16"/>
              </w:rPr>
            </w:pPr>
            <w:r w:rsidRPr="0087182E">
              <w:rPr>
                <w:rFonts w:ascii="Arial Greek" w:hAnsi="Arial Greek" w:cs="Arial Greek"/>
                <w:b/>
                <w:bCs/>
                <w:color w:val="000000"/>
                <w:sz w:val="16"/>
                <w:szCs w:val="16"/>
              </w:rPr>
              <w:t>Προβλέψεις</w:t>
            </w:r>
          </w:p>
        </w:tc>
      </w:tr>
      <w:tr w:rsidR="00AA531D" w:rsidRPr="00E820AC" w:rsidTr="003C4CB4">
        <w:trPr>
          <w:trHeight w:val="227"/>
          <w:jc w:val="center"/>
        </w:trPr>
        <w:tc>
          <w:tcPr>
            <w:tcW w:w="4882" w:type="dxa"/>
            <w:tcBorders>
              <w:top w:val="single" w:sz="6" w:space="0" w:color="auto"/>
              <w:left w:val="single" w:sz="6" w:space="0" w:color="auto"/>
              <w:bottom w:val="nil"/>
              <w:right w:val="nil"/>
            </w:tcBorders>
            <w:shd w:val="solid" w:color="C0C0C0" w:fill="auto"/>
            <w:vAlign w:val="center"/>
          </w:tcPr>
          <w:p w:rsidR="00AA531D" w:rsidRPr="0087182E" w:rsidRDefault="00AA531D" w:rsidP="003C4CB4">
            <w:pPr>
              <w:rPr>
                <w:rFonts w:ascii="Arial Narrow" w:hAnsi="Arial Narrow" w:cs="Arial"/>
                <w:b/>
                <w:bCs/>
                <w:sz w:val="16"/>
                <w:szCs w:val="16"/>
              </w:rPr>
            </w:pPr>
            <w:r w:rsidRPr="0087182E">
              <w:rPr>
                <w:rFonts w:ascii="Arial Narrow" w:hAnsi="Arial Narrow" w:cs="Arial"/>
                <w:b/>
                <w:bCs/>
                <w:sz w:val="16"/>
                <w:szCs w:val="16"/>
              </w:rPr>
              <w:t>Έσοδα</w:t>
            </w:r>
          </w:p>
        </w:tc>
        <w:tc>
          <w:tcPr>
            <w:tcW w:w="1934" w:type="dxa"/>
            <w:tcBorders>
              <w:top w:val="single" w:sz="6" w:space="0" w:color="auto"/>
              <w:left w:val="nil"/>
              <w:bottom w:val="nil"/>
              <w:right w:val="nil"/>
            </w:tcBorders>
            <w:shd w:val="solid" w:color="C0C0C0" w:fill="auto"/>
            <w:vAlign w:val="center"/>
          </w:tcPr>
          <w:p w:rsidR="00AA531D" w:rsidRPr="0087182E" w:rsidRDefault="00AA531D" w:rsidP="003C4CB4">
            <w:pPr>
              <w:ind w:right="794"/>
              <w:jc w:val="right"/>
              <w:rPr>
                <w:rFonts w:ascii="Arial Narrow" w:hAnsi="Arial Narrow" w:cs="Arial Greek"/>
                <w:b/>
                <w:bCs/>
                <w:color w:val="000000"/>
                <w:sz w:val="16"/>
                <w:szCs w:val="16"/>
              </w:rPr>
            </w:pPr>
            <w:r w:rsidRPr="0087182E">
              <w:rPr>
                <w:rFonts w:ascii="Arial Narrow" w:hAnsi="Arial Narrow" w:cs="Arial Greek"/>
                <w:b/>
                <w:bCs/>
                <w:color w:val="000000"/>
                <w:sz w:val="16"/>
                <w:szCs w:val="16"/>
              </w:rPr>
              <w:t>5.897</w:t>
            </w:r>
          </w:p>
        </w:tc>
        <w:tc>
          <w:tcPr>
            <w:tcW w:w="1934" w:type="dxa"/>
            <w:tcBorders>
              <w:top w:val="single" w:sz="6" w:space="0" w:color="auto"/>
              <w:left w:val="nil"/>
              <w:bottom w:val="nil"/>
              <w:right w:val="single" w:sz="6" w:space="0" w:color="auto"/>
            </w:tcBorders>
            <w:shd w:val="solid" w:color="C0C0C0" w:fill="auto"/>
            <w:vAlign w:val="center"/>
          </w:tcPr>
          <w:p w:rsidR="00AA531D" w:rsidRPr="0087182E" w:rsidRDefault="00AA531D" w:rsidP="003C4CB4">
            <w:pPr>
              <w:ind w:right="794"/>
              <w:jc w:val="right"/>
              <w:rPr>
                <w:rFonts w:ascii="Arial Narrow" w:hAnsi="Arial Narrow" w:cs="Arial Greek"/>
                <w:b/>
                <w:bCs/>
                <w:color w:val="000000"/>
                <w:sz w:val="16"/>
                <w:szCs w:val="16"/>
              </w:rPr>
            </w:pPr>
            <w:r w:rsidRPr="0087182E">
              <w:rPr>
                <w:rFonts w:ascii="Arial Narrow" w:hAnsi="Arial Narrow" w:cs="Arial Greek"/>
                <w:b/>
                <w:bCs/>
                <w:color w:val="000000"/>
                <w:sz w:val="16"/>
                <w:szCs w:val="16"/>
              </w:rPr>
              <w:t>6.468</w:t>
            </w:r>
          </w:p>
        </w:tc>
      </w:tr>
      <w:tr w:rsidR="00AA531D" w:rsidRPr="00E820AC" w:rsidTr="003C4CB4">
        <w:trPr>
          <w:trHeight w:val="227"/>
          <w:jc w:val="center"/>
        </w:trPr>
        <w:tc>
          <w:tcPr>
            <w:tcW w:w="4882" w:type="dxa"/>
            <w:tcBorders>
              <w:top w:val="nil"/>
              <w:left w:val="single" w:sz="6" w:space="0" w:color="auto"/>
              <w:bottom w:val="nil"/>
              <w:right w:val="nil"/>
            </w:tcBorders>
            <w:shd w:val="solid" w:color="FFFFFF" w:fill="auto"/>
            <w:vAlign w:val="center"/>
          </w:tcPr>
          <w:p w:rsidR="00AA531D" w:rsidRPr="0087182E" w:rsidRDefault="00AA531D" w:rsidP="003C4CB4">
            <w:pPr>
              <w:rPr>
                <w:rFonts w:ascii="Arial Narrow" w:hAnsi="Arial Narrow" w:cs="Arial"/>
                <w:sz w:val="16"/>
                <w:szCs w:val="16"/>
              </w:rPr>
            </w:pPr>
            <w:r w:rsidRPr="0087182E">
              <w:rPr>
                <w:rFonts w:ascii="Arial Narrow" w:hAnsi="Arial Narrow" w:cs="Arial"/>
                <w:sz w:val="16"/>
                <w:szCs w:val="16"/>
              </w:rPr>
              <w:t>Έσοδα υπέρ τρίτων</w:t>
            </w:r>
          </w:p>
        </w:tc>
        <w:tc>
          <w:tcPr>
            <w:tcW w:w="1934" w:type="dxa"/>
            <w:tcBorders>
              <w:top w:val="nil"/>
              <w:left w:val="nil"/>
              <w:bottom w:val="nil"/>
              <w:right w:val="nil"/>
            </w:tcBorders>
            <w:shd w:val="solid" w:color="FFFFFF" w:fill="auto"/>
            <w:vAlign w:val="center"/>
          </w:tcPr>
          <w:p w:rsidR="00AA531D" w:rsidRPr="0087182E" w:rsidRDefault="00AA531D" w:rsidP="003C4CB4">
            <w:pPr>
              <w:ind w:right="794"/>
              <w:jc w:val="right"/>
              <w:rPr>
                <w:rFonts w:ascii="Arial Narrow" w:hAnsi="Arial Narrow" w:cs="Arial Greek"/>
                <w:bCs/>
                <w:color w:val="000000"/>
                <w:sz w:val="16"/>
                <w:szCs w:val="16"/>
              </w:rPr>
            </w:pPr>
            <w:r w:rsidRPr="0087182E">
              <w:rPr>
                <w:rFonts w:ascii="Arial Narrow" w:hAnsi="Arial Narrow" w:cs="Arial Greek"/>
                <w:bCs/>
                <w:color w:val="000000"/>
                <w:sz w:val="16"/>
                <w:szCs w:val="16"/>
              </w:rPr>
              <w:t>69</w:t>
            </w:r>
          </w:p>
        </w:tc>
        <w:tc>
          <w:tcPr>
            <w:tcW w:w="1934" w:type="dxa"/>
            <w:tcBorders>
              <w:top w:val="nil"/>
              <w:left w:val="nil"/>
              <w:bottom w:val="nil"/>
              <w:right w:val="single" w:sz="6" w:space="0" w:color="auto"/>
            </w:tcBorders>
            <w:shd w:val="solid" w:color="FFFFFF" w:fill="auto"/>
            <w:vAlign w:val="center"/>
          </w:tcPr>
          <w:p w:rsidR="00AA531D" w:rsidRPr="0087182E" w:rsidRDefault="00AA531D" w:rsidP="003C4CB4">
            <w:pPr>
              <w:ind w:right="794"/>
              <w:jc w:val="right"/>
              <w:rPr>
                <w:rFonts w:ascii="Arial Narrow" w:hAnsi="Arial Narrow" w:cs="Arial Greek"/>
                <w:bCs/>
                <w:color w:val="000000"/>
                <w:sz w:val="16"/>
                <w:szCs w:val="16"/>
              </w:rPr>
            </w:pPr>
            <w:r w:rsidRPr="0087182E">
              <w:rPr>
                <w:rFonts w:ascii="Arial Narrow" w:hAnsi="Arial Narrow" w:cs="Arial Greek"/>
                <w:bCs/>
                <w:color w:val="000000"/>
                <w:sz w:val="16"/>
                <w:szCs w:val="16"/>
              </w:rPr>
              <w:t>88</w:t>
            </w:r>
          </w:p>
        </w:tc>
      </w:tr>
      <w:tr w:rsidR="00AA531D" w:rsidRPr="00E820AC" w:rsidTr="003C4CB4">
        <w:trPr>
          <w:trHeight w:val="227"/>
          <w:jc w:val="center"/>
        </w:trPr>
        <w:tc>
          <w:tcPr>
            <w:tcW w:w="4882" w:type="dxa"/>
            <w:tcBorders>
              <w:top w:val="nil"/>
              <w:left w:val="single" w:sz="6" w:space="0" w:color="auto"/>
              <w:bottom w:val="nil"/>
              <w:right w:val="nil"/>
            </w:tcBorders>
            <w:shd w:val="solid" w:color="FFFFFF" w:fill="auto"/>
            <w:vAlign w:val="center"/>
          </w:tcPr>
          <w:p w:rsidR="00AA531D" w:rsidRPr="0087182E" w:rsidRDefault="00AA531D" w:rsidP="003C4CB4">
            <w:pPr>
              <w:rPr>
                <w:rFonts w:ascii="Arial Narrow" w:hAnsi="Arial Narrow" w:cs="Arial"/>
                <w:sz w:val="16"/>
                <w:szCs w:val="16"/>
              </w:rPr>
            </w:pPr>
            <w:r w:rsidRPr="0087182E">
              <w:rPr>
                <w:rFonts w:ascii="Arial Narrow" w:hAnsi="Arial Narrow" w:cs="Arial"/>
                <w:sz w:val="16"/>
                <w:szCs w:val="16"/>
              </w:rPr>
              <w:t>Πωλήσεις</w:t>
            </w:r>
          </w:p>
        </w:tc>
        <w:tc>
          <w:tcPr>
            <w:tcW w:w="1934" w:type="dxa"/>
            <w:tcBorders>
              <w:top w:val="nil"/>
              <w:left w:val="nil"/>
              <w:bottom w:val="nil"/>
              <w:right w:val="nil"/>
            </w:tcBorders>
            <w:shd w:val="solid" w:color="FFFFFF" w:fill="auto"/>
            <w:vAlign w:val="center"/>
          </w:tcPr>
          <w:p w:rsidR="00AA531D" w:rsidRPr="0087182E" w:rsidRDefault="00AA531D" w:rsidP="003C4CB4">
            <w:pPr>
              <w:ind w:right="794"/>
              <w:jc w:val="right"/>
              <w:rPr>
                <w:rFonts w:ascii="Arial Narrow" w:hAnsi="Arial Narrow" w:cs="Arial Greek"/>
                <w:bCs/>
                <w:color w:val="000000"/>
                <w:sz w:val="16"/>
                <w:szCs w:val="16"/>
              </w:rPr>
            </w:pPr>
            <w:r w:rsidRPr="0087182E">
              <w:rPr>
                <w:rFonts w:ascii="Arial Narrow" w:hAnsi="Arial Narrow" w:cs="Arial Greek"/>
                <w:bCs/>
                <w:color w:val="000000"/>
                <w:sz w:val="16"/>
                <w:szCs w:val="16"/>
              </w:rPr>
              <w:t>403</w:t>
            </w:r>
          </w:p>
        </w:tc>
        <w:tc>
          <w:tcPr>
            <w:tcW w:w="1934" w:type="dxa"/>
            <w:tcBorders>
              <w:top w:val="nil"/>
              <w:left w:val="nil"/>
              <w:bottom w:val="nil"/>
              <w:right w:val="single" w:sz="6" w:space="0" w:color="auto"/>
            </w:tcBorders>
            <w:shd w:val="solid" w:color="FFFFFF" w:fill="auto"/>
            <w:vAlign w:val="center"/>
          </w:tcPr>
          <w:p w:rsidR="00AA531D" w:rsidRPr="0087182E" w:rsidRDefault="00AA531D" w:rsidP="003C4CB4">
            <w:pPr>
              <w:ind w:right="794"/>
              <w:jc w:val="right"/>
              <w:rPr>
                <w:rFonts w:ascii="Arial Narrow" w:hAnsi="Arial Narrow" w:cs="Arial Greek"/>
                <w:bCs/>
                <w:color w:val="000000"/>
                <w:sz w:val="16"/>
                <w:szCs w:val="16"/>
              </w:rPr>
            </w:pPr>
            <w:r w:rsidRPr="0087182E">
              <w:rPr>
                <w:rFonts w:ascii="Arial Narrow" w:hAnsi="Arial Narrow" w:cs="Arial Greek"/>
                <w:bCs/>
                <w:color w:val="000000"/>
                <w:sz w:val="16"/>
                <w:szCs w:val="16"/>
              </w:rPr>
              <w:t>447</w:t>
            </w:r>
          </w:p>
        </w:tc>
      </w:tr>
      <w:tr w:rsidR="00AA531D" w:rsidRPr="00E820AC" w:rsidTr="003C4CB4">
        <w:trPr>
          <w:trHeight w:val="227"/>
          <w:jc w:val="center"/>
        </w:trPr>
        <w:tc>
          <w:tcPr>
            <w:tcW w:w="4882" w:type="dxa"/>
            <w:tcBorders>
              <w:top w:val="nil"/>
              <w:left w:val="single" w:sz="6" w:space="0" w:color="auto"/>
              <w:bottom w:val="nil"/>
              <w:right w:val="nil"/>
            </w:tcBorders>
            <w:shd w:val="solid" w:color="FFFFFF" w:fill="auto"/>
            <w:vAlign w:val="center"/>
          </w:tcPr>
          <w:p w:rsidR="00AA531D" w:rsidRPr="0087182E" w:rsidRDefault="00AA531D" w:rsidP="003C4CB4">
            <w:pPr>
              <w:rPr>
                <w:rFonts w:ascii="Arial Narrow" w:hAnsi="Arial Narrow" w:cs="Arial"/>
                <w:sz w:val="16"/>
                <w:szCs w:val="16"/>
              </w:rPr>
            </w:pPr>
            <w:r w:rsidRPr="0087182E">
              <w:rPr>
                <w:rFonts w:ascii="Arial Narrow" w:hAnsi="Arial Narrow" w:cs="Arial"/>
                <w:sz w:val="16"/>
                <w:szCs w:val="16"/>
              </w:rPr>
              <w:t>Έσοδα από τόκους</w:t>
            </w:r>
          </w:p>
        </w:tc>
        <w:tc>
          <w:tcPr>
            <w:tcW w:w="1934" w:type="dxa"/>
            <w:tcBorders>
              <w:top w:val="nil"/>
              <w:left w:val="nil"/>
              <w:bottom w:val="nil"/>
              <w:right w:val="nil"/>
            </w:tcBorders>
            <w:shd w:val="solid" w:color="FFFFFF" w:fill="auto"/>
            <w:vAlign w:val="center"/>
          </w:tcPr>
          <w:p w:rsidR="00AA531D" w:rsidRPr="0087182E" w:rsidRDefault="00AA531D" w:rsidP="003C4CB4">
            <w:pPr>
              <w:ind w:right="794"/>
              <w:jc w:val="right"/>
              <w:rPr>
                <w:rFonts w:ascii="Arial Narrow" w:hAnsi="Arial Narrow" w:cs="Arial Greek"/>
                <w:bCs/>
                <w:color w:val="000000"/>
                <w:sz w:val="16"/>
                <w:szCs w:val="16"/>
              </w:rPr>
            </w:pPr>
            <w:r w:rsidRPr="0087182E">
              <w:rPr>
                <w:rFonts w:ascii="Arial Narrow" w:hAnsi="Arial Narrow" w:cs="Arial Greek"/>
                <w:bCs/>
                <w:color w:val="000000"/>
                <w:sz w:val="16"/>
                <w:szCs w:val="16"/>
              </w:rPr>
              <w:t>599</w:t>
            </w:r>
          </w:p>
        </w:tc>
        <w:tc>
          <w:tcPr>
            <w:tcW w:w="1934" w:type="dxa"/>
            <w:tcBorders>
              <w:top w:val="nil"/>
              <w:left w:val="nil"/>
              <w:bottom w:val="nil"/>
              <w:right w:val="single" w:sz="6" w:space="0" w:color="auto"/>
            </w:tcBorders>
            <w:shd w:val="solid" w:color="FFFFFF" w:fill="auto"/>
            <w:vAlign w:val="center"/>
          </w:tcPr>
          <w:p w:rsidR="00AA531D" w:rsidRPr="0087182E" w:rsidRDefault="00AA531D" w:rsidP="003C4CB4">
            <w:pPr>
              <w:ind w:right="794"/>
              <w:jc w:val="right"/>
              <w:rPr>
                <w:rFonts w:ascii="Arial Narrow" w:hAnsi="Arial Narrow" w:cs="Arial Greek"/>
                <w:bCs/>
                <w:color w:val="000000"/>
                <w:sz w:val="16"/>
                <w:szCs w:val="16"/>
              </w:rPr>
            </w:pPr>
            <w:r w:rsidRPr="0087182E">
              <w:rPr>
                <w:rFonts w:ascii="Arial Narrow" w:hAnsi="Arial Narrow" w:cs="Arial Greek"/>
                <w:bCs/>
                <w:color w:val="000000"/>
                <w:sz w:val="16"/>
                <w:szCs w:val="16"/>
              </w:rPr>
              <w:t>511</w:t>
            </w:r>
          </w:p>
        </w:tc>
      </w:tr>
      <w:tr w:rsidR="00AA531D" w:rsidRPr="00E820AC" w:rsidTr="003C4CB4">
        <w:trPr>
          <w:trHeight w:val="227"/>
          <w:jc w:val="center"/>
        </w:trPr>
        <w:tc>
          <w:tcPr>
            <w:tcW w:w="4882" w:type="dxa"/>
            <w:tcBorders>
              <w:top w:val="nil"/>
              <w:left w:val="single" w:sz="6" w:space="0" w:color="auto"/>
              <w:bottom w:val="nil"/>
              <w:right w:val="nil"/>
            </w:tcBorders>
            <w:shd w:val="solid" w:color="FFFFFF" w:fill="auto"/>
            <w:vAlign w:val="center"/>
          </w:tcPr>
          <w:p w:rsidR="00AA531D" w:rsidRPr="0087182E" w:rsidRDefault="00AA531D" w:rsidP="003C4CB4">
            <w:pPr>
              <w:rPr>
                <w:rFonts w:ascii="Arial Narrow" w:hAnsi="Arial Narrow" w:cs="Arial"/>
                <w:sz w:val="16"/>
                <w:szCs w:val="16"/>
              </w:rPr>
            </w:pPr>
            <w:r w:rsidRPr="0087182E">
              <w:rPr>
                <w:rFonts w:ascii="Arial Narrow" w:hAnsi="Arial Narrow" w:cs="Arial"/>
                <w:sz w:val="16"/>
                <w:szCs w:val="16"/>
              </w:rPr>
              <w:t>Μεταβιβάσεις από Τακτικό Προϋπολογισμό</w:t>
            </w:r>
          </w:p>
        </w:tc>
        <w:tc>
          <w:tcPr>
            <w:tcW w:w="1934" w:type="dxa"/>
            <w:tcBorders>
              <w:top w:val="nil"/>
              <w:left w:val="nil"/>
              <w:bottom w:val="nil"/>
              <w:right w:val="nil"/>
            </w:tcBorders>
            <w:shd w:val="solid" w:color="FFFFFF" w:fill="auto"/>
            <w:vAlign w:val="center"/>
          </w:tcPr>
          <w:p w:rsidR="00AA531D" w:rsidRPr="0087182E" w:rsidRDefault="00AA531D" w:rsidP="003C4CB4">
            <w:pPr>
              <w:ind w:right="794"/>
              <w:jc w:val="right"/>
              <w:rPr>
                <w:rFonts w:ascii="Arial Narrow" w:hAnsi="Arial Narrow" w:cs="Arial Greek"/>
                <w:bCs/>
                <w:color w:val="000000"/>
                <w:sz w:val="16"/>
                <w:szCs w:val="16"/>
              </w:rPr>
            </w:pPr>
            <w:r w:rsidRPr="0087182E">
              <w:rPr>
                <w:rFonts w:ascii="Arial Narrow" w:hAnsi="Arial Narrow" w:cs="Arial Greek"/>
                <w:bCs/>
                <w:color w:val="000000"/>
                <w:sz w:val="16"/>
                <w:szCs w:val="16"/>
              </w:rPr>
              <w:t>1.511</w:t>
            </w:r>
          </w:p>
        </w:tc>
        <w:tc>
          <w:tcPr>
            <w:tcW w:w="1934" w:type="dxa"/>
            <w:tcBorders>
              <w:top w:val="nil"/>
              <w:left w:val="nil"/>
              <w:bottom w:val="nil"/>
              <w:right w:val="single" w:sz="6" w:space="0" w:color="auto"/>
            </w:tcBorders>
            <w:shd w:val="solid" w:color="FFFFFF" w:fill="auto"/>
            <w:vAlign w:val="center"/>
          </w:tcPr>
          <w:p w:rsidR="00AA531D" w:rsidRPr="0087182E" w:rsidRDefault="00AA531D" w:rsidP="003C4CB4">
            <w:pPr>
              <w:ind w:right="794"/>
              <w:jc w:val="right"/>
              <w:rPr>
                <w:rFonts w:ascii="Arial Narrow" w:hAnsi="Arial Narrow" w:cs="Arial Greek"/>
                <w:bCs/>
                <w:color w:val="000000"/>
                <w:sz w:val="16"/>
                <w:szCs w:val="16"/>
              </w:rPr>
            </w:pPr>
            <w:r w:rsidRPr="0087182E">
              <w:rPr>
                <w:rFonts w:ascii="Arial Narrow" w:hAnsi="Arial Narrow" w:cs="Arial Greek"/>
                <w:bCs/>
                <w:color w:val="000000"/>
                <w:sz w:val="16"/>
                <w:szCs w:val="16"/>
              </w:rPr>
              <w:t>1.491</w:t>
            </w:r>
          </w:p>
        </w:tc>
      </w:tr>
      <w:tr w:rsidR="00AA531D" w:rsidRPr="00E820AC" w:rsidTr="003C4CB4">
        <w:trPr>
          <w:trHeight w:val="227"/>
          <w:jc w:val="center"/>
        </w:trPr>
        <w:tc>
          <w:tcPr>
            <w:tcW w:w="4882" w:type="dxa"/>
            <w:tcBorders>
              <w:top w:val="nil"/>
              <w:left w:val="single" w:sz="6" w:space="0" w:color="auto"/>
              <w:bottom w:val="nil"/>
              <w:right w:val="nil"/>
            </w:tcBorders>
            <w:shd w:val="solid" w:color="FFFFFF" w:fill="auto"/>
            <w:vAlign w:val="center"/>
          </w:tcPr>
          <w:p w:rsidR="00AA531D" w:rsidRPr="0087182E" w:rsidRDefault="00AA531D" w:rsidP="003C4CB4">
            <w:pPr>
              <w:rPr>
                <w:rFonts w:ascii="Arial Narrow" w:hAnsi="Arial Narrow" w:cs="Arial"/>
                <w:sz w:val="16"/>
                <w:szCs w:val="16"/>
              </w:rPr>
            </w:pPr>
            <w:r w:rsidRPr="0087182E">
              <w:rPr>
                <w:rFonts w:ascii="Arial Narrow" w:hAnsi="Arial Narrow" w:cs="Arial"/>
                <w:sz w:val="16"/>
                <w:szCs w:val="16"/>
              </w:rPr>
              <w:t>Μεταβιβάσεις από ΠΔΕ</w:t>
            </w:r>
          </w:p>
        </w:tc>
        <w:tc>
          <w:tcPr>
            <w:tcW w:w="1934" w:type="dxa"/>
            <w:tcBorders>
              <w:top w:val="nil"/>
              <w:left w:val="nil"/>
              <w:bottom w:val="nil"/>
              <w:right w:val="nil"/>
            </w:tcBorders>
            <w:shd w:val="solid" w:color="FFFFFF" w:fill="auto"/>
            <w:vAlign w:val="center"/>
          </w:tcPr>
          <w:p w:rsidR="00AA531D" w:rsidRPr="0087182E" w:rsidRDefault="00AA531D" w:rsidP="003C4CB4">
            <w:pPr>
              <w:ind w:right="794"/>
              <w:jc w:val="right"/>
              <w:rPr>
                <w:rFonts w:ascii="Arial Narrow" w:hAnsi="Arial Narrow" w:cs="Arial Greek"/>
                <w:bCs/>
                <w:color w:val="000000"/>
                <w:sz w:val="16"/>
                <w:szCs w:val="16"/>
              </w:rPr>
            </w:pPr>
            <w:r w:rsidRPr="0087182E">
              <w:rPr>
                <w:rFonts w:ascii="Arial Narrow" w:hAnsi="Arial Narrow" w:cs="Arial Greek"/>
                <w:bCs/>
                <w:color w:val="000000"/>
                <w:sz w:val="16"/>
                <w:szCs w:val="16"/>
              </w:rPr>
              <w:t>545</w:t>
            </w:r>
          </w:p>
        </w:tc>
        <w:tc>
          <w:tcPr>
            <w:tcW w:w="1934" w:type="dxa"/>
            <w:tcBorders>
              <w:top w:val="nil"/>
              <w:left w:val="nil"/>
              <w:bottom w:val="nil"/>
              <w:right w:val="single" w:sz="6" w:space="0" w:color="auto"/>
            </w:tcBorders>
            <w:shd w:val="solid" w:color="FFFFFF" w:fill="auto"/>
            <w:vAlign w:val="center"/>
          </w:tcPr>
          <w:p w:rsidR="00AA531D" w:rsidRPr="0087182E" w:rsidRDefault="00AA531D" w:rsidP="003C4CB4">
            <w:pPr>
              <w:ind w:right="794"/>
              <w:jc w:val="right"/>
              <w:rPr>
                <w:rFonts w:ascii="Arial Narrow" w:hAnsi="Arial Narrow" w:cs="Arial Greek"/>
                <w:bCs/>
                <w:color w:val="000000"/>
                <w:sz w:val="16"/>
                <w:szCs w:val="16"/>
              </w:rPr>
            </w:pPr>
            <w:r w:rsidRPr="0087182E">
              <w:rPr>
                <w:rFonts w:ascii="Arial Narrow" w:hAnsi="Arial Narrow" w:cs="Arial Greek"/>
                <w:bCs/>
                <w:color w:val="000000"/>
                <w:sz w:val="16"/>
                <w:szCs w:val="16"/>
              </w:rPr>
              <w:t>585</w:t>
            </w:r>
          </w:p>
        </w:tc>
      </w:tr>
      <w:tr w:rsidR="00AA531D" w:rsidRPr="00E820AC" w:rsidTr="003C4CB4">
        <w:trPr>
          <w:trHeight w:val="227"/>
          <w:jc w:val="center"/>
        </w:trPr>
        <w:tc>
          <w:tcPr>
            <w:tcW w:w="4882" w:type="dxa"/>
            <w:tcBorders>
              <w:top w:val="nil"/>
              <w:left w:val="single" w:sz="6" w:space="0" w:color="auto"/>
              <w:bottom w:val="nil"/>
              <w:right w:val="nil"/>
            </w:tcBorders>
            <w:shd w:val="solid" w:color="FFFFFF" w:fill="auto"/>
            <w:vAlign w:val="center"/>
          </w:tcPr>
          <w:p w:rsidR="00AA531D" w:rsidRPr="0087182E" w:rsidRDefault="00AA531D" w:rsidP="003C4CB4">
            <w:pPr>
              <w:rPr>
                <w:rFonts w:ascii="Arial Narrow" w:hAnsi="Arial Narrow" w:cs="Arial"/>
                <w:sz w:val="16"/>
                <w:szCs w:val="16"/>
              </w:rPr>
            </w:pPr>
            <w:r w:rsidRPr="0087182E">
              <w:rPr>
                <w:rFonts w:ascii="Arial Narrow" w:hAnsi="Arial Narrow" w:cs="Arial"/>
                <w:sz w:val="16"/>
                <w:szCs w:val="16"/>
              </w:rPr>
              <w:t>Λοιπά έσοδα</w:t>
            </w:r>
          </w:p>
        </w:tc>
        <w:tc>
          <w:tcPr>
            <w:tcW w:w="1934" w:type="dxa"/>
            <w:tcBorders>
              <w:top w:val="nil"/>
              <w:left w:val="nil"/>
              <w:bottom w:val="nil"/>
              <w:right w:val="nil"/>
            </w:tcBorders>
            <w:shd w:val="solid" w:color="FFFFFF" w:fill="auto"/>
            <w:vAlign w:val="center"/>
          </w:tcPr>
          <w:p w:rsidR="00AA531D" w:rsidRPr="0087182E" w:rsidRDefault="00AA531D" w:rsidP="003C4CB4">
            <w:pPr>
              <w:ind w:right="794"/>
              <w:jc w:val="right"/>
              <w:rPr>
                <w:rFonts w:ascii="Arial Narrow" w:hAnsi="Arial Narrow" w:cs="Arial Greek"/>
                <w:bCs/>
                <w:color w:val="000000"/>
                <w:sz w:val="16"/>
                <w:szCs w:val="16"/>
              </w:rPr>
            </w:pPr>
            <w:r w:rsidRPr="0087182E">
              <w:rPr>
                <w:rFonts w:ascii="Arial Narrow" w:hAnsi="Arial Narrow" w:cs="Arial Greek"/>
                <w:bCs/>
                <w:color w:val="000000"/>
                <w:sz w:val="16"/>
                <w:szCs w:val="16"/>
              </w:rPr>
              <w:t>2.769</w:t>
            </w:r>
          </w:p>
        </w:tc>
        <w:tc>
          <w:tcPr>
            <w:tcW w:w="1934" w:type="dxa"/>
            <w:tcBorders>
              <w:top w:val="nil"/>
              <w:left w:val="nil"/>
              <w:bottom w:val="nil"/>
              <w:right w:val="single" w:sz="6" w:space="0" w:color="auto"/>
            </w:tcBorders>
            <w:shd w:val="solid" w:color="FFFFFF" w:fill="auto"/>
            <w:vAlign w:val="center"/>
          </w:tcPr>
          <w:p w:rsidR="00AA531D" w:rsidRPr="0087182E" w:rsidRDefault="00AA531D" w:rsidP="003C4CB4">
            <w:pPr>
              <w:ind w:right="794"/>
              <w:jc w:val="right"/>
              <w:rPr>
                <w:rFonts w:ascii="Arial Narrow" w:hAnsi="Arial Narrow" w:cs="Arial Greek"/>
                <w:bCs/>
                <w:color w:val="000000"/>
                <w:sz w:val="16"/>
                <w:szCs w:val="16"/>
              </w:rPr>
            </w:pPr>
            <w:r w:rsidRPr="0087182E">
              <w:rPr>
                <w:rFonts w:ascii="Arial Narrow" w:hAnsi="Arial Narrow" w:cs="Arial Greek"/>
                <w:bCs/>
                <w:color w:val="000000"/>
                <w:sz w:val="16"/>
                <w:szCs w:val="16"/>
              </w:rPr>
              <w:t>3.347</w:t>
            </w:r>
          </w:p>
        </w:tc>
      </w:tr>
      <w:tr w:rsidR="00AA531D" w:rsidRPr="00E820AC" w:rsidTr="003C4CB4">
        <w:trPr>
          <w:trHeight w:val="227"/>
          <w:jc w:val="center"/>
        </w:trPr>
        <w:tc>
          <w:tcPr>
            <w:tcW w:w="4882" w:type="dxa"/>
            <w:tcBorders>
              <w:top w:val="nil"/>
              <w:left w:val="single" w:sz="6" w:space="0" w:color="auto"/>
              <w:bottom w:val="nil"/>
              <w:right w:val="nil"/>
            </w:tcBorders>
            <w:shd w:val="solid" w:color="C0C0C0" w:fill="auto"/>
            <w:vAlign w:val="center"/>
          </w:tcPr>
          <w:p w:rsidR="00AA531D" w:rsidRPr="0087182E" w:rsidRDefault="00AA531D" w:rsidP="003C4CB4">
            <w:pPr>
              <w:rPr>
                <w:rFonts w:ascii="Arial Narrow" w:hAnsi="Arial Narrow" w:cs="Arial"/>
                <w:b/>
                <w:bCs/>
                <w:sz w:val="16"/>
                <w:szCs w:val="16"/>
              </w:rPr>
            </w:pPr>
            <w:r w:rsidRPr="0087182E">
              <w:rPr>
                <w:rFonts w:ascii="Arial Narrow" w:hAnsi="Arial Narrow" w:cs="Arial"/>
                <w:b/>
                <w:bCs/>
                <w:sz w:val="16"/>
                <w:szCs w:val="16"/>
              </w:rPr>
              <w:t>Δαπάνες</w:t>
            </w:r>
          </w:p>
        </w:tc>
        <w:tc>
          <w:tcPr>
            <w:tcW w:w="1934" w:type="dxa"/>
            <w:tcBorders>
              <w:top w:val="nil"/>
              <w:left w:val="nil"/>
              <w:bottom w:val="nil"/>
              <w:right w:val="nil"/>
            </w:tcBorders>
            <w:shd w:val="solid" w:color="C0C0C0" w:fill="auto"/>
            <w:vAlign w:val="center"/>
          </w:tcPr>
          <w:p w:rsidR="00AA531D" w:rsidRPr="0087182E" w:rsidRDefault="00AA531D" w:rsidP="003C4CB4">
            <w:pPr>
              <w:ind w:right="794"/>
              <w:jc w:val="right"/>
              <w:rPr>
                <w:rFonts w:ascii="Arial Narrow" w:hAnsi="Arial Narrow" w:cs="Arial Greek"/>
                <w:b/>
                <w:bCs/>
                <w:color w:val="000000"/>
                <w:sz w:val="16"/>
                <w:szCs w:val="16"/>
              </w:rPr>
            </w:pPr>
            <w:r w:rsidRPr="0087182E">
              <w:rPr>
                <w:rFonts w:ascii="Arial Narrow" w:hAnsi="Arial Narrow" w:cs="Arial Greek"/>
                <w:b/>
                <w:bCs/>
                <w:color w:val="000000"/>
                <w:sz w:val="16"/>
                <w:szCs w:val="16"/>
              </w:rPr>
              <w:t>4.117</w:t>
            </w:r>
          </w:p>
        </w:tc>
        <w:tc>
          <w:tcPr>
            <w:tcW w:w="1934" w:type="dxa"/>
            <w:tcBorders>
              <w:top w:val="nil"/>
              <w:left w:val="nil"/>
              <w:bottom w:val="nil"/>
              <w:right w:val="single" w:sz="6" w:space="0" w:color="auto"/>
            </w:tcBorders>
            <w:shd w:val="solid" w:color="C0C0C0" w:fill="auto"/>
            <w:vAlign w:val="center"/>
          </w:tcPr>
          <w:p w:rsidR="00AA531D" w:rsidRPr="0087182E" w:rsidRDefault="00AA531D" w:rsidP="003C4CB4">
            <w:pPr>
              <w:ind w:right="794"/>
              <w:jc w:val="right"/>
              <w:rPr>
                <w:rFonts w:ascii="Arial Narrow" w:hAnsi="Arial Narrow" w:cs="Arial Greek"/>
                <w:b/>
                <w:bCs/>
                <w:color w:val="000000"/>
                <w:sz w:val="16"/>
                <w:szCs w:val="16"/>
              </w:rPr>
            </w:pPr>
            <w:r w:rsidRPr="0087182E">
              <w:rPr>
                <w:rFonts w:ascii="Arial Narrow" w:hAnsi="Arial Narrow" w:cs="Arial Greek"/>
                <w:b/>
                <w:bCs/>
                <w:color w:val="000000"/>
                <w:sz w:val="16"/>
                <w:szCs w:val="16"/>
              </w:rPr>
              <w:t>4.324</w:t>
            </w:r>
          </w:p>
        </w:tc>
      </w:tr>
      <w:tr w:rsidR="00AA531D" w:rsidRPr="00E820AC" w:rsidTr="003C4CB4">
        <w:trPr>
          <w:trHeight w:val="227"/>
          <w:jc w:val="center"/>
        </w:trPr>
        <w:tc>
          <w:tcPr>
            <w:tcW w:w="4882" w:type="dxa"/>
            <w:tcBorders>
              <w:top w:val="nil"/>
              <w:left w:val="single" w:sz="6" w:space="0" w:color="auto"/>
              <w:bottom w:val="nil"/>
              <w:right w:val="nil"/>
            </w:tcBorders>
            <w:shd w:val="solid" w:color="FFFFFF" w:fill="auto"/>
            <w:vAlign w:val="center"/>
          </w:tcPr>
          <w:p w:rsidR="00AA531D" w:rsidRPr="0087182E" w:rsidRDefault="00AA531D" w:rsidP="003C4CB4">
            <w:pPr>
              <w:rPr>
                <w:rFonts w:ascii="Arial Narrow" w:hAnsi="Arial Narrow" w:cs="Arial"/>
                <w:sz w:val="16"/>
                <w:szCs w:val="16"/>
              </w:rPr>
            </w:pPr>
            <w:r w:rsidRPr="0087182E">
              <w:rPr>
                <w:rFonts w:ascii="Arial Narrow" w:hAnsi="Arial Narrow" w:cs="Arial"/>
                <w:sz w:val="16"/>
                <w:szCs w:val="16"/>
              </w:rPr>
              <w:t>Αμοιβές προσωπικού</w:t>
            </w:r>
          </w:p>
        </w:tc>
        <w:tc>
          <w:tcPr>
            <w:tcW w:w="1934" w:type="dxa"/>
            <w:tcBorders>
              <w:top w:val="nil"/>
              <w:left w:val="nil"/>
              <w:bottom w:val="nil"/>
              <w:right w:val="nil"/>
            </w:tcBorders>
            <w:shd w:val="solid" w:color="FFFFFF" w:fill="auto"/>
            <w:vAlign w:val="center"/>
          </w:tcPr>
          <w:p w:rsidR="00AA531D" w:rsidRPr="0087182E" w:rsidRDefault="00AA531D" w:rsidP="003C4CB4">
            <w:pPr>
              <w:ind w:right="794"/>
              <w:jc w:val="right"/>
              <w:rPr>
                <w:rFonts w:ascii="Arial Narrow" w:hAnsi="Arial Narrow" w:cs="Arial Greek"/>
                <w:bCs/>
                <w:color w:val="000000"/>
                <w:sz w:val="16"/>
                <w:szCs w:val="16"/>
              </w:rPr>
            </w:pPr>
            <w:r w:rsidRPr="0087182E">
              <w:rPr>
                <w:rFonts w:ascii="Arial Narrow" w:hAnsi="Arial Narrow" w:cs="Arial Greek"/>
                <w:bCs/>
                <w:color w:val="000000"/>
                <w:sz w:val="16"/>
                <w:szCs w:val="16"/>
              </w:rPr>
              <w:t>705</w:t>
            </w:r>
          </w:p>
        </w:tc>
        <w:tc>
          <w:tcPr>
            <w:tcW w:w="1934" w:type="dxa"/>
            <w:tcBorders>
              <w:top w:val="nil"/>
              <w:left w:val="nil"/>
              <w:bottom w:val="nil"/>
              <w:right w:val="single" w:sz="6" w:space="0" w:color="auto"/>
            </w:tcBorders>
            <w:shd w:val="solid" w:color="FFFFFF" w:fill="auto"/>
            <w:vAlign w:val="center"/>
          </w:tcPr>
          <w:p w:rsidR="00AA531D" w:rsidRPr="0087182E" w:rsidRDefault="00AA531D" w:rsidP="003C4CB4">
            <w:pPr>
              <w:ind w:right="794"/>
              <w:jc w:val="right"/>
              <w:rPr>
                <w:rFonts w:ascii="Arial Narrow" w:hAnsi="Arial Narrow" w:cs="Arial Greek"/>
                <w:bCs/>
                <w:color w:val="000000"/>
                <w:sz w:val="16"/>
                <w:szCs w:val="16"/>
              </w:rPr>
            </w:pPr>
            <w:r w:rsidRPr="0087182E">
              <w:rPr>
                <w:rFonts w:ascii="Arial Narrow" w:hAnsi="Arial Narrow" w:cs="Arial Greek"/>
                <w:bCs/>
                <w:color w:val="000000"/>
                <w:sz w:val="16"/>
                <w:szCs w:val="16"/>
              </w:rPr>
              <w:t>721</w:t>
            </w:r>
          </w:p>
        </w:tc>
      </w:tr>
      <w:tr w:rsidR="00AA531D" w:rsidRPr="00E820AC" w:rsidTr="003C4CB4">
        <w:trPr>
          <w:trHeight w:val="227"/>
          <w:jc w:val="center"/>
        </w:trPr>
        <w:tc>
          <w:tcPr>
            <w:tcW w:w="4882" w:type="dxa"/>
            <w:tcBorders>
              <w:top w:val="nil"/>
              <w:left w:val="single" w:sz="6" w:space="0" w:color="auto"/>
              <w:bottom w:val="nil"/>
              <w:right w:val="nil"/>
            </w:tcBorders>
            <w:vAlign w:val="center"/>
          </w:tcPr>
          <w:p w:rsidR="00AA531D" w:rsidRPr="0087182E" w:rsidRDefault="00AA531D" w:rsidP="003C4CB4">
            <w:pPr>
              <w:rPr>
                <w:rFonts w:ascii="Arial Narrow" w:hAnsi="Arial Narrow" w:cs="Arial"/>
                <w:sz w:val="16"/>
                <w:szCs w:val="16"/>
              </w:rPr>
            </w:pPr>
            <w:r w:rsidRPr="0087182E">
              <w:rPr>
                <w:rFonts w:ascii="Arial Narrow" w:hAnsi="Arial Narrow" w:cs="Arial"/>
                <w:sz w:val="16"/>
                <w:szCs w:val="16"/>
              </w:rPr>
              <w:t>Αποδόσεις εσόδων υπέρ τρίτων</w:t>
            </w:r>
          </w:p>
        </w:tc>
        <w:tc>
          <w:tcPr>
            <w:tcW w:w="1934" w:type="dxa"/>
            <w:tcBorders>
              <w:top w:val="nil"/>
              <w:left w:val="nil"/>
              <w:bottom w:val="nil"/>
              <w:right w:val="nil"/>
            </w:tcBorders>
            <w:shd w:val="solid" w:color="FFFFFF" w:fill="auto"/>
            <w:vAlign w:val="center"/>
          </w:tcPr>
          <w:p w:rsidR="00AA531D" w:rsidRPr="0087182E" w:rsidRDefault="00AA531D" w:rsidP="003C4CB4">
            <w:pPr>
              <w:ind w:right="794"/>
              <w:jc w:val="right"/>
              <w:rPr>
                <w:rFonts w:ascii="Arial Narrow" w:hAnsi="Arial Narrow" w:cs="Arial Greek"/>
                <w:bCs/>
                <w:color w:val="000000"/>
                <w:sz w:val="16"/>
                <w:szCs w:val="16"/>
              </w:rPr>
            </w:pPr>
            <w:r w:rsidRPr="0087182E">
              <w:rPr>
                <w:rFonts w:ascii="Arial Narrow" w:hAnsi="Arial Narrow" w:cs="Arial Greek"/>
                <w:bCs/>
                <w:color w:val="000000"/>
                <w:sz w:val="16"/>
                <w:szCs w:val="16"/>
              </w:rPr>
              <w:t>69</w:t>
            </w:r>
          </w:p>
        </w:tc>
        <w:tc>
          <w:tcPr>
            <w:tcW w:w="1934" w:type="dxa"/>
            <w:tcBorders>
              <w:top w:val="nil"/>
              <w:left w:val="nil"/>
              <w:bottom w:val="nil"/>
              <w:right w:val="single" w:sz="6" w:space="0" w:color="auto"/>
            </w:tcBorders>
            <w:shd w:val="solid" w:color="FFFFFF" w:fill="auto"/>
            <w:vAlign w:val="center"/>
          </w:tcPr>
          <w:p w:rsidR="00AA531D" w:rsidRPr="0087182E" w:rsidRDefault="00AA531D" w:rsidP="003C4CB4">
            <w:pPr>
              <w:ind w:right="794"/>
              <w:jc w:val="right"/>
              <w:rPr>
                <w:rFonts w:ascii="Arial Narrow" w:hAnsi="Arial Narrow" w:cs="Arial Greek"/>
                <w:bCs/>
                <w:color w:val="000000"/>
                <w:sz w:val="16"/>
                <w:szCs w:val="16"/>
              </w:rPr>
            </w:pPr>
            <w:r w:rsidRPr="0087182E">
              <w:rPr>
                <w:rFonts w:ascii="Arial Narrow" w:hAnsi="Arial Narrow" w:cs="Arial Greek"/>
                <w:bCs/>
                <w:color w:val="000000"/>
                <w:sz w:val="16"/>
                <w:szCs w:val="16"/>
              </w:rPr>
              <w:t>88</w:t>
            </w:r>
          </w:p>
        </w:tc>
      </w:tr>
      <w:tr w:rsidR="00AA531D" w:rsidRPr="00E820AC" w:rsidTr="003C4CB4">
        <w:trPr>
          <w:trHeight w:val="227"/>
          <w:jc w:val="center"/>
        </w:trPr>
        <w:tc>
          <w:tcPr>
            <w:tcW w:w="4882" w:type="dxa"/>
            <w:tcBorders>
              <w:top w:val="nil"/>
              <w:left w:val="single" w:sz="6" w:space="0" w:color="auto"/>
              <w:bottom w:val="nil"/>
              <w:right w:val="nil"/>
            </w:tcBorders>
            <w:vAlign w:val="center"/>
          </w:tcPr>
          <w:p w:rsidR="00AA531D" w:rsidRPr="0087182E" w:rsidRDefault="00AA531D" w:rsidP="003C4CB4">
            <w:pPr>
              <w:rPr>
                <w:rFonts w:ascii="Arial Narrow" w:hAnsi="Arial Narrow" w:cs="Arial"/>
                <w:sz w:val="16"/>
                <w:szCs w:val="16"/>
              </w:rPr>
            </w:pPr>
            <w:r w:rsidRPr="0087182E">
              <w:rPr>
                <w:rFonts w:ascii="Arial Narrow" w:hAnsi="Arial Narrow" w:cs="Arial"/>
                <w:sz w:val="16"/>
                <w:szCs w:val="16"/>
              </w:rPr>
              <w:t>Λοιπές μεταβιβάσεις</w:t>
            </w:r>
          </w:p>
        </w:tc>
        <w:tc>
          <w:tcPr>
            <w:tcW w:w="1934" w:type="dxa"/>
            <w:tcBorders>
              <w:top w:val="nil"/>
              <w:left w:val="nil"/>
              <w:bottom w:val="nil"/>
              <w:right w:val="nil"/>
            </w:tcBorders>
            <w:shd w:val="solid" w:color="FFFFFF" w:fill="auto"/>
            <w:vAlign w:val="center"/>
          </w:tcPr>
          <w:p w:rsidR="00AA531D" w:rsidRPr="0087182E" w:rsidRDefault="00AA531D" w:rsidP="003C4CB4">
            <w:pPr>
              <w:ind w:right="794"/>
              <w:jc w:val="right"/>
              <w:rPr>
                <w:rFonts w:ascii="Arial Narrow" w:hAnsi="Arial Narrow" w:cs="Arial Greek"/>
                <w:bCs/>
                <w:color w:val="000000"/>
                <w:sz w:val="16"/>
                <w:szCs w:val="16"/>
              </w:rPr>
            </w:pPr>
            <w:r w:rsidRPr="0087182E">
              <w:rPr>
                <w:rFonts w:ascii="Arial Narrow" w:hAnsi="Arial Narrow" w:cs="Arial Greek"/>
                <w:bCs/>
                <w:color w:val="000000"/>
                <w:sz w:val="16"/>
                <w:szCs w:val="16"/>
              </w:rPr>
              <w:t>259</w:t>
            </w:r>
          </w:p>
        </w:tc>
        <w:tc>
          <w:tcPr>
            <w:tcW w:w="1934" w:type="dxa"/>
            <w:tcBorders>
              <w:top w:val="nil"/>
              <w:left w:val="nil"/>
              <w:bottom w:val="nil"/>
              <w:right w:val="single" w:sz="6" w:space="0" w:color="auto"/>
            </w:tcBorders>
            <w:shd w:val="solid" w:color="FFFFFF" w:fill="auto"/>
            <w:vAlign w:val="center"/>
          </w:tcPr>
          <w:p w:rsidR="00AA531D" w:rsidRPr="0087182E" w:rsidRDefault="00AA531D" w:rsidP="003C4CB4">
            <w:pPr>
              <w:ind w:right="794"/>
              <w:jc w:val="right"/>
              <w:rPr>
                <w:rFonts w:ascii="Arial Narrow" w:hAnsi="Arial Narrow" w:cs="Arial Greek"/>
                <w:bCs/>
                <w:color w:val="000000"/>
                <w:sz w:val="16"/>
                <w:szCs w:val="16"/>
              </w:rPr>
            </w:pPr>
            <w:r w:rsidRPr="0087182E">
              <w:rPr>
                <w:rFonts w:ascii="Arial Narrow" w:hAnsi="Arial Narrow" w:cs="Arial Greek"/>
                <w:bCs/>
                <w:color w:val="000000"/>
                <w:sz w:val="16"/>
                <w:szCs w:val="16"/>
              </w:rPr>
              <w:t>154</w:t>
            </w:r>
          </w:p>
        </w:tc>
      </w:tr>
      <w:tr w:rsidR="00AA531D" w:rsidRPr="00E820AC" w:rsidTr="003C4CB4">
        <w:trPr>
          <w:trHeight w:val="227"/>
          <w:jc w:val="center"/>
        </w:trPr>
        <w:tc>
          <w:tcPr>
            <w:tcW w:w="4882" w:type="dxa"/>
            <w:tcBorders>
              <w:top w:val="nil"/>
              <w:left w:val="single" w:sz="6" w:space="0" w:color="auto"/>
              <w:bottom w:val="nil"/>
              <w:right w:val="nil"/>
            </w:tcBorders>
            <w:vAlign w:val="center"/>
          </w:tcPr>
          <w:p w:rsidR="00AA531D" w:rsidRPr="0087182E" w:rsidRDefault="00AA531D" w:rsidP="003C4CB4">
            <w:pPr>
              <w:rPr>
                <w:rFonts w:ascii="Arial Narrow" w:hAnsi="Arial Narrow" w:cs="Arial"/>
                <w:sz w:val="16"/>
                <w:szCs w:val="16"/>
              </w:rPr>
            </w:pPr>
            <w:r w:rsidRPr="0087182E">
              <w:rPr>
                <w:rFonts w:ascii="Arial Narrow" w:hAnsi="Arial Narrow" w:cs="Arial"/>
                <w:sz w:val="16"/>
                <w:szCs w:val="16"/>
              </w:rPr>
              <w:t>Τόκοι</w:t>
            </w:r>
          </w:p>
        </w:tc>
        <w:tc>
          <w:tcPr>
            <w:tcW w:w="1934" w:type="dxa"/>
            <w:tcBorders>
              <w:top w:val="nil"/>
              <w:left w:val="nil"/>
              <w:bottom w:val="nil"/>
              <w:right w:val="nil"/>
            </w:tcBorders>
            <w:shd w:val="solid" w:color="FFFFFF" w:fill="auto"/>
            <w:vAlign w:val="center"/>
          </w:tcPr>
          <w:p w:rsidR="00AA531D" w:rsidRPr="0087182E" w:rsidRDefault="00AA531D" w:rsidP="003C4CB4">
            <w:pPr>
              <w:ind w:right="794"/>
              <w:jc w:val="right"/>
              <w:rPr>
                <w:rFonts w:ascii="Arial Narrow" w:hAnsi="Arial Narrow" w:cs="Arial Greek"/>
                <w:bCs/>
                <w:color w:val="000000"/>
                <w:sz w:val="16"/>
                <w:szCs w:val="16"/>
              </w:rPr>
            </w:pPr>
            <w:r w:rsidRPr="0087182E">
              <w:rPr>
                <w:rFonts w:ascii="Arial Narrow" w:hAnsi="Arial Narrow" w:cs="Arial Greek"/>
                <w:bCs/>
                <w:color w:val="000000"/>
                <w:sz w:val="16"/>
                <w:szCs w:val="16"/>
              </w:rPr>
              <w:t>99</w:t>
            </w:r>
          </w:p>
        </w:tc>
        <w:tc>
          <w:tcPr>
            <w:tcW w:w="1934" w:type="dxa"/>
            <w:tcBorders>
              <w:top w:val="nil"/>
              <w:left w:val="nil"/>
              <w:bottom w:val="nil"/>
              <w:right w:val="single" w:sz="6" w:space="0" w:color="auto"/>
            </w:tcBorders>
            <w:shd w:val="solid" w:color="FFFFFF" w:fill="auto"/>
            <w:vAlign w:val="center"/>
          </w:tcPr>
          <w:p w:rsidR="00AA531D" w:rsidRPr="0087182E" w:rsidRDefault="00AA531D" w:rsidP="003C4CB4">
            <w:pPr>
              <w:ind w:right="794"/>
              <w:jc w:val="right"/>
              <w:rPr>
                <w:rFonts w:ascii="Arial Narrow" w:hAnsi="Arial Narrow" w:cs="Arial Greek"/>
                <w:bCs/>
                <w:color w:val="000000"/>
                <w:sz w:val="16"/>
                <w:szCs w:val="16"/>
              </w:rPr>
            </w:pPr>
            <w:r w:rsidRPr="0087182E">
              <w:rPr>
                <w:rFonts w:ascii="Arial Narrow" w:hAnsi="Arial Narrow" w:cs="Arial Greek"/>
                <w:bCs/>
                <w:color w:val="000000"/>
                <w:sz w:val="16"/>
                <w:szCs w:val="16"/>
              </w:rPr>
              <w:t>110</w:t>
            </w:r>
          </w:p>
        </w:tc>
      </w:tr>
      <w:tr w:rsidR="00AA531D" w:rsidRPr="00E820AC" w:rsidTr="003C4CB4">
        <w:trPr>
          <w:trHeight w:val="227"/>
          <w:jc w:val="center"/>
        </w:trPr>
        <w:tc>
          <w:tcPr>
            <w:tcW w:w="4882" w:type="dxa"/>
            <w:tcBorders>
              <w:top w:val="nil"/>
              <w:left w:val="single" w:sz="6" w:space="0" w:color="auto"/>
              <w:bottom w:val="nil"/>
              <w:right w:val="nil"/>
            </w:tcBorders>
            <w:vAlign w:val="center"/>
          </w:tcPr>
          <w:p w:rsidR="00AA531D" w:rsidRPr="0087182E" w:rsidRDefault="00AA531D" w:rsidP="003C4CB4">
            <w:pPr>
              <w:rPr>
                <w:rFonts w:ascii="Arial Narrow" w:hAnsi="Arial Narrow" w:cs="Arial"/>
                <w:sz w:val="16"/>
                <w:szCs w:val="16"/>
              </w:rPr>
            </w:pPr>
            <w:r w:rsidRPr="0087182E">
              <w:rPr>
                <w:rFonts w:ascii="Arial Narrow" w:hAnsi="Arial Narrow" w:cs="Arial"/>
                <w:sz w:val="16"/>
                <w:szCs w:val="16"/>
              </w:rPr>
              <w:t>Δαπάνες επενδύσεων</w:t>
            </w:r>
          </w:p>
        </w:tc>
        <w:tc>
          <w:tcPr>
            <w:tcW w:w="1934" w:type="dxa"/>
            <w:tcBorders>
              <w:top w:val="nil"/>
              <w:left w:val="nil"/>
              <w:bottom w:val="nil"/>
              <w:right w:val="nil"/>
            </w:tcBorders>
            <w:shd w:val="solid" w:color="FFFFFF" w:fill="auto"/>
            <w:vAlign w:val="center"/>
          </w:tcPr>
          <w:p w:rsidR="00AA531D" w:rsidRPr="0087182E" w:rsidRDefault="00AA531D" w:rsidP="003C4CB4">
            <w:pPr>
              <w:ind w:right="794"/>
              <w:jc w:val="right"/>
              <w:rPr>
                <w:rFonts w:ascii="Arial Narrow" w:hAnsi="Arial Narrow" w:cs="Arial Greek"/>
                <w:bCs/>
                <w:color w:val="000000"/>
                <w:sz w:val="16"/>
                <w:szCs w:val="16"/>
              </w:rPr>
            </w:pPr>
            <w:r w:rsidRPr="0087182E">
              <w:rPr>
                <w:rFonts w:ascii="Arial Narrow" w:hAnsi="Arial Narrow" w:cs="Arial Greek"/>
                <w:bCs/>
                <w:color w:val="000000"/>
                <w:sz w:val="16"/>
                <w:szCs w:val="16"/>
              </w:rPr>
              <w:t>381</w:t>
            </w:r>
          </w:p>
        </w:tc>
        <w:tc>
          <w:tcPr>
            <w:tcW w:w="1934" w:type="dxa"/>
            <w:tcBorders>
              <w:top w:val="nil"/>
              <w:left w:val="nil"/>
              <w:bottom w:val="nil"/>
              <w:right w:val="single" w:sz="6" w:space="0" w:color="auto"/>
            </w:tcBorders>
            <w:shd w:val="solid" w:color="FFFFFF" w:fill="auto"/>
            <w:vAlign w:val="center"/>
          </w:tcPr>
          <w:p w:rsidR="00AA531D" w:rsidRPr="0087182E" w:rsidRDefault="00AA531D" w:rsidP="003C4CB4">
            <w:pPr>
              <w:ind w:right="794"/>
              <w:jc w:val="right"/>
              <w:rPr>
                <w:rFonts w:ascii="Arial Narrow" w:hAnsi="Arial Narrow" w:cs="Arial Greek"/>
                <w:bCs/>
                <w:color w:val="000000"/>
                <w:sz w:val="16"/>
                <w:szCs w:val="16"/>
              </w:rPr>
            </w:pPr>
            <w:r w:rsidRPr="0087182E">
              <w:rPr>
                <w:rFonts w:ascii="Arial Narrow" w:hAnsi="Arial Narrow" w:cs="Arial Greek"/>
                <w:bCs/>
                <w:color w:val="000000"/>
                <w:sz w:val="16"/>
                <w:szCs w:val="16"/>
              </w:rPr>
              <w:t>594</w:t>
            </w:r>
          </w:p>
        </w:tc>
      </w:tr>
      <w:tr w:rsidR="00AA531D" w:rsidRPr="00E820AC" w:rsidTr="003C4CB4">
        <w:trPr>
          <w:trHeight w:val="227"/>
          <w:jc w:val="center"/>
        </w:trPr>
        <w:tc>
          <w:tcPr>
            <w:tcW w:w="4882" w:type="dxa"/>
            <w:tcBorders>
              <w:top w:val="nil"/>
              <w:left w:val="single" w:sz="6" w:space="0" w:color="auto"/>
              <w:bottom w:val="nil"/>
              <w:right w:val="nil"/>
            </w:tcBorders>
            <w:vAlign w:val="center"/>
          </w:tcPr>
          <w:p w:rsidR="00AA531D" w:rsidRPr="0087182E" w:rsidRDefault="00AA531D" w:rsidP="003C4CB4">
            <w:pPr>
              <w:rPr>
                <w:rFonts w:ascii="Arial Narrow" w:hAnsi="Arial Narrow" w:cs="Arial"/>
                <w:sz w:val="16"/>
                <w:szCs w:val="16"/>
              </w:rPr>
            </w:pPr>
            <w:r w:rsidRPr="0087182E">
              <w:rPr>
                <w:rFonts w:ascii="Arial Narrow" w:hAnsi="Arial Narrow" w:cs="Arial"/>
                <w:sz w:val="16"/>
                <w:szCs w:val="16"/>
              </w:rPr>
              <w:t>Λοιπές δαπάνες</w:t>
            </w:r>
          </w:p>
        </w:tc>
        <w:tc>
          <w:tcPr>
            <w:tcW w:w="1934" w:type="dxa"/>
            <w:tcBorders>
              <w:top w:val="nil"/>
              <w:left w:val="nil"/>
              <w:bottom w:val="nil"/>
              <w:right w:val="nil"/>
            </w:tcBorders>
            <w:shd w:val="solid" w:color="FFFFFF" w:fill="auto"/>
            <w:vAlign w:val="center"/>
          </w:tcPr>
          <w:p w:rsidR="00AA531D" w:rsidRPr="0087182E" w:rsidRDefault="00AA531D" w:rsidP="003C4CB4">
            <w:pPr>
              <w:ind w:right="794"/>
              <w:jc w:val="right"/>
              <w:rPr>
                <w:rFonts w:ascii="Arial Narrow" w:hAnsi="Arial Narrow" w:cs="Arial Greek"/>
                <w:bCs/>
                <w:color w:val="000000"/>
                <w:sz w:val="16"/>
                <w:szCs w:val="16"/>
              </w:rPr>
            </w:pPr>
            <w:r w:rsidRPr="0087182E">
              <w:rPr>
                <w:rFonts w:ascii="Arial Narrow" w:hAnsi="Arial Narrow" w:cs="Arial Greek"/>
                <w:bCs/>
                <w:color w:val="000000"/>
                <w:sz w:val="16"/>
                <w:szCs w:val="16"/>
              </w:rPr>
              <w:t>2.604</w:t>
            </w:r>
          </w:p>
        </w:tc>
        <w:tc>
          <w:tcPr>
            <w:tcW w:w="1934" w:type="dxa"/>
            <w:tcBorders>
              <w:top w:val="nil"/>
              <w:left w:val="nil"/>
              <w:bottom w:val="nil"/>
              <w:right w:val="single" w:sz="6" w:space="0" w:color="auto"/>
            </w:tcBorders>
            <w:shd w:val="solid" w:color="FFFFFF" w:fill="auto"/>
            <w:vAlign w:val="center"/>
          </w:tcPr>
          <w:p w:rsidR="00AA531D" w:rsidRPr="0087182E" w:rsidRDefault="00AA531D" w:rsidP="003C4CB4">
            <w:pPr>
              <w:ind w:right="794"/>
              <w:jc w:val="right"/>
              <w:rPr>
                <w:rFonts w:ascii="Arial Narrow" w:hAnsi="Arial Narrow" w:cs="Arial Greek"/>
                <w:bCs/>
                <w:color w:val="000000"/>
                <w:sz w:val="16"/>
                <w:szCs w:val="16"/>
              </w:rPr>
            </w:pPr>
            <w:r w:rsidRPr="0087182E">
              <w:rPr>
                <w:rFonts w:ascii="Arial Narrow" w:hAnsi="Arial Narrow" w:cs="Arial Greek"/>
                <w:bCs/>
                <w:color w:val="000000"/>
                <w:sz w:val="16"/>
                <w:szCs w:val="16"/>
              </w:rPr>
              <w:t>2.658</w:t>
            </w:r>
          </w:p>
        </w:tc>
      </w:tr>
      <w:tr w:rsidR="00AA531D" w:rsidRPr="00E820AC" w:rsidTr="003C4CB4">
        <w:trPr>
          <w:trHeight w:val="227"/>
          <w:jc w:val="center"/>
        </w:trPr>
        <w:tc>
          <w:tcPr>
            <w:tcW w:w="4882" w:type="dxa"/>
            <w:tcBorders>
              <w:top w:val="nil"/>
              <w:left w:val="single" w:sz="6" w:space="0" w:color="auto"/>
              <w:bottom w:val="nil"/>
              <w:right w:val="nil"/>
            </w:tcBorders>
            <w:shd w:val="solid" w:color="C0C0C0" w:fill="auto"/>
            <w:vAlign w:val="center"/>
          </w:tcPr>
          <w:p w:rsidR="00AA531D" w:rsidRPr="0087182E" w:rsidRDefault="00AA531D" w:rsidP="003C4CB4">
            <w:pPr>
              <w:rPr>
                <w:rFonts w:ascii="Arial Narrow" w:hAnsi="Arial Narrow" w:cs="Arial"/>
                <w:b/>
                <w:bCs/>
                <w:sz w:val="16"/>
                <w:szCs w:val="16"/>
              </w:rPr>
            </w:pPr>
            <w:r w:rsidRPr="0087182E">
              <w:rPr>
                <w:rFonts w:ascii="Arial Narrow" w:hAnsi="Arial Narrow" w:cs="Arial"/>
                <w:b/>
                <w:bCs/>
                <w:sz w:val="16"/>
                <w:szCs w:val="16"/>
              </w:rPr>
              <w:t>Ισοζύγιο</w:t>
            </w:r>
          </w:p>
        </w:tc>
        <w:tc>
          <w:tcPr>
            <w:tcW w:w="1934" w:type="dxa"/>
            <w:tcBorders>
              <w:top w:val="nil"/>
              <w:left w:val="nil"/>
              <w:bottom w:val="nil"/>
              <w:right w:val="nil"/>
            </w:tcBorders>
            <w:shd w:val="solid" w:color="C0C0C0" w:fill="auto"/>
            <w:vAlign w:val="center"/>
          </w:tcPr>
          <w:p w:rsidR="00AA531D" w:rsidRPr="0087182E" w:rsidRDefault="00AA531D" w:rsidP="003C4CB4">
            <w:pPr>
              <w:ind w:right="794"/>
              <w:jc w:val="right"/>
              <w:rPr>
                <w:rFonts w:ascii="Arial Narrow" w:hAnsi="Arial Narrow" w:cs="Arial Greek"/>
                <w:b/>
                <w:bCs/>
                <w:color w:val="000000"/>
                <w:sz w:val="16"/>
                <w:szCs w:val="16"/>
              </w:rPr>
            </w:pPr>
            <w:r w:rsidRPr="0087182E">
              <w:rPr>
                <w:rFonts w:ascii="Arial Narrow" w:hAnsi="Arial Narrow" w:cs="Arial Greek"/>
                <w:b/>
                <w:bCs/>
                <w:color w:val="000000"/>
                <w:sz w:val="16"/>
                <w:szCs w:val="16"/>
              </w:rPr>
              <w:t>1.780</w:t>
            </w:r>
          </w:p>
        </w:tc>
        <w:tc>
          <w:tcPr>
            <w:tcW w:w="1934" w:type="dxa"/>
            <w:tcBorders>
              <w:top w:val="nil"/>
              <w:left w:val="nil"/>
              <w:bottom w:val="nil"/>
              <w:right w:val="single" w:sz="6" w:space="0" w:color="auto"/>
            </w:tcBorders>
            <w:shd w:val="solid" w:color="C0C0C0" w:fill="auto"/>
            <w:vAlign w:val="center"/>
          </w:tcPr>
          <w:p w:rsidR="00AA531D" w:rsidRPr="0087182E" w:rsidRDefault="00AA531D" w:rsidP="003C4CB4">
            <w:pPr>
              <w:ind w:right="794"/>
              <w:jc w:val="right"/>
              <w:rPr>
                <w:rFonts w:ascii="Arial Narrow" w:hAnsi="Arial Narrow" w:cs="Arial Greek"/>
                <w:b/>
                <w:bCs/>
                <w:color w:val="000000"/>
                <w:sz w:val="16"/>
                <w:szCs w:val="16"/>
              </w:rPr>
            </w:pPr>
            <w:r w:rsidRPr="0087182E">
              <w:rPr>
                <w:rFonts w:ascii="Arial Narrow" w:hAnsi="Arial Narrow" w:cs="Arial Greek"/>
                <w:b/>
                <w:bCs/>
                <w:color w:val="000000"/>
                <w:sz w:val="16"/>
                <w:szCs w:val="16"/>
              </w:rPr>
              <w:t>2.145</w:t>
            </w:r>
          </w:p>
        </w:tc>
      </w:tr>
      <w:tr w:rsidR="00AA531D" w:rsidRPr="00E820AC" w:rsidTr="003C4CB4">
        <w:trPr>
          <w:trHeight w:val="227"/>
          <w:jc w:val="center"/>
        </w:trPr>
        <w:tc>
          <w:tcPr>
            <w:tcW w:w="4882" w:type="dxa"/>
            <w:tcBorders>
              <w:top w:val="nil"/>
              <w:left w:val="single" w:sz="6" w:space="0" w:color="auto"/>
              <w:bottom w:val="nil"/>
              <w:right w:val="nil"/>
            </w:tcBorders>
            <w:shd w:val="solid" w:color="FFFFFF" w:fill="auto"/>
            <w:vAlign w:val="center"/>
          </w:tcPr>
          <w:p w:rsidR="00AA531D" w:rsidRPr="0087182E" w:rsidRDefault="00AA531D" w:rsidP="003C4CB4">
            <w:pPr>
              <w:rPr>
                <w:rFonts w:ascii="Arial Narrow" w:hAnsi="Arial Narrow" w:cs="Arial"/>
                <w:sz w:val="16"/>
                <w:szCs w:val="16"/>
                <w:lang w:val="en-US"/>
              </w:rPr>
            </w:pPr>
            <w:r w:rsidRPr="0087182E">
              <w:rPr>
                <w:rFonts w:ascii="Arial Narrow" w:hAnsi="Arial Narrow" w:cs="Arial"/>
                <w:sz w:val="16"/>
                <w:szCs w:val="16"/>
              </w:rPr>
              <w:t>Μεταβολή απλήρωτων υποχρεώσεων</w:t>
            </w:r>
            <w:r w:rsidRPr="000578D4">
              <w:rPr>
                <w:rFonts w:ascii="Arial Narrow" w:hAnsi="Arial Narrow" w:cs="Arial"/>
                <w:sz w:val="16"/>
                <w:szCs w:val="16"/>
                <w:vertAlign w:val="superscript"/>
                <w:lang w:val="en-US"/>
              </w:rPr>
              <w:t>1</w:t>
            </w:r>
          </w:p>
        </w:tc>
        <w:tc>
          <w:tcPr>
            <w:tcW w:w="1934" w:type="dxa"/>
            <w:tcBorders>
              <w:top w:val="nil"/>
              <w:left w:val="nil"/>
              <w:bottom w:val="nil"/>
              <w:right w:val="nil"/>
            </w:tcBorders>
            <w:shd w:val="clear" w:color="auto" w:fill="auto"/>
            <w:vAlign w:val="center"/>
          </w:tcPr>
          <w:p w:rsidR="00AA531D" w:rsidRPr="0087182E" w:rsidRDefault="00AA531D" w:rsidP="003C4CB4">
            <w:pPr>
              <w:ind w:right="794"/>
              <w:jc w:val="right"/>
              <w:rPr>
                <w:rFonts w:ascii="Arial Narrow" w:hAnsi="Arial Narrow" w:cs="Arial Greek"/>
                <w:bCs/>
                <w:color w:val="000000"/>
                <w:sz w:val="16"/>
                <w:szCs w:val="16"/>
              </w:rPr>
            </w:pPr>
            <w:r w:rsidRPr="0087182E">
              <w:rPr>
                <w:rFonts w:ascii="Arial Narrow" w:hAnsi="Arial Narrow" w:cs="Arial Greek"/>
                <w:bCs/>
                <w:color w:val="000000"/>
                <w:sz w:val="16"/>
                <w:szCs w:val="16"/>
              </w:rPr>
              <w:t>8</w:t>
            </w:r>
          </w:p>
        </w:tc>
        <w:tc>
          <w:tcPr>
            <w:tcW w:w="1934" w:type="dxa"/>
            <w:tcBorders>
              <w:top w:val="nil"/>
              <w:left w:val="nil"/>
              <w:bottom w:val="nil"/>
              <w:right w:val="single" w:sz="6" w:space="0" w:color="auto"/>
            </w:tcBorders>
            <w:shd w:val="clear" w:color="auto" w:fill="auto"/>
            <w:vAlign w:val="center"/>
          </w:tcPr>
          <w:p w:rsidR="00AA531D" w:rsidRPr="0087182E" w:rsidRDefault="00AA531D" w:rsidP="003C4CB4">
            <w:pPr>
              <w:ind w:right="794"/>
              <w:jc w:val="right"/>
              <w:rPr>
                <w:rFonts w:ascii="Arial Narrow" w:hAnsi="Arial Narrow" w:cs="Arial Greek"/>
                <w:bCs/>
                <w:color w:val="000000"/>
                <w:sz w:val="16"/>
                <w:szCs w:val="16"/>
              </w:rPr>
            </w:pPr>
            <w:r w:rsidRPr="0087182E">
              <w:rPr>
                <w:rFonts w:ascii="Arial Narrow" w:hAnsi="Arial Narrow" w:cs="Arial Greek"/>
                <w:bCs/>
                <w:color w:val="000000"/>
                <w:sz w:val="16"/>
                <w:szCs w:val="16"/>
              </w:rPr>
              <w:t>42</w:t>
            </w:r>
          </w:p>
        </w:tc>
      </w:tr>
      <w:tr w:rsidR="00AA531D" w:rsidRPr="00E820AC" w:rsidTr="003C4CB4">
        <w:trPr>
          <w:trHeight w:val="227"/>
          <w:jc w:val="center"/>
        </w:trPr>
        <w:tc>
          <w:tcPr>
            <w:tcW w:w="4882" w:type="dxa"/>
            <w:tcBorders>
              <w:top w:val="nil"/>
              <w:left w:val="single" w:sz="6" w:space="0" w:color="auto"/>
              <w:bottom w:val="nil"/>
              <w:right w:val="nil"/>
            </w:tcBorders>
            <w:shd w:val="solid" w:color="FFFFFF" w:fill="auto"/>
            <w:vAlign w:val="center"/>
          </w:tcPr>
          <w:p w:rsidR="00AA531D" w:rsidRPr="0087182E" w:rsidRDefault="00AA531D" w:rsidP="003C4CB4">
            <w:pPr>
              <w:rPr>
                <w:rFonts w:ascii="Arial Narrow" w:hAnsi="Arial Narrow" w:cs="Arial"/>
                <w:sz w:val="16"/>
                <w:szCs w:val="16"/>
              </w:rPr>
            </w:pPr>
            <w:r w:rsidRPr="0087182E">
              <w:rPr>
                <w:rFonts w:ascii="Arial Narrow" w:hAnsi="Arial Narrow" w:cs="Arial"/>
                <w:sz w:val="16"/>
                <w:szCs w:val="16"/>
              </w:rPr>
              <w:t>Λοιπές εθνικολογιστικές προσαρμογές</w:t>
            </w:r>
          </w:p>
        </w:tc>
        <w:tc>
          <w:tcPr>
            <w:tcW w:w="1934" w:type="dxa"/>
            <w:tcBorders>
              <w:top w:val="nil"/>
              <w:left w:val="nil"/>
              <w:bottom w:val="nil"/>
              <w:right w:val="nil"/>
            </w:tcBorders>
            <w:shd w:val="clear" w:color="auto" w:fill="auto"/>
            <w:vAlign w:val="center"/>
          </w:tcPr>
          <w:p w:rsidR="00AA531D" w:rsidRPr="0087182E" w:rsidRDefault="00AA531D" w:rsidP="003C4CB4">
            <w:pPr>
              <w:ind w:right="794"/>
              <w:jc w:val="right"/>
              <w:rPr>
                <w:rFonts w:ascii="Arial Narrow" w:hAnsi="Arial Narrow" w:cs="Arial Greek"/>
                <w:bCs/>
                <w:color w:val="000000"/>
                <w:sz w:val="16"/>
                <w:szCs w:val="16"/>
              </w:rPr>
            </w:pPr>
            <w:r w:rsidRPr="0087182E">
              <w:rPr>
                <w:rFonts w:ascii="Arial Narrow" w:hAnsi="Arial Narrow" w:cs="Arial Greek"/>
                <w:bCs/>
                <w:color w:val="000000"/>
                <w:sz w:val="16"/>
                <w:szCs w:val="16"/>
              </w:rPr>
              <w:t>1.023</w:t>
            </w:r>
          </w:p>
        </w:tc>
        <w:tc>
          <w:tcPr>
            <w:tcW w:w="1934" w:type="dxa"/>
            <w:tcBorders>
              <w:top w:val="nil"/>
              <w:left w:val="nil"/>
              <w:bottom w:val="nil"/>
              <w:right w:val="single" w:sz="6" w:space="0" w:color="auto"/>
            </w:tcBorders>
            <w:shd w:val="clear" w:color="auto" w:fill="auto"/>
            <w:vAlign w:val="center"/>
          </w:tcPr>
          <w:p w:rsidR="00AA531D" w:rsidRPr="0087182E" w:rsidRDefault="00AA531D" w:rsidP="003C4CB4">
            <w:pPr>
              <w:ind w:right="794"/>
              <w:jc w:val="right"/>
              <w:rPr>
                <w:rFonts w:ascii="Arial Narrow" w:hAnsi="Arial Narrow" w:cs="Arial Greek"/>
                <w:bCs/>
                <w:color w:val="000000"/>
                <w:sz w:val="16"/>
                <w:szCs w:val="16"/>
              </w:rPr>
            </w:pPr>
            <w:r w:rsidRPr="0087182E">
              <w:rPr>
                <w:rFonts w:ascii="Arial Narrow" w:hAnsi="Arial Narrow" w:cs="Arial Greek"/>
                <w:bCs/>
                <w:color w:val="000000"/>
                <w:sz w:val="16"/>
                <w:szCs w:val="16"/>
              </w:rPr>
              <w:t>20</w:t>
            </w:r>
          </w:p>
        </w:tc>
      </w:tr>
      <w:tr w:rsidR="00AA531D" w:rsidRPr="00E820AC" w:rsidTr="003C4CB4">
        <w:trPr>
          <w:trHeight w:val="227"/>
          <w:jc w:val="center"/>
        </w:trPr>
        <w:tc>
          <w:tcPr>
            <w:tcW w:w="4882" w:type="dxa"/>
            <w:tcBorders>
              <w:top w:val="nil"/>
              <w:left w:val="single" w:sz="6" w:space="0" w:color="auto"/>
              <w:bottom w:val="single" w:sz="6" w:space="0" w:color="auto"/>
              <w:right w:val="nil"/>
            </w:tcBorders>
            <w:shd w:val="solid" w:color="C0C0C0" w:fill="auto"/>
            <w:vAlign w:val="center"/>
          </w:tcPr>
          <w:p w:rsidR="00AA531D" w:rsidRPr="0087182E" w:rsidRDefault="00AA531D" w:rsidP="003C4CB4">
            <w:pPr>
              <w:rPr>
                <w:rFonts w:ascii="Arial Narrow" w:hAnsi="Arial Narrow" w:cs="Arial"/>
                <w:b/>
                <w:bCs/>
                <w:sz w:val="16"/>
                <w:szCs w:val="16"/>
              </w:rPr>
            </w:pPr>
            <w:r w:rsidRPr="0087182E">
              <w:rPr>
                <w:rFonts w:ascii="Arial Narrow" w:hAnsi="Arial Narrow" w:cs="Arial"/>
                <w:b/>
                <w:bCs/>
                <w:sz w:val="16"/>
                <w:szCs w:val="16"/>
              </w:rPr>
              <w:t xml:space="preserve">Ισοζύγιο κατά ESA </w:t>
            </w:r>
          </w:p>
        </w:tc>
        <w:tc>
          <w:tcPr>
            <w:tcW w:w="1934" w:type="dxa"/>
            <w:tcBorders>
              <w:top w:val="nil"/>
              <w:left w:val="nil"/>
              <w:bottom w:val="single" w:sz="6" w:space="0" w:color="auto"/>
              <w:right w:val="nil"/>
            </w:tcBorders>
            <w:shd w:val="solid" w:color="C0C0C0" w:fill="auto"/>
            <w:vAlign w:val="center"/>
          </w:tcPr>
          <w:p w:rsidR="00AA531D" w:rsidRPr="0087182E" w:rsidRDefault="00AA531D" w:rsidP="003C4CB4">
            <w:pPr>
              <w:ind w:right="794"/>
              <w:jc w:val="right"/>
              <w:rPr>
                <w:rFonts w:ascii="Arial Narrow" w:hAnsi="Arial Narrow" w:cs="Arial Greek"/>
                <w:b/>
                <w:bCs/>
                <w:color w:val="000000"/>
                <w:sz w:val="16"/>
                <w:szCs w:val="16"/>
              </w:rPr>
            </w:pPr>
            <w:r w:rsidRPr="0087182E">
              <w:rPr>
                <w:rFonts w:ascii="Arial Narrow" w:hAnsi="Arial Narrow" w:cs="Arial Greek"/>
                <w:b/>
                <w:bCs/>
                <w:color w:val="000000"/>
                <w:sz w:val="16"/>
                <w:szCs w:val="16"/>
              </w:rPr>
              <w:t>2.810</w:t>
            </w:r>
          </w:p>
        </w:tc>
        <w:tc>
          <w:tcPr>
            <w:tcW w:w="1934" w:type="dxa"/>
            <w:tcBorders>
              <w:top w:val="nil"/>
              <w:left w:val="nil"/>
              <w:bottom w:val="single" w:sz="6" w:space="0" w:color="auto"/>
              <w:right w:val="single" w:sz="6" w:space="0" w:color="auto"/>
            </w:tcBorders>
            <w:shd w:val="solid" w:color="C0C0C0" w:fill="auto"/>
            <w:vAlign w:val="center"/>
          </w:tcPr>
          <w:p w:rsidR="00AA531D" w:rsidRPr="0087182E" w:rsidRDefault="00AA531D" w:rsidP="003C4CB4">
            <w:pPr>
              <w:ind w:right="794"/>
              <w:jc w:val="right"/>
              <w:rPr>
                <w:rFonts w:ascii="Arial Narrow" w:hAnsi="Arial Narrow" w:cs="Arial Greek"/>
                <w:b/>
                <w:bCs/>
                <w:color w:val="000000"/>
                <w:sz w:val="16"/>
                <w:szCs w:val="16"/>
              </w:rPr>
            </w:pPr>
            <w:r w:rsidRPr="0087182E">
              <w:rPr>
                <w:rFonts w:ascii="Arial Narrow" w:hAnsi="Arial Narrow" w:cs="Arial Greek"/>
                <w:b/>
                <w:bCs/>
                <w:color w:val="000000"/>
                <w:sz w:val="16"/>
                <w:szCs w:val="16"/>
              </w:rPr>
              <w:t>2.207</w:t>
            </w:r>
          </w:p>
        </w:tc>
      </w:tr>
    </w:tbl>
    <w:p w:rsidR="00AA531D" w:rsidRPr="002B4ACC" w:rsidRDefault="00AA531D" w:rsidP="00AA531D">
      <w:pPr>
        <w:ind w:left="426" w:right="282" w:hanging="284"/>
        <w:jc w:val="both"/>
        <w:rPr>
          <w:rFonts w:ascii="Arial Narrow" w:hAnsi="Arial Narrow"/>
          <w:sz w:val="16"/>
          <w:szCs w:val="16"/>
        </w:rPr>
      </w:pPr>
      <w:r>
        <w:rPr>
          <w:rFonts w:ascii="Arial Narrow" w:hAnsi="Arial Narrow"/>
          <w:sz w:val="16"/>
          <w:szCs w:val="16"/>
          <w:vertAlign w:val="superscript"/>
        </w:rPr>
        <w:t>1</w:t>
      </w:r>
      <w:r>
        <w:rPr>
          <w:rFonts w:ascii="Arial Narrow" w:hAnsi="Arial Narrow"/>
          <w:sz w:val="16"/>
          <w:szCs w:val="16"/>
          <w:vertAlign w:val="superscript"/>
        </w:rPr>
        <w:tab/>
      </w:r>
      <w:r w:rsidRPr="002B4ACC">
        <w:rPr>
          <w:rFonts w:ascii="Arial Narrow" w:hAnsi="Arial Narrow"/>
          <w:sz w:val="16"/>
          <w:szCs w:val="16"/>
        </w:rPr>
        <w:t>Το θετικό πρόσημο στη μεταβολή των απλήρωτων υποχρεώσεων σημαίνει βελτίωση του αποτελέσματος.</w:t>
      </w:r>
    </w:p>
    <w:p w:rsidR="004618CD" w:rsidRDefault="004618CD" w:rsidP="004618CD">
      <w:pPr>
        <w:jc w:val="both"/>
        <w:rPr>
          <w:sz w:val="22"/>
          <w:szCs w:val="22"/>
        </w:rPr>
      </w:pPr>
    </w:p>
    <w:p w:rsidR="000578D4" w:rsidRDefault="000578D4" w:rsidP="000578D4">
      <w:pPr>
        <w:jc w:val="both"/>
        <w:rPr>
          <w:sz w:val="22"/>
          <w:szCs w:val="22"/>
        </w:rPr>
      </w:pPr>
      <w:r w:rsidRPr="004D33A2">
        <w:rPr>
          <w:sz w:val="22"/>
          <w:szCs w:val="22"/>
        </w:rPr>
        <w:t xml:space="preserve">Με βάση την πορεία εξέλιξης </w:t>
      </w:r>
      <w:r>
        <w:rPr>
          <w:sz w:val="22"/>
          <w:szCs w:val="22"/>
        </w:rPr>
        <w:t xml:space="preserve">των μεγεθών των προϋπολογισμών </w:t>
      </w:r>
      <w:r w:rsidRPr="004D33A2">
        <w:rPr>
          <w:sz w:val="22"/>
          <w:szCs w:val="22"/>
        </w:rPr>
        <w:t xml:space="preserve">των </w:t>
      </w:r>
      <w:r w:rsidRPr="00D6601E">
        <w:rPr>
          <w:sz w:val="22"/>
          <w:szCs w:val="22"/>
        </w:rPr>
        <w:t>λοιπών</w:t>
      </w:r>
      <w:r>
        <w:rPr>
          <w:sz w:val="22"/>
          <w:szCs w:val="22"/>
        </w:rPr>
        <w:t xml:space="preserve"> </w:t>
      </w:r>
      <w:r w:rsidRPr="004D33A2">
        <w:rPr>
          <w:sz w:val="22"/>
          <w:szCs w:val="22"/>
        </w:rPr>
        <w:t>νομικών προσώπων</w:t>
      </w:r>
      <w:r w:rsidRPr="0088395A">
        <w:rPr>
          <w:sz w:val="22"/>
          <w:szCs w:val="22"/>
        </w:rPr>
        <w:t xml:space="preserve"> </w:t>
      </w:r>
      <w:r>
        <w:rPr>
          <w:sz w:val="22"/>
          <w:szCs w:val="22"/>
        </w:rPr>
        <w:t>Κ</w:t>
      </w:r>
      <w:r>
        <w:rPr>
          <w:sz w:val="22"/>
          <w:szCs w:val="22"/>
        </w:rPr>
        <w:t>ε</w:t>
      </w:r>
      <w:r>
        <w:rPr>
          <w:sz w:val="22"/>
          <w:szCs w:val="22"/>
        </w:rPr>
        <w:t>ντρικής Κυβέρνησης</w:t>
      </w:r>
      <w:r w:rsidRPr="004D33A2">
        <w:rPr>
          <w:sz w:val="22"/>
          <w:szCs w:val="22"/>
        </w:rPr>
        <w:t>, το ισοζύγιο για το 20</w:t>
      </w:r>
      <w:r>
        <w:rPr>
          <w:sz w:val="22"/>
          <w:szCs w:val="22"/>
        </w:rPr>
        <w:t>20</w:t>
      </w:r>
      <w:r w:rsidRPr="004D33A2">
        <w:rPr>
          <w:sz w:val="22"/>
          <w:szCs w:val="22"/>
        </w:rPr>
        <w:t xml:space="preserve"> εκτιμάται ότι θα διαμορφωθεί σε πλεόνασμα ύψους </w:t>
      </w:r>
      <w:r>
        <w:rPr>
          <w:sz w:val="22"/>
          <w:szCs w:val="22"/>
        </w:rPr>
        <w:t>2</w:t>
      </w:r>
      <w:r w:rsidRPr="00EF0658">
        <w:rPr>
          <w:sz w:val="22"/>
          <w:szCs w:val="22"/>
        </w:rPr>
        <w:t>.</w:t>
      </w:r>
      <w:r>
        <w:rPr>
          <w:sz w:val="22"/>
          <w:szCs w:val="22"/>
        </w:rPr>
        <w:t>810</w:t>
      </w:r>
      <w:r w:rsidRPr="00EF0658">
        <w:rPr>
          <w:sz w:val="22"/>
          <w:szCs w:val="22"/>
        </w:rPr>
        <w:t xml:space="preserve"> </w:t>
      </w:r>
      <w:r w:rsidRPr="004D33A2">
        <w:rPr>
          <w:sz w:val="22"/>
          <w:szCs w:val="22"/>
        </w:rPr>
        <w:t>εκατ. ευρώ, ενώ για το 20</w:t>
      </w:r>
      <w:r>
        <w:rPr>
          <w:sz w:val="22"/>
          <w:szCs w:val="22"/>
        </w:rPr>
        <w:t>21</w:t>
      </w:r>
      <w:r w:rsidRPr="004D33A2">
        <w:rPr>
          <w:sz w:val="22"/>
          <w:szCs w:val="22"/>
        </w:rPr>
        <w:t xml:space="preserve"> προβλέπεται ότι θα ανέλθει στα </w:t>
      </w:r>
      <w:r>
        <w:rPr>
          <w:sz w:val="22"/>
          <w:szCs w:val="22"/>
        </w:rPr>
        <w:t>2</w:t>
      </w:r>
      <w:r w:rsidRPr="00EF0658">
        <w:rPr>
          <w:sz w:val="22"/>
          <w:szCs w:val="22"/>
        </w:rPr>
        <w:t>.</w:t>
      </w:r>
      <w:r>
        <w:rPr>
          <w:sz w:val="22"/>
          <w:szCs w:val="22"/>
        </w:rPr>
        <w:t>207</w:t>
      </w:r>
      <w:r w:rsidRPr="004D33A2">
        <w:rPr>
          <w:sz w:val="22"/>
          <w:szCs w:val="22"/>
        </w:rPr>
        <w:t xml:space="preserve"> εκατ. ευρώ, </w:t>
      </w:r>
      <w:r>
        <w:rPr>
          <w:sz w:val="22"/>
          <w:szCs w:val="22"/>
        </w:rPr>
        <w:t>μειωμένο</w:t>
      </w:r>
      <w:r w:rsidRPr="004D33A2">
        <w:rPr>
          <w:sz w:val="22"/>
          <w:szCs w:val="22"/>
        </w:rPr>
        <w:t xml:space="preserve"> κατά </w:t>
      </w:r>
      <w:r>
        <w:rPr>
          <w:sz w:val="22"/>
          <w:szCs w:val="22"/>
        </w:rPr>
        <w:t>603</w:t>
      </w:r>
      <w:r w:rsidRPr="004D33A2">
        <w:rPr>
          <w:sz w:val="22"/>
          <w:szCs w:val="22"/>
        </w:rPr>
        <w:t xml:space="preserve"> εκατ. ευρώ. </w:t>
      </w:r>
    </w:p>
    <w:p w:rsidR="000578D4" w:rsidRDefault="000578D4" w:rsidP="000578D4">
      <w:pPr>
        <w:jc w:val="both"/>
        <w:rPr>
          <w:sz w:val="22"/>
          <w:szCs w:val="22"/>
        </w:rPr>
      </w:pPr>
    </w:p>
    <w:p w:rsidR="00F31BA8" w:rsidRPr="00174C87" w:rsidRDefault="00687ED4" w:rsidP="00F31BA8">
      <w:pPr>
        <w:jc w:val="both"/>
        <w:rPr>
          <w:sz w:val="22"/>
          <w:szCs w:val="22"/>
        </w:rPr>
      </w:pPr>
      <w:r w:rsidRPr="00687ED4">
        <w:rPr>
          <w:sz w:val="22"/>
          <w:szCs w:val="22"/>
        </w:rPr>
        <w:t>Η μείωση αυτή οφείλεται κυρίως στις αυξημένες μεταβιβάσεις από το ΠΔΕ το έτος 2020 προς  το Τ</w:t>
      </w:r>
      <w:r w:rsidRPr="00687ED4">
        <w:rPr>
          <w:sz w:val="22"/>
          <w:szCs w:val="22"/>
        </w:rPr>
        <w:t>α</w:t>
      </w:r>
      <w:r w:rsidRPr="00687ED4">
        <w:rPr>
          <w:sz w:val="22"/>
          <w:szCs w:val="22"/>
        </w:rPr>
        <w:t xml:space="preserve">μείο Επιχειρηματικότητας ΙΙ (ΤΕΠΙΧ ΙΙ) και το Ταμείο Εγγυοδοσίας Επιχειρήσεων </w:t>
      </w:r>
      <w:r w:rsidRPr="00687ED4">
        <w:rPr>
          <w:sz w:val="22"/>
          <w:szCs w:val="22"/>
          <w:lang w:val="en-US"/>
        </w:rPr>
        <w:t>Covid</w:t>
      </w:r>
      <w:r w:rsidRPr="00687ED4">
        <w:rPr>
          <w:sz w:val="22"/>
          <w:szCs w:val="22"/>
        </w:rPr>
        <w:t xml:space="preserve">-19 (τα </w:t>
      </w:r>
      <w:r w:rsidRPr="00687ED4">
        <w:rPr>
          <w:sz w:val="22"/>
          <w:szCs w:val="22"/>
        </w:rPr>
        <w:t>ο</w:t>
      </w:r>
      <w:r w:rsidRPr="00687ED4">
        <w:rPr>
          <w:sz w:val="22"/>
          <w:szCs w:val="22"/>
        </w:rPr>
        <w:t>ποία διαχειρίζεται η Ελληνική Αναπτυξιακή Τράπεζα ΑΕ) στο πλαίσιο των μέτρων αντιμετώπισης της πανδημίας.</w:t>
      </w:r>
    </w:p>
    <w:p w:rsidR="000578D4" w:rsidRPr="009B455B" w:rsidRDefault="000578D4" w:rsidP="000578D4">
      <w:pPr>
        <w:jc w:val="both"/>
        <w:rPr>
          <w:sz w:val="22"/>
          <w:szCs w:val="22"/>
        </w:rPr>
      </w:pPr>
      <w:r>
        <w:rPr>
          <w:sz w:val="22"/>
          <w:szCs w:val="22"/>
        </w:rPr>
        <w:t xml:space="preserve">Η ανωτέρω </w:t>
      </w:r>
      <w:r w:rsidR="00957454">
        <w:rPr>
          <w:sz w:val="22"/>
          <w:szCs w:val="22"/>
        </w:rPr>
        <w:t>επίπτωση στο ισοζύγιο του 2021</w:t>
      </w:r>
      <w:r>
        <w:rPr>
          <w:sz w:val="22"/>
          <w:szCs w:val="22"/>
        </w:rPr>
        <w:t xml:space="preserve"> αντισταθμίζεται </w:t>
      </w:r>
      <w:r w:rsidR="00F31BA8">
        <w:rPr>
          <w:sz w:val="22"/>
          <w:szCs w:val="22"/>
        </w:rPr>
        <w:t xml:space="preserve">εν μέρει </w:t>
      </w:r>
      <w:r>
        <w:rPr>
          <w:sz w:val="22"/>
          <w:szCs w:val="22"/>
        </w:rPr>
        <w:t>από τη βελτίωση του αποτελ</w:t>
      </w:r>
      <w:r>
        <w:rPr>
          <w:sz w:val="22"/>
          <w:szCs w:val="22"/>
        </w:rPr>
        <w:t>έ</w:t>
      </w:r>
      <w:r>
        <w:rPr>
          <w:sz w:val="22"/>
          <w:szCs w:val="22"/>
        </w:rPr>
        <w:t>σματος άλλων φορέων</w:t>
      </w:r>
      <w:r w:rsidR="00F31BA8">
        <w:rPr>
          <w:sz w:val="22"/>
          <w:szCs w:val="22"/>
        </w:rPr>
        <w:t>, καθώς</w:t>
      </w:r>
      <w:r>
        <w:rPr>
          <w:sz w:val="22"/>
          <w:szCs w:val="22"/>
        </w:rPr>
        <w:t xml:space="preserve"> και του Ειδικού Λογαριασμού Ανανεώσιμων Πηγών Ενέργειας και Σ</w:t>
      </w:r>
      <w:r>
        <w:rPr>
          <w:sz w:val="22"/>
          <w:szCs w:val="22"/>
        </w:rPr>
        <w:t>υ</w:t>
      </w:r>
      <w:r>
        <w:rPr>
          <w:sz w:val="22"/>
          <w:szCs w:val="22"/>
        </w:rPr>
        <w:t>μπαραγωγής Ηλεκτρισμού Θερμότητας Υψηλής Απόδοσης (ΑΠΕ</w:t>
      </w:r>
      <w:r w:rsidR="00E722FE">
        <w:rPr>
          <w:sz w:val="22"/>
          <w:szCs w:val="22"/>
        </w:rPr>
        <w:t xml:space="preserve"> και</w:t>
      </w:r>
      <w:r>
        <w:rPr>
          <w:sz w:val="22"/>
          <w:szCs w:val="22"/>
        </w:rPr>
        <w:t xml:space="preserve"> ΣΗΘΥΑ).</w:t>
      </w:r>
    </w:p>
    <w:p w:rsidR="000578D4" w:rsidRDefault="000578D4" w:rsidP="000578D4">
      <w:pPr>
        <w:jc w:val="both"/>
        <w:rPr>
          <w:sz w:val="22"/>
          <w:szCs w:val="22"/>
        </w:rPr>
      </w:pPr>
    </w:p>
    <w:p w:rsidR="000578D4" w:rsidRPr="00722EC7" w:rsidRDefault="000578D4" w:rsidP="000578D4">
      <w:pPr>
        <w:jc w:val="both"/>
        <w:rPr>
          <w:sz w:val="22"/>
          <w:szCs w:val="22"/>
        </w:rPr>
      </w:pPr>
      <w:r w:rsidRPr="00722EC7">
        <w:rPr>
          <w:sz w:val="22"/>
          <w:szCs w:val="22"/>
        </w:rPr>
        <w:t xml:space="preserve">Στον πίνακα </w:t>
      </w:r>
      <w:r w:rsidR="006D58F6">
        <w:rPr>
          <w:sz w:val="22"/>
          <w:szCs w:val="22"/>
        </w:rPr>
        <w:t>3.18</w:t>
      </w:r>
      <w:r w:rsidRPr="00722EC7">
        <w:rPr>
          <w:sz w:val="22"/>
          <w:szCs w:val="22"/>
        </w:rPr>
        <w:t xml:space="preserve"> εμφανίζονται τα </w:t>
      </w:r>
      <w:r>
        <w:rPr>
          <w:sz w:val="22"/>
          <w:szCs w:val="22"/>
        </w:rPr>
        <w:t xml:space="preserve">δημοσιονομικά </w:t>
      </w:r>
      <w:r w:rsidRPr="00722EC7">
        <w:rPr>
          <w:sz w:val="22"/>
          <w:szCs w:val="22"/>
        </w:rPr>
        <w:t>αποτελέσματα (στόχοι), που αναμένεται να πετ</w:t>
      </w:r>
      <w:r w:rsidRPr="00722EC7">
        <w:rPr>
          <w:sz w:val="22"/>
          <w:szCs w:val="22"/>
        </w:rPr>
        <w:t>ύ</w:t>
      </w:r>
      <w:r w:rsidRPr="00722EC7">
        <w:rPr>
          <w:sz w:val="22"/>
          <w:szCs w:val="22"/>
        </w:rPr>
        <w:t>χουν οι φορείς για το έτος 20</w:t>
      </w:r>
      <w:r>
        <w:rPr>
          <w:sz w:val="22"/>
          <w:szCs w:val="22"/>
        </w:rPr>
        <w:t>21</w:t>
      </w:r>
      <w:r w:rsidRPr="00722EC7">
        <w:rPr>
          <w:sz w:val="22"/>
          <w:szCs w:val="22"/>
        </w:rPr>
        <w:t>.</w:t>
      </w:r>
      <w:r w:rsidRPr="006B6E07">
        <w:rPr>
          <w:sz w:val="22"/>
          <w:szCs w:val="22"/>
        </w:rPr>
        <w:t xml:space="preserve"> </w:t>
      </w:r>
      <w:r w:rsidRPr="00722EC7">
        <w:rPr>
          <w:sz w:val="22"/>
          <w:szCs w:val="22"/>
        </w:rPr>
        <w:t>Στους στόχους αυτούς περιλαμβάνονται οι προσαρμογές που αφ</w:t>
      </w:r>
      <w:r w:rsidRPr="00722EC7">
        <w:rPr>
          <w:sz w:val="22"/>
          <w:szCs w:val="22"/>
        </w:rPr>
        <w:t>ο</w:t>
      </w:r>
      <w:r w:rsidRPr="00722EC7">
        <w:rPr>
          <w:sz w:val="22"/>
          <w:szCs w:val="22"/>
        </w:rPr>
        <w:t xml:space="preserve">ρούν στη μεταβολή των </w:t>
      </w:r>
      <w:r w:rsidRPr="00D6601E">
        <w:rPr>
          <w:sz w:val="22"/>
          <w:szCs w:val="22"/>
        </w:rPr>
        <w:t>απλήρωτων</w:t>
      </w:r>
      <w:r w:rsidRPr="00722EC7">
        <w:rPr>
          <w:sz w:val="22"/>
          <w:szCs w:val="22"/>
        </w:rPr>
        <w:t xml:space="preserve"> υποχρεώσεων, καθώς και οι λοιπές εθνικολογιστικές προσαρμ</w:t>
      </w:r>
      <w:r w:rsidRPr="00722EC7">
        <w:rPr>
          <w:sz w:val="22"/>
          <w:szCs w:val="22"/>
        </w:rPr>
        <w:t>ο</w:t>
      </w:r>
      <w:r w:rsidRPr="00722EC7">
        <w:rPr>
          <w:sz w:val="22"/>
          <w:szCs w:val="22"/>
        </w:rPr>
        <w:t xml:space="preserve">γές. </w:t>
      </w:r>
    </w:p>
    <w:p w:rsidR="004618CD" w:rsidRPr="00E25688" w:rsidRDefault="004618CD" w:rsidP="004618CD">
      <w:pPr>
        <w:jc w:val="both"/>
        <w:rPr>
          <w:color w:val="FF0000"/>
          <w:sz w:val="22"/>
          <w:szCs w:val="22"/>
        </w:rPr>
      </w:pPr>
    </w:p>
    <w:p w:rsidR="004618CD" w:rsidRPr="00E25688" w:rsidRDefault="004618CD" w:rsidP="004618CD">
      <w:pPr>
        <w:jc w:val="both"/>
        <w:rPr>
          <w:color w:val="FF0000"/>
          <w:sz w:val="22"/>
          <w:szCs w:val="22"/>
        </w:rPr>
      </w:pPr>
    </w:p>
    <w:p w:rsidR="004618CD" w:rsidRPr="00E25688" w:rsidRDefault="004618CD" w:rsidP="004618CD">
      <w:pPr>
        <w:jc w:val="both"/>
        <w:rPr>
          <w:color w:val="FF0000"/>
          <w:sz w:val="22"/>
          <w:szCs w:val="22"/>
        </w:rPr>
      </w:pPr>
    </w:p>
    <w:p w:rsidR="00741EF0" w:rsidRDefault="00741EF0">
      <w:pPr>
        <w:rPr>
          <w:color w:val="FF0000"/>
          <w:sz w:val="22"/>
          <w:szCs w:val="22"/>
        </w:rPr>
      </w:pPr>
    </w:p>
    <w:p w:rsidR="00741EF0" w:rsidRDefault="00741EF0">
      <w:pPr>
        <w:rPr>
          <w:color w:val="FF0000"/>
          <w:sz w:val="22"/>
          <w:szCs w:val="22"/>
        </w:rPr>
      </w:pPr>
    </w:p>
    <w:p w:rsidR="00741EF0" w:rsidRDefault="00741EF0">
      <w:pPr>
        <w:rPr>
          <w:color w:val="FF0000"/>
          <w:sz w:val="22"/>
          <w:szCs w:val="22"/>
        </w:rPr>
      </w:pPr>
    </w:p>
    <w:p w:rsidR="004618CD" w:rsidRDefault="004618CD">
      <w:pPr>
        <w:rPr>
          <w:color w:val="FF0000"/>
          <w:sz w:val="22"/>
          <w:szCs w:val="22"/>
        </w:rPr>
      </w:pPr>
    </w:p>
    <w:tbl>
      <w:tblPr>
        <w:tblW w:w="8654" w:type="dxa"/>
        <w:jc w:val="center"/>
        <w:tblLook w:val="04A0"/>
      </w:tblPr>
      <w:tblGrid>
        <w:gridCol w:w="572"/>
        <w:gridCol w:w="5242"/>
        <w:gridCol w:w="1340"/>
        <w:gridCol w:w="1500"/>
      </w:tblGrid>
      <w:tr w:rsidR="004618CD" w:rsidTr="002D25C6">
        <w:trPr>
          <w:trHeight w:val="57"/>
          <w:tblHeader/>
          <w:jc w:val="center"/>
        </w:trPr>
        <w:tc>
          <w:tcPr>
            <w:tcW w:w="8654" w:type="dxa"/>
            <w:gridSpan w:val="4"/>
            <w:tcBorders>
              <w:top w:val="single" w:sz="4" w:space="0" w:color="auto"/>
              <w:left w:val="single" w:sz="4" w:space="0" w:color="auto"/>
              <w:right w:val="single" w:sz="4" w:space="0" w:color="auto"/>
            </w:tcBorders>
            <w:shd w:val="clear" w:color="auto" w:fill="404040" w:themeFill="text1" w:themeFillTint="BF"/>
            <w:vAlign w:val="center"/>
            <w:hideMark/>
          </w:tcPr>
          <w:p w:rsidR="004618CD" w:rsidRDefault="006D58F6" w:rsidP="002D25C6">
            <w:pPr>
              <w:spacing w:before="120"/>
              <w:jc w:val="center"/>
              <w:rPr>
                <w:rFonts w:ascii="Arial Narrow" w:hAnsi="Arial Narrow"/>
                <w:b/>
                <w:bCs/>
                <w:color w:val="FFFFFF"/>
              </w:rPr>
            </w:pPr>
            <w:r>
              <w:rPr>
                <w:rFonts w:ascii="Arial Narrow" w:hAnsi="Arial Narrow"/>
                <w:b/>
                <w:bCs/>
                <w:color w:val="FFFFFF"/>
              </w:rPr>
              <w:t>Πίνακας 3.18</w:t>
            </w:r>
            <w:r w:rsidR="004618CD">
              <w:rPr>
                <w:rFonts w:ascii="Arial Narrow" w:hAnsi="Arial Narrow"/>
                <w:b/>
                <w:bCs/>
                <w:color w:val="FFFFFF"/>
              </w:rPr>
              <w:t xml:space="preserve"> Ισοζύγιο </w:t>
            </w:r>
            <w:r w:rsidR="004618CD" w:rsidRPr="00156075">
              <w:rPr>
                <w:rFonts w:ascii="Arial Narrow" w:hAnsi="Arial Narrow"/>
                <w:b/>
                <w:bCs/>
                <w:color w:val="FFFFFF"/>
              </w:rPr>
              <w:t>λοιπών</w:t>
            </w:r>
            <w:r w:rsidR="004618CD">
              <w:rPr>
                <w:rFonts w:ascii="Arial Narrow" w:hAnsi="Arial Narrow"/>
                <w:b/>
                <w:bCs/>
                <w:color w:val="FFFFFF"/>
              </w:rPr>
              <w:t xml:space="preserve"> νομικών προσώπων Κεντρικής Κυβέρνησης</w:t>
            </w:r>
          </w:p>
          <w:p w:rsidR="004618CD" w:rsidRDefault="004618CD" w:rsidP="002D25C6">
            <w:pPr>
              <w:jc w:val="center"/>
              <w:rPr>
                <w:rFonts w:ascii="Arial Narrow" w:hAnsi="Arial Narrow"/>
                <w:b/>
                <w:bCs/>
                <w:color w:val="FFFFFF"/>
              </w:rPr>
            </w:pPr>
            <w:r>
              <w:rPr>
                <w:rFonts w:ascii="Arial Narrow" w:hAnsi="Arial Narrow"/>
                <w:b/>
                <w:bCs/>
                <w:color w:val="FFFFFF"/>
              </w:rPr>
              <w:t>(εκτός ΑΔΑ και ΑΚΑΓΕ) ανά Υπουργείο</w:t>
            </w:r>
            <w:r>
              <w:rPr>
                <w:rFonts w:ascii="Arial Narrow" w:hAnsi="Arial Narrow"/>
                <w:b/>
                <w:bCs/>
                <w:color w:val="FFFFFF"/>
              </w:rPr>
              <w:br/>
              <w:t>(σε εκατ. ευρώ)</w:t>
            </w:r>
          </w:p>
        </w:tc>
      </w:tr>
      <w:tr w:rsidR="004618CD" w:rsidRPr="00900BBE" w:rsidTr="002D25C6">
        <w:trPr>
          <w:trHeight w:val="170"/>
          <w:tblHeader/>
          <w:jc w:val="center"/>
        </w:trPr>
        <w:tc>
          <w:tcPr>
            <w:tcW w:w="572" w:type="dxa"/>
            <w:tcBorders>
              <w:left w:val="single" w:sz="4" w:space="0" w:color="auto"/>
              <w:bottom w:val="nil"/>
              <w:right w:val="nil"/>
            </w:tcBorders>
            <w:shd w:val="clear" w:color="000000" w:fill="FFFFFF"/>
            <w:vAlign w:val="center"/>
            <w:hideMark/>
          </w:tcPr>
          <w:p w:rsidR="004618CD" w:rsidRPr="00900BBE" w:rsidRDefault="004618CD" w:rsidP="002D25C6">
            <w:pPr>
              <w:jc w:val="center"/>
              <w:rPr>
                <w:rFonts w:ascii="Arial Narrow" w:hAnsi="Arial Narrow"/>
                <w:b/>
                <w:bCs/>
                <w:i/>
                <w:iCs/>
                <w:sz w:val="14"/>
                <w:szCs w:val="16"/>
                <w:u w:val="single"/>
              </w:rPr>
            </w:pPr>
          </w:p>
        </w:tc>
        <w:tc>
          <w:tcPr>
            <w:tcW w:w="5242" w:type="dxa"/>
            <w:tcBorders>
              <w:left w:val="nil"/>
              <w:bottom w:val="nil"/>
              <w:right w:val="nil"/>
            </w:tcBorders>
            <w:shd w:val="clear" w:color="000000" w:fill="FFFFFF"/>
            <w:vAlign w:val="center"/>
            <w:hideMark/>
          </w:tcPr>
          <w:p w:rsidR="004618CD" w:rsidRPr="00900BBE" w:rsidRDefault="004618CD" w:rsidP="002D25C6">
            <w:pPr>
              <w:jc w:val="center"/>
              <w:rPr>
                <w:rFonts w:ascii="Arial Narrow" w:hAnsi="Arial Narrow"/>
                <w:b/>
                <w:bCs/>
                <w:i/>
                <w:iCs/>
                <w:sz w:val="14"/>
                <w:szCs w:val="16"/>
                <w:u w:val="single"/>
              </w:rPr>
            </w:pPr>
          </w:p>
        </w:tc>
        <w:tc>
          <w:tcPr>
            <w:tcW w:w="1340" w:type="dxa"/>
            <w:tcBorders>
              <w:left w:val="nil"/>
              <w:bottom w:val="single" w:sz="4" w:space="0" w:color="auto"/>
              <w:right w:val="nil"/>
            </w:tcBorders>
            <w:shd w:val="clear" w:color="000000" w:fill="FFFFFF"/>
            <w:vAlign w:val="center"/>
            <w:hideMark/>
          </w:tcPr>
          <w:p w:rsidR="004618CD" w:rsidRPr="00900BBE" w:rsidRDefault="004618CD" w:rsidP="002D25C6">
            <w:pPr>
              <w:jc w:val="center"/>
              <w:rPr>
                <w:rFonts w:ascii="Arial Narrow" w:hAnsi="Arial Narrow"/>
                <w:b/>
                <w:bCs/>
                <w:i/>
                <w:iCs/>
                <w:sz w:val="14"/>
                <w:szCs w:val="16"/>
                <w:u w:val="single"/>
              </w:rPr>
            </w:pPr>
          </w:p>
        </w:tc>
        <w:tc>
          <w:tcPr>
            <w:tcW w:w="1500" w:type="dxa"/>
            <w:tcBorders>
              <w:left w:val="nil"/>
              <w:bottom w:val="single" w:sz="4" w:space="0" w:color="auto"/>
              <w:right w:val="single" w:sz="4" w:space="0" w:color="auto"/>
            </w:tcBorders>
            <w:shd w:val="clear" w:color="000000" w:fill="FFFFFF"/>
            <w:vAlign w:val="center"/>
            <w:hideMark/>
          </w:tcPr>
          <w:p w:rsidR="004618CD" w:rsidRPr="00900BBE" w:rsidRDefault="004618CD" w:rsidP="002D25C6">
            <w:pPr>
              <w:jc w:val="center"/>
              <w:rPr>
                <w:rFonts w:ascii="Arial Narrow" w:hAnsi="Arial Narrow"/>
                <w:b/>
                <w:bCs/>
                <w:i/>
                <w:iCs/>
                <w:sz w:val="14"/>
                <w:szCs w:val="16"/>
                <w:u w:val="single"/>
              </w:rPr>
            </w:pPr>
          </w:p>
        </w:tc>
      </w:tr>
      <w:tr w:rsidR="004618CD" w:rsidTr="002D25C6">
        <w:trPr>
          <w:trHeight w:val="20"/>
          <w:tblHeader/>
          <w:jc w:val="center"/>
        </w:trPr>
        <w:tc>
          <w:tcPr>
            <w:tcW w:w="572" w:type="dxa"/>
            <w:tcBorders>
              <w:top w:val="single" w:sz="4" w:space="0" w:color="auto"/>
              <w:left w:val="single" w:sz="4" w:space="0" w:color="auto"/>
              <w:bottom w:val="nil"/>
              <w:right w:val="nil"/>
            </w:tcBorders>
            <w:shd w:val="clear" w:color="auto" w:fill="auto"/>
            <w:vAlign w:val="center"/>
            <w:hideMark/>
          </w:tcPr>
          <w:p w:rsidR="004618CD" w:rsidRDefault="004618CD" w:rsidP="002D25C6">
            <w:pPr>
              <w:rPr>
                <w:rFonts w:ascii="Arial Narrow" w:hAnsi="Arial Narrow"/>
                <w:b/>
                <w:bCs/>
                <w:sz w:val="16"/>
                <w:szCs w:val="16"/>
              </w:rPr>
            </w:pPr>
            <w:r>
              <w:rPr>
                <w:rFonts w:ascii="Arial Narrow" w:hAnsi="Arial Narrow"/>
                <w:b/>
                <w:bCs/>
                <w:sz w:val="16"/>
                <w:szCs w:val="16"/>
              </w:rPr>
              <w:t> </w:t>
            </w:r>
          </w:p>
        </w:tc>
        <w:tc>
          <w:tcPr>
            <w:tcW w:w="5242" w:type="dxa"/>
            <w:tcBorders>
              <w:top w:val="single" w:sz="4" w:space="0" w:color="auto"/>
              <w:left w:val="nil"/>
              <w:bottom w:val="nil"/>
              <w:right w:val="single" w:sz="4" w:space="0" w:color="auto"/>
            </w:tcBorders>
            <w:shd w:val="clear" w:color="auto" w:fill="auto"/>
            <w:vAlign w:val="center"/>
            <w:hideMark/>
          </w:tcPr>
          <w:p w:rsidR="004618CD" w:rsidRDefault="004618CD" w:rsidP="002D25C6">
            <w:pPr>
              <w:rPr>
                <w:rFonts w:ascii="Arial Narrow" w:hAnsi="Arial Narrow"/>
                <w:b/>
                <w:bCs/>
                <w:sz w:val="16"/>
                <w:szCs w:val="16"/>
              </w:rPr>
            </w:pPr>
            <w:r>
              <w:rPr>
                <w:rFonts w:ascii="Arial Narrow" w:hAnsi="Arial Narrow"/>
                <w:b/>
                <w:bCs/>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4618CD" w:rsidRPr="004618CD" w:rsidRDefault="004618CD" w:rsidP="002D25C6">
            <w:pPr>
              <w:jc w:val="center"/>
              <w:rPr>
                <w:rFonts w:ascii="Arial Narrow" w:hAnsi="Arial Narrow"/>
                <w:b/>
                <w:bCs/>
                <w:color w:val="000000"/>
                <w:sz w:val="16"/>
                <w:szCs w:val="16"/>
              </w:rPr>
            </w:pPr>
            <w:r>
              <w:rPr>
                <w:rFonts w:ascii="Arial Narrow" w:hAnsi="Arial Narrow"/>
                <w:b/>
                <w:bCs/>
                <w:color w:val="000000"/>
                <w:sz w:val="16"/>
                <w:szCs w:val="16"/>
              </w:rPr>
              <w:t>2020</w:t>
            </w:r>
          </w:p>
        </w:tc>
        <w:tc>
          <w:tcPr>
            <w:tcW w:w="1500" w:type="dxa"/>
            <w:tcBorders>
              <w:top w:val="nil"/>
              <w:left w:val="nil"/>
              <w:bottom w:val="single" w:sz="4" w:space="0" w:color="auto"/>
              <w:right w:val="single" w:sz="4" w:space="0" w:color="auto"/>
            </w:tcBorders>
            <w:shd w:val="clear" w:color="auto" w:fill="auto"/>
            <w:noWrap/>
            <w:vAlign w:val="bottom"/>
            <w:hideMark/>
          </w:tcPr>
          <w:p w:rsidR="004618CD" w:rsidRPr="004618CD" w:rsidRDefault="004618CD" w:rsidP="002D25C6">
            <w:pPr>
              <w:jc w:val="center"/>
              <w:rPr>
                <w:rFonts w:ascii="Arial Narrow" w:hAnsi="Arial Narrow"/>
                <w:b/>
                <w:bCs/>
                <w:color w:val="000000"/>
                <w:sz w:val="16"/>
                <w:szCs w:val="16"/>
              </w:rPr>
            </w:pPr>
            <w:r>
              <w:rPr>
                <w:rFonts w:ascii="Arial Narrow" w:hAnsi="Arial Narrow"/>
                <w:b/>
                <w:bCs/>
                <w:color w:val="000000"/>
                <w:sz w:val="16"/>
                <w:szCs w:val="16"/>
              </w:rPr>
              <w:t>20</w:t>
            </w:r>
            <w:r w:rsidRPr="006D58F6">
              <w:rPr>
                <w:rFonts w:ascii="Arial Narrow" w:hAnsi="Arial Narrow"/>
                <w:b/>
                <w:bCs/>
                <w:color w:val="000000"/>
                <w:sz w:val="16"/>
                <w:szCs w:val="16"/>
              </w:rPr>
              <w:t>2</w:t>
            </w:r>
            <w:r>
              <w:rPr>
                <w:rFonts w:ascii="Arial Narrow" w:hAnsi="Arial Narrow"/>
                <w:b/>
                <w:bCs/>
                <w:color w:val="000000"/>
                <w:sz w:val="16"/>
                <w:szCs w:val="16"/>
              </w:rPr>
              <w:t>1</w:t>
            </w:r>
          </w:p>
        </w:tc>
      </w:tr>
      <w:tr w:rsidR="004618CD" w:rsidTr="002D25C6">
        <w:trPr>
          <w:trHeight w:val="198"/>
          <w:tblHeader/>
          <w:jc w:val="center"/>
        </w:trPr>
        <w:tc>
          <w:tcPr>
            <w:tcW w:w="572" w:type="dxa"/>
            <w:tcBorders>
              <w:top w:val="nil"/>
              <w:left w:val="single" w:sz="4" w:space="0" w:color="auto"/>
              <w:bottom w:val="single" w:sz="4" w:space="0" w:color="auto"/>
              <w:right w:val="nil"/>
            </w:tcBorders>
            <w:shd w:val="clear" w:color="auto" w:fill="auto"/>
            <w:vAlign w:val="center"/>
            <w:hideMark/>
          </w:tcPr>
          <w:p w:rsidR="004618CD" w:rsidRDefault="004618CD" w:rsidP="002D25C6">
            <w:pPr>
              <w:rPr>
                <w:rFonts w:ascii="Arial Narrow" w:hAnsi="Arial Narrow"/>
                <w:b/>
                <w:bCs/>
                <w:sz w:val="16"/>
                <w:szCs w:val="16"/>
              </w:rPr>
            </w:pPr>
            <w:r>
              <w:rPr>
                <w:rFonts w:ascii="Arial Narrow" w:hAnsi="Arial Narrow"/>
                <w:b/>
                <w:bCs/>
                <w:sz w:val="16"/>
                <w:szCs w:val="16"/>
              </w:rPr>
              <w:t> </w:t>
            </w:r>
          </w:p>
        </w:tc>
        <w:tc>
          <w:tcPr>
            <w:tcW w:w="5242" w:type="dxa"/>
            <w:tcBorders>
              <w:top w:val="nil"/>
              <w:left w:val="nil"/>
              <w:bottom w:val="single" w:sz="4" w:space="0" w:color="auto"/>
              <w:right w:val="single" w:sz="4" w:space="0" w:color="auto"/>
            </w:tcBorders>
            <w:shd w:val="clear" w:color="auto" w:fill="auto"/>
            <w:vAlign w:val="center"/>
            <w:hideMark/>
          </w:tcPr>
          <w:p w:rsidR="004618CD" w:rsidRDefault="004618CD" w:rsidP="002D25C6">
            <w:pPr>
              <w:jc w:val="center"/>
              <w:rPr>
                <w:rFonts w:ascii="Arial Narrow" w:hAnsi="Arial Narrow"/>
                <w:b/>
                <w:bCs/>
                <w:sz w:val="16"/>
                <w:szCs w:val="16"/>
              </w:rPr>
            </w:pPr>
            <w:r>
              <w:rPr>
                <w:rFonts w:ascii="Arial Narrow" w:hAnsi="Arial Narrow"/>
                <w:b/>
                <w:bCs/>
                <w:sz w:val="16"/>
                <w:szCs w:val="16"/>
              </w:rPr>
              <w:t> </w:t>
            </w:r>
          </w:p>
        </w:tc>
        <w:tc>
          <w:tcPr>
            <w:tcW w:w="1340" w:type="dxa"/>
            <w:tcBorders>
              <w:top w:val="nil"/>
              <w:left w:val="nil"/>
              <w:bottom w:val="single" w:sz="4" w:space="0" w:color="auto"/>
              <w:right w:val="single" w:sz="4" w:space="0" w:color="auto"/>
            </w:tcBorders>
            <w:shd w:val="clear" w:color="auto" w:fill="auto"/>
            <w:vAlign w:val="center"/>
            <w:hideMark/>
          </w:tcPr>
          <w:p w:rsidR="004618CD" w:rsidRDefault="004618CD" w:rsidP="002D25C6">
            <w:pPr>
              <w:jc w:val="center"/>
              <w:rPr>
                <w:rFonts w:ascii="Arial Narrow" w:hAnsi="Arial Narrow"/>
                <w:b/>
                <w:bCs/>
                <w:color w:val="000000"/>
                <w:sz w:val="16"/>
                <w:szCs w:val="16"/>
              </w:rPr>
            </w:pPr>
            <w:r>
              <w:rPr>
                <w:rFonts w:ascii="Arial Narrow" w:hAnsi="Arial Narrow"/>
                <w:b/>
                <w:bCs/>
                <w:color w:val="000000"/>
                <w:sz w:val="16"/>
                <w:szCs w:val="16"/>
              </w:rPr>
              <w:t>Εκτιμήσεις</w:t>
            </w:r>
          </w:p>
        </w:tc>
        <w:tc>
          <w:tcPr>
            <w:tcW w:w="1500" w:type="dxa"/>
            <w:tcBorders>
              <w:top w:val="nil"/>
              <w:left w:val="nil"/>
              <w:bottom w:val="single" w:sz="4" w:space="0" w:color="auto"/>
              <w:right w:val="single" w:sz="4" w:space="0" w:color="auto"/>
            </w:tcBorders>
            <w:shd w:val="clear" w:color="auto" w:fill="auto"/>
            <w:vAlign w:val="center"/>
            <w:hideMark/>
          </w:tcPr>
          <w:p w:rsidR="004618CD" w:rsidRDefault="004618CD" w:rsidP="002D25C6">
            <w:pPr>
              <w:jc w:val="center"/>
              <w:rPr>
                <w:rFonts w:ascii="Arial Narrow" w:hAnsi="Arial Narrow"/>
                <w:b/>
                <w:bCs/>
                <w:color w:val="000000"/>
                <w:sz w:val="16"/>
                <w:szCs w:val="16"/>
              </w:rPr>
            </w:pPr>
            <w:r>
              <w:rPr>
                <w:rFonts w:ascii="Arial Narrow" w:hAnsi="Arial Narrow"/>
                <w:b/>
                <w:bCs/>
                <w:color w:val="000000"/>
                <w:sz w:val="16"/>
                <w:szCs w:val="16"/>
              </w:rPr>
              <w:t>Προβλέψεις</w:t>
            </w:r>
          </w:p>
        </w:tc>
      </w:tr>
      <w:tr w:rsidR="002B21FE" w:rsidTr="002D25C6">
        <w:trPr>
          <w:trHeight w:val="170"/>
          <w:jc w:val="center"/>
        </w:trPr>
        <w:tc>
          <w:tcPr>
            <w:tcW w:w="572" w:type="dxa"/>
            <w:tcBorders>
              <w:top w:val="nil"/>
              <w:left w:val="single" w:sz="4" w:space="0" w:color="auto"/>
              <w:bottom w:val="nil"/>
              <w:right w:val="nil"/>
            </w:tcBorders>
            <w:shd w:val="clear" w:color="auto" w:fill="D9D9D9" w:themeFill="background1" w:themeFillShade="D9"/>
            <w:vAlign w:val="center"/>
            <w:hideMark/>
          </w:tcPr>
          <w:p w:rsidR="002B21FE" w:rsidRPr="006D58F6" w:rsidRDefault="002B21FE" w:rsidP="002D25C6">
            <w:pPr>
              <w:jc w:val="center"/>
              <w:rPr>
                <w:rFonts w:ascii="Arial Narrow" w:hAnsi="Arial Narrow"/>
                <w:b/>
                <w:bCs/>
                <w:sz w:val="16"/>
                <w:szCs w:val="16"/>
              </w:rPr>
            </w:pPr>
            <w:r w:rsidRPr="006D58F6">
              <w:rPr>
                <w:rFonts w:ascii="Arial Narrow" w:hAnsi="Arial Narrow"/>
                <w:b/>
                <w:bCs/>
                <w:sz w:val="16"/>
                <w:szCs w:val="16"/>
              </w:rPr>
              <w:t>1</w:t>
            </w:r>
          </w:p>
        </w:tc>
        <w:tc>
          <w:tcPr>
            <w:tcW w:w="5242" w:type="dxa"/>
            <w:tcBorders>
              <w:top w:val="nil"/>
              <w:left w:val="nil"/>
              <w:bottom w:val="nil"/>
              <w:right w:val="nil"/>
            </w:tcBorders>
            <w:shd w:val="clear" w:color="auto" w:fill="D9D9D9" w:themeFill="background1" w:themeFillShade="D9"/>
            <w:vAlign w:val="center"/>
            <w:hideMark/>
          </w:tcPr>
          <w:p w:rsidR="002B21FE" w:rsidRDefault="002B21FE" w:rsidP="002D25C6">
            <w:pPr>
              <w:rPr>
                <w:rFonts w:ascii="Arial Narrow" w:hAnsi="Arial Narrow"/>
                <w:b/>
                <w:bCs/>
                <w:sz w:val="16"/>
                <w:szCs w:val="16"/>
              </w:rPr>
            </w:pPr>
            <w:r>
              <w:rPr>
                <w:rFonts w:ascii="Arial Narrow" w:hAnsi="Arial Narrow"/>
                <w:b/>
                <w:bCs/>
                <w:sz w:val="16"/>
                <w:szCs w:val="16"/>
              </w:rPr>
              <w:t>Προεδρία της Κυβέρνησης</w:t>
            </w:r>
          </w:p>
        </w:tc>
        <w:tc>
          <w:tcPr>
            <w:tcW w:w="1340" w:type="dxa"/>
            <w:tcBorders>
              <w:top w:val="nil"/>
              <w:left w:val="nil"/>
              <w:bottom w:val="nil"/>
              <w:right w:val="nil"/>
            </w:tcBorders>
            <w:shd w:val="clear" w:color="auto" w:fill="D9D9D9" w:themeFill="background1" w:themeFillShade="D9"/>
            <w:vAlign w:val="bottom"/>
            <w:hideMark/>
          </w:tcPr>
          <w:p w:rsidR="002B21FE" w:rsidRPr="006D58F6" w:rsidRDefault="002B21FE" w:rsidP="002B21FE">
            <w:pPr>
              <w:ind w:right="340"/>
              <w:jc w:val="right"/>
              <w:rPr>
                <w:rFonts w:ascii="Arial Narrow" w:hAnsi="Arial Narrow"/>
                <w:b/>
                <w:bCs/>
                <w:color w:val="000000"/>
                <w:sz w:val="16"/>
                <w:szCs w:val="16"/>
              </w:rPr>
            </w:pPr>
            <w:r w:rsidRPr="006D58F6">
              <w:rPr>
                <w:rFonts w:ascii="Arial Narrow" w:hAnsi="Arial Narrow"/>
                <w:b/>
                <w:bCs/>
                <w:color w:val="000000"/>
                <w:sz w:val="16"/>
                <w:szCs w:val="16"/>
              </w:rPr>
              <w:t>-</w:t>
            </w:r>
          </w:p>
        </w:tc>
        <w:tc>
          <w:tcPr>
            <w:tcW w:w="1500" w:type="dxa"/>
            <w:tcBorders>
              <w:top w:val="nil"/>
              <w:left w:val="nil"/>
              <w:bottom w:val="nil"/>
              <w:right w:val="single" w:sz="4" w:space="0" w:color="auto"/>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-1</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auto" w:fill="auto"/>
            <w:vAlign w:val="bottom"/>
            <w:hideMark/>
          </w:tcPr>
          <w:p w:rsidR="002B21FE" w:rsidRPr="006D58F6" w:rsidRDefault="002B21FE" w:rsidP="002B21FE">
            <w:pPr>
              <w:ind w:right="340"/>
              <w:jc w:val="right"/>
              <w:rPr>
                <w:rFonts w:ascii="Arial Narrow" w:hAnsi="Arial Narrow"/>
                <w:i/>
                <w:iCs/>
                <w:color w:val="000000"/>
                <w:sz w:val="16"/>
                <w:szCs w:val="16"/>
              </w:rPr>
            </w:pPr>
            <w:r w:rsidRPr="006D58F6">
              <w:rPr>
                <w:rFonts w:ascii="Arial Narrow" w:hAnsi="Arial Narrow"/>
                <w:i/>
                <w:iCs/>
                <w:color w:val="000000"/>
                <w:sz w:val="16"/>
                <w:szCs w:val="16"/>
              </w:rPr>
              <w:t>-</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-1</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Μεταβολή απλήρωτων υποχρεώσεων</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lang w:val="en-US"/>
              </w:rPr>
            </w:pPr>
            <w:r w:rsidRPr="0049453F">
              <w:rPr>
                <w:rFonts w:ascii="Arial Narrow" w:hAnsi="Arial Narrow"/>
                <w:i/>
                <w:iCs/>
                <w:color w:val="000000"/>
                <w:sz w:val="16"/>
                <w:szCs w:val="16"/>
                <w:lang w:val="en-US"/>
              </w:rPr>
              <w:t>-</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0</w:t>
            </w:r>
          </w:p>
        </w:tc>
      </w:tr>
      <w:tr w:rsidR="002B21FE" w:rsidTr="002D25C6">
        <w:trPr>
          <w:trHeight w:val="170"/>
          <w:jc w:val="center"/>
        </w:trPr>
        <w:tc>
          <w:tcPr>
            <w:tcW w:w="572" w:type="dxa"/>
            <w:tcBorders>
              <w:top w:val="nil"/>
              <w:left w:val="single" w:sz="4" w:space="0" w:color="auto"/>
              <w:bottom w:val="nil"/>
              <w:right w:val="nil"/>
            </w:tcBorders>
            <w:shd w:val="clear" w:color="auto" w:fill="D9D9D9" w:themeFill="background1" w:themeFillShade="D9"/>
            <w:vAlign w:val="center"/>
            <w:hideMark/>
          </w:tcPr>
          <w:p w:rsidR="002B21FE" w:rsidRPr="0049453F" w:rsidRDefault="002B21FE" w:rsidP="002D25C6">
            <w:pPr>
              <w:jc w:val="center"/>
              <w:rPr>
                <w:rFonts w:ascii="Arial Narrow" w:hAnsi="Arial Narrow"/>
                <w:b/>
                <w:bCs/>
                <w:sz w:val="16"/>
                <w:szCs w:val="16"/>
              </w:rPr>
            </w:pPr>
            <w:r>
              <w:rPr>
                <w:rFonts w:ascii="Arial Narrow" w:hAnsi="Arial Narrow"/>
                <w:b/>
                <w:bCs/>
                <w:sz w:val="16"/>
                <w:szCs w:val="16"/>
              </w:rPr>
              <w:t>2</w:t>
            </w:r>
          </w:p>
        </w:tc>
        <w:tc>
          <w:tcPr>
            <w:tcW w:w="5242" w:type="dxa"/>
            <w:tcBorders>
              <w:top w:val="nil"/>
              <w:left w:val="nil"/>
              <w:bottom w:val="nil"/>
              <w:right w:val="nil"/>
            </w:tcBorders>
            <w:shd w:val="clear" w:color="auto" w:fill="D9D9D9" w:themeFill="background1" w:themeFillShade="D9"/>
            <w:vAlign w:val="center"/>
            <w:hideMark/>
          </w:tcPr>
          <w:p w:rsidR="002B21FE" w:rsidRDefault="002B21FE" w:rsidP="002D25C6">
            <w:pPr>
              <w:rPr>
                <w:rFonts w:ascii="Arial Narrow" w:hAnsi="Arial Narrow"/>
                <w:b/>
                <w:bCs/>
                <w:sz w:val="16"/>
                <w:szCs w:val="16"/>
              </w:rPr>
            </w:pPr>
            <w:r>
              <w:rPr>
                <w:rFonts w:ascii="Arial Narrow" w:hAnsi="Arial Narrow"/>
                <w:b/>
                <w:bCs/>
                <w:sz w:val="16"/>
                <w:szCs w:val="16"/>
              </w:rPr>
              <w:t>Υπουργείο Εσωτερικών</w:t>
            </w:r>
          </w:p>
        </w:tc>
        <w:tc>
          <w:tcPr>
            <w:tcW w:w="1340" w:type="dxa"/>
            <w:tcBorders>
              <w:top w:val="nil"/>
              <w:left w:val="nil"/>
              <w:bottom w:val="nil"/>
              <w:right w:val="nil"/>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2</w:t>
            </w:r>
          </w:p>
        </w:tc>
        <w:tc>
          <w:tcPr>
            <w:tcW w:w="1500" w:type="dxa"/>
            <w:tcBorders>
              <w:top w:val="nil"/>
              <w:left w:val="nil"/>
              <w:bottom w:val="nil"/>
              <w:right w:val="single" w:sz="4" w:space="0" w:color="auto"/>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1</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2</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1</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Μεταβολή απλήρωτων υποχρεώσεων</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0</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0</w:t>
            </w:r>
          </w:p>
        </w:tc>
      </w:tr>
      <w:tr w:rsidR="002B21FE" w:rsidTr="002D25C6">
        <w:trPr>
          <w:trHeight w:val="170"/>
          <w:jc w:val="center"/>
        </w:trPr>
        <w:tc>
          <w:tcPr>
            <w:tcW w:w="572" w:type="dxa"/>
            <w:tcBorders>
              <w:top w:val="nil"/>
              <w:left w:val="single" w:sz="4" w:space="0" w:color="auto"/>
              <w:bottom w:val="nil"/>
              <w:right w:val="nil"/>
            </w:tcBorders>
            <w:shd w:val="clear" w:color="auto" w:fill="D9D9D9" w:themeFill="background1" w:themeFillShade="D9"/>
            <w:vAlign w:val="center"/>
            <w:hideMark/>
          </w:tcPr>
          <w:p w:rsidR="002B21FE" w:rsidRPr="0049453F" w:rsidRDefault="002B21FE" w:rsidP="002D25C6">
            <w:pPr>
              <w:jc w:val="center"/>
              <w:rPr>
                <w:rFonts w:ascii="Arial Narrow" w:hAnsi="Arial Narrow"/>
                <w:b/>
                <w:bCs/>
                <w:sz w:val="16"/>
                <w:szCs w:val="16"/>
              </w:rPr>
            </w:pPr>
            <w:r>
              <w:rPr>
                <w:rFonts w:ascii="Arial Narrow" w:hAnsi="Arial Narrow"/>
                <w:b/>
                <w:bCs/>
                <w:sz w:val="16"/>
                <w:szCs w:val="16"/>
              </w:rPr>
              <w:t>3</w:t>
            </w:r>
          </w:p>
        </w:tc>
        <w:tc>
          <w:tcPr>
            <w:tcW w:w="5242" w:type="dxa"/>
            <w:tcBorders>
              <w:top w:val="nil"/>
              <w:left w:val="nil"/>
              <w:bottom w:val="nil"/>
              <w:right w:val="nil"/>
            </w:tcBorders>
            <w:shd w:val="clear" w:color="auto" w:fill="D9D9D9" w:themeFill="background1" w:themeFillShade="D9"/>
            <w:vAlign w:val="center"/>
            <w:hideMark/>
          </w:tcPr>
          <w:p w:rsidR="002B21FE" w:rsidRDefault="002B21FE" w:rsidP="002D25C6">
            <w:pPr>
              <w:rPr>
                <w:rFonts w:ascii="Arial Narrow" w:hAnsi="Arial Narrow"/>
                <w:b/>
                <w:bCs/>
                <w:sz w:val="16"/>
                <w:szCs w:val="16"/>
              </w:rPr>
            </w:pPr>
            <w:r>
              <w:rPr>
                <w:rFonts w:ascii="Arial Narrow" w:hAnsi="Arial Narrow"/>
                <w:b/>
                <w:bCs/>
                <w:sz w:val="16"/>
                <w:szCs w:val="16"/>
              </w:rPr>
              <w:t>Υπουργείο Εξωτερικών</w:t>
            </w:r>
          </w:p>
        </w:tc>
        <w:tc>
          <w:tcPr>
            <w:tcW w:w="1340" w:type="dxa"/>
            <w:tcBorders>
              <w:top w:val="nil"/>
              <w:left w:val="nil"/>
              <w:bottom w:val="nil"/>
              <w:right w:val="nil"/>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4</w:t>
            </w:r>
          </w:p>
        </w:tc>
        <w:tc>
          <w:tcPr>
            <w:tcW w:w="1500" w:type="dxa"/>
            <w:tcBorders>
              <w:top w:val="nil"/>
              <w:left w:val="nil"/>
              <w:bottom w:val="nil"/>
              <w:right w:val="single" w:sz="4" w:space="0" w:color="auto"/>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1</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4</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1</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Μεταβολή απλήρωτων υποχρεώσεων</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0</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0</w:t>
            </w:r>
          </w:p>
        </w:tc>
      </w:tr>
      <w:tr w:rsidR="002B21FE" w:rsidTr="002D25C6">
        <w:trPr>
          <w:trHeight w:val="170"/>
          <w:jc w:val="center"/>
        </w:trPr>
        <w:tc>
          <w:tcPr>
            <w:tcW w:w="572" w:type="dxa"/>
            <w:tcBorders>
              <w:top w:val="nil"/>
              <w:left w:val="single" w:sz="4" w:space="0" w:color="auto"/>
              <w:bottom w:val="nil"/>
              <w:right w:val="nil"/>
            </w:tcBorders>
            <w:shd w:val="clear" w:color="auto" w:fill="D9D9D9" w:themeFill="background1" w:themeFillShade="D9"/>
            <w:vAlign w:val="center"/>
            <w:hideMark/>
          </w:tcPr>
          <w:p w:rsidR="002B21FE" w:rsidRPr="0049453F" w:rsidRDefault="002B21FE" w:rsidP="002D25C6">
            <w:pPr>
              <w:jc w:val="center"/>
              <w:rPr>
                <w:rFonts w:ascii="Arial Narrow" w:hAnsi="Arial Narrow"/>
                <w:b/>
                <w:bCs/>
                <w:sz w:val="16"/>
                <w:szCs w:val="16"/>
              </w:rPr>
            </w:pPr>
            <w:r>
              <w:rPr>
                <w:rFonts w:ascii="Arial Narrow" w:hAnsi="Arial Narrow"/>
                <w:b/>
                <w:bCs/>
                <w:sz w:val="16"/>
                <w:szCs w:val="16"/>
              </w:rPr>
              <w:t>4</w:t>
            </w:r>
          </w:p>
        </w:tc>
        <w:tc>
          <w:tcPr>
            <w:tcW w:w="5242" w:type="dxa"/>
            <w:tcBorders>
              <w:top w:val="nil"/>
              <w:left w:val="nil"/>
              <w:bottom w:val="nil"/>
              <w:right w:val="nil"/>
            </w:tcBorders>
            <w:shd w:val="clear" w:color="auto" w:fill="D9D9D9" w:themeFill="background1" w:themeFillShade="D9"/>
            <w:vAlign w:val="center"/>
            <w:hideMark/>
          </w:tcPr>
          <w:p w:rsidR="002B21FE" w:rsidRDefault="002B21FE" w:rsidP="002D25C6">
            <w:pPr>
              <w:rPr>
                <w:rFonts w:ascii="Arial Narrow" w:hAnsi="Arial Narrow"/>
                <w:b/>
                <w:bCs/>
                <w:sz w:val="16"/>
                <w:szCs w:val="16"/>
              </w:rPr>
            </w:pPr>
            <w:r>
              <w:rPr>
                <w:rFonts w:ascii="Arial Narrow" w:hAnsi="Arial Narrow"/>
                <w:b/>
                <w:bCs/>
                <w:sz w:val="16"/>
                <w:szCs w:val="16"/>
              </w:rPr>
              <w:t xml:space="preserve">Υπουργείο Εθνικής Άμυνας </w:t>
            </w:r>
          </w:p>
        </w:tc>
        <w:tc>
          <w:tcPr>
            <w:tcW w:w="1340" w:type="dxa"/>
            <w:tcBorders>
              <w:top w:val="nil"/>
              <w:left w:val="nil"/>
              <w:bottom w:val="nil"/>
              <w:right w:val="nil"/>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1</w:t>
            </w:r>
          </w:p>
        </w:tc>
        <w:tc>
          <w:tcPr>
            <w:tcW w:w="1500" w:type="dxa"/>
            <w:tcBorders>
              <w:top w:val="nil"/>
              <w:left w:val="nil"/>
              <w:bottom w:val="nil"/>
              <w:right w:val="single" w:sz="4" w:space="0" w:color="auto"/>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0</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1</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0</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Μεταβολή απλήρωτων υποχρεώσεων</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0</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0</w:t>
            </w:r>
          </w:p>
        </w:tc>
      </w:tr>
      <w:tr w:rsidR="002B21FE" w:rsidTr="002D25C6">
        <w:trPr>
          <w:trHeight w:val="170"/>
          <w:jc w:val="center"/>
        </w:trPr>
        <w:tc>
          <w:tcPr>
            <w:tcW w:w="572" w:type="dxa"/>
            <w:tcBorders>
              <w:top w:val="nil"/>
              <w:left w:val="single" w:sz="4" w:space="0" w:color="auto"/>
              <w:bottom w:val="nil"/>
              <w:right w:val="nil"/>
            </w:tcBorders>
            <w:shd w:val="clear" w:color="auto" w:fill="D9D9D9" w:themeFill="background1" w:themeFillShade="D9"/>
            <w:vAlign w:val="center"/>
            <w:hideMark/>
          </w:tcPr>
          <w:p w:rsidR="002B21FE" w:rsidRPr="0049453F" w:rsidRDefault="002B21FE" w:rsidP="002D25C6">
            <w:pPr>
              <w:jc w:val="center"/>
              <w:rPr>
                <w:rFonts w:ascii="Arial Narrow" w:hAnsi="Arial Narrow"/>
                <w:b/>
                <w:bCs/>
                <w:sz w:val="16"/>
                <w:szCs w:val="16"/>
              </w:rPr>
            </w:pPr>
            <w:r>
              <w:rPr>
                <w:rFonts w:ascii="Arial Narrow" w:hAnsi="Arial Narrow"/>
                <w:b/>
                <w:bCs/>
                <w:sz w:val="16"/>
                <w:szCs w:val="16"/>
              </w:rPr>
              <w:t>5</w:t>
            </w:r>
          </w:p>
        </w:tc>
        <w:tc>
          <w:tcPr>
            <w:tcW w:w="5242" w:type="dxa"/>
            <w:tcBorders>
              <w:top w:val="nil"/>
              <w:left w:val="nil"/>
              <w:bottom w:val="nil"/>
              <w:right w:val="nil"/>
            </w:tcBorders>
            <w:shd w:val="clear" w:color="auto" w:fill="D9D9D9" w:themeFill="background1" w:themeFillShade="D9"/>
            <w:vAlign w:val="center"/>
            <w:hideMark/>
          </w:tcPr>
          <w:p w:rsidR="002B21FE" w:rsidRDefault="002B21FE" w:rsidP="002D25C6">
            <w:pPr>
              <w:rPr>
                <w:rFonts w:ascii="Arial Narrow" w:hAnsi="Arial Narrow"/>
                <w:b/>
                <w:bCs/>
                <w:sz w:val="16"/>
                <w:szCs w:val="16"/>
              </w:rPr>
            </w:pPr>
            <w:r>
              <w:rPr>
                <w:rFonts w:ascii="Arial Narrow" w:hAnsi="Arial Narrow"/>
                <w:b/>
                <w:bCs/>
                <w:sz w:val="16"/>
                <w:szCs w:val="16"/>
              </w:rPr>
              <w:t>Υπουργείο Υγείας</w:t>
            </w:r>
          </w:p>
        </w:tc>
        <w:tc>
          <w:tcPr>
            <w:tcW w:w="1340" w:type="dxa"/>
            <w:tcBorders>
              <w:top w:val="nil"/>
              <w:left w:val="nil"/>
              <w:bottom w:val="nil"/>
              <w:right w:val="nil"/>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44</w:t>
            </w:r>
          </w:p>
        </w:tc>
        <w:tc>
          <w:tcPr>
            <w:tcW w:w="1500" w:type="dxa"/>
            <w:tcBorders>
              <w:top w:val="nil"/>
              <w:left w:val="nil"/>
              <w:bottom w:val="nil"/>
              <w:right w:val="single" w:sz="4" w:space="0" w:color="auto"/>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22</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45</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-4</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Μεταβολή απλήρωτων υποχρεώσεων</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-1</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26</w:t>
            </w:r>
          </w:p>
        </w:tc>
      </w:tr>
      <w:tr w:rsidR="002B21FE" w:rsidTr="002D25C6">
        <w:trPr>
          <w:trHeight w:val="170"/>
          <w:jc w:val="center"/>
        </w:trPr>
        <w:tc>
          <w:tcPr>
            <w:tcW w:w="572" w:type="dxa"/>
            <w:tcBorders>
              <w:top w:val="nil"/>
              <w:left w:val="single" w:sz="4" w:space="0" w:color="auto"/>
              <w:bottom w:val="nil"/>
              <w:right w:val="nil"/>
            </w:tcBorders>
            <w:shd w:val="clear" w:color="auto" w:fill="D9D9D9" w:themeFill="background1" w:themeFillShade="D9"/>
            <w:vAlign w:val="center"/>
            <w:hideMark/>
          </w:tcPr>
          <w:p w:rsidR="002B21FE" w:rsidRPr="0049453F" w:rsidRDefault="002B21FE" w:rsidP="002D25C6">
            <w:pPr>
              <w:jc w:val="center"/>
              <w:rPr>
                <w:rFonts w:ascii="Arial Narrow" w:hAnsi="Arial Narrow"/>
                <w:b/>
                <w:bCs/>
                <w:sz w:val="16"/>
                <w:szCs w:val="16"/>
              </w:rPr>
            </w:pPr>
            <w:r>
              <w:rPr>
                <w:rFonts w:ascii="Arial Narrow" w:hAnsi="Arial Narrow"/>
                <w:b/>
                <w:bCs/>
                <w:sz w:val="16"/>
                <w:szCs w:val="16"/>
              </w:rPr>
              <w:t>6</w:t>
            </w:r>
          </w:p>
        </w:tc>
        <w:tc>
          <w:tcPr>
            <w:tcW w:w="5242" w:type="dxa"/>
            <w:tcBorders>
              <w:top w:val="nil"/>
              <w:left w:val="nil"/>
              <w:bottom w:val="nil"/>
              <w:right w:val="nil"/>
            </w:tcBorders>
            <w:shd w:val="clear" w:color="auto" w:fill="D9D9D9" w:themeFill="background1" w:themeFillShade="D9"/>
            <w:vAlign w:val="center"/>
            <w:hideMark/>
          </w:tcPr>
          <w:p w:rsidR="002B21FE" w:rsidRDefault="002B21FE" w:rsidP="002D25C6">
            <w:pPr>
              <w:rPr>
                <w:rFonts w:ascii="Arial Narrow" w:hAnsi="Arial Narrow"/>
                <w:b/>
                <w:bCs/>
                <w:sz w:val="16"/>
                <w:szCs w:val="16"/>
              </w:rPr>
            </w:pPr>
            <w:r>
              <w:rPr>
                <w:rFonts w:ascii="Arial Narrow" w:hAnsi="Arial Narrow"/>
                <w:b/>
                <w:bCs/>
                <w:sz w:val="16"/>
                <w:szCs w:val="16"/>
              </w:rPr>
              <w:t>Υπουργείο Δικαιοσύνης</w:t>
            </w:r>
          </w:p>
        </w:tc>
        <w:tc>
          <w:tcPr>
            <w:tcW w:w="1340" w:type="dxa"/>
            <w:tcBorders>
              <w:top w:val="nil"/>
              <w:left w:val="nil"/>
              <w:bottom w:val="nil"/>
              <w:right w:val="nil"/>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32</w:t>
            </w:r>
          </w:p>
        </w:tc>
        <w:tc>
          <w:tcPr>
            <w:tcW w:w="1500" w:type="dxa"/>
            <w:tcBorders>
              <w:top w:val="nil"/>
              <w:left w:val="nil"/>
              <w:bottom w:val="nil"/>
              <w:right w:val="single" w:sz="4" w:space="0" w:color="auto"/>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21</w:t>
            </w:r>
          </w:p>
        </w:tc>
      </w:tr>
      <w:tr w:rsidR="002B21FE" w:rsidTr="002D25C6">
        <w:trPr>
          <w:trHeight w:val="170"/>
          <w:jc w:val="center"/>
        </w:trPr>
        <w:tc>
          <w:tcPr>
            <w:tcW w:w="572" w:type="dxa"/>
            <w:tcBorders>
              <w:top w:val="nil"/>
              <w:left w:val="single" w:sz="4" w:space="0" w:color="auto"/>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35</w:t>
            </w:r>
          </w:p>
        </w:tc>
        <w:tc>
          <w:tcPr>
            <w:tcW w:w="1500" w:type="dxa"/>
            <w:tcBorders>
              <w:top w:val="nil"/>
              <w:left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9</w:t>
            </w:r>
          </w:p>
        </w:tc>
      </w:tr>
      <w:tr w:rsidR="002B21FE" w:rsidTr="002D25C6">
        <w:trPr>
          <w:trHeight w:val="170"/>
          <w:jc w:val="center"/>
        </w:trPr>
        <w:tc>
          <w:tcPr>
            <w:tcW w:w="572" w:type="dxa"/>
            <w:tcBorders>
              <w:top w:val="nil"/>
              <w:left w:val="single" w:sz="4" w:space="0" w:color="auto"/>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Μεταβολή απλήρωτων υποχρεώσεων</w:t>
            </w:r>
          </w:p>
        </w:tc>
        <w:tc>
          <w:tcPr>
            <w:tcW w:w="1340" w:type="dxa"/>
            <w:tcBorders>
              <w:top w:val="nil"/>
              <w:left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-3</w:t>
            </w:r>
          </w:p>
        </w:tc>
        <w:tc>
          <w:tcPr>
            <w:tcW w:w="1500" w:type="dxa"/>
            <w:tcBorders>
              <w:top w:val="nil"/>
              <w:left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12</w:t>
            </w:r>
          </w:p>
        </w:tc>
      </w:tr>
      <w:tr w:rsidR="002B21FE" w:rsidTr="002D25C6">
        <w:trPr>
          <w:trHeight w:val="170"/>
          <w:jc w:val="center"/>
        </w:trPr>
        <w:tc>
          <w:tcPr>
            <w:tcW w:w="572" w:type="dxa"/>
            <w:tcBorders>
              <w:left w:val="single" w:sz="4" w:space="0" w:color="auto"/>
              <w:bottom w:val="nil"/>
              <w:right w:val="nil"/>
            </w:tcBorders>
            <w:shd w:val="clear" w:color="auto" w:fill="D9D9D9" w:themeFill="background1" w:themeFillShade="D9"/>
            <w:vAlign w:val="center"/>
            <w:hideMark/>
          </w:tcPr>
          <w:p w:rsidR="002B21FE" w:rsidRPr="0049453F" w:rsidRDefault="002B21FE" w:rsidP="002D25C6">
            <w:pPr>
              <w:jc w:val="center"/>
              <w:rPr>
                <w:rFonts w:ascii="Arial Narrow" w:hAnsi="Arial Narrow"/>
                <w:b/>
                <w:bCs/>
                <w:sz w:val="16"/>
                <w:szCs w:val="16"/>
              </w:rPr>
            </w:pPr>
            <w:r>
              <w:rPr>
                <w:rFonts w:ascii="Arial Narrow" w:hAnsi="Arial Narrow"/>
                <w:b/>
                <w:bCs/>
                <w:sz w:val="16"/>
                <w:szCs w:val="16"/>
              </w:rPr>
              <w:t>7</w:t>
            </w:r>
          </w:p>
        </w:tc>
        <w:tc>
          <w:tcPr>
            <w:tcW w:w="5242" w:type="dxa"/>
            <w:tcBorders>
              <w:left w:val="nil"/>
              <w:bottom w:val="nil"/>
              <w:right w:val="nil"/>
            </w:tcBorders>
            <w:shd w:val="clear" w:color="auto" w:fill="D9D9D9" w:themeFill="background1" w:themeFillShade="D9"/>
            <w:vAlign w:val="center"/>
            <w:hideMark/>
          </w:tcPr>
          <w:p w:rsidR="002B21FE" w:rsidRDefault="002B21FE" w:rsidP="002D25C6">
            <w:pPr>
              <w:rPr>
                <w:rFonts w:ascii="Arial Narrow" w:hAnsi="Arial Narrow"/>
                <w:b/>
                <w:bCs/>
                <w:sz w:val="16"/>
                <w:szCs w:val="16"/>
              </w:rPr>
            </w:pPr>
            <w:r>
              <w:rPr>
                <w:rFonts w:ascii="Arial Narrow" w:hAnsi="Arial Narrow"/>
                <w:b/>
                <w:bCs/>
                <w:sz w:val="16"/>
                <w:szCs w:val="16"/>
              </w:rPr>
              <w:t>Υπουργείο Παιδείας και Θρησκευμάτων</w:t>
            </w:r>
          </w:p>
        </w:tc>
        <w:tc>
          <w:tcPr>
            <w:tcW w:w="1340" w:type="dxa"/>
            <w:tcBorders>
              <w:left w:val="nil"/>
              <w:bottom w:val="nil"/>
              <w:right w:val="nil"/>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76</w:t>
            </w:r>
          </w:p>
        </w:tc>
        <w:tc>
          <w:tcPr>
            <w:tcW w:w="1500" w:type="dxa"/>
            <w:tcBorders>
              <w:left w:val="nil"/>
              <w:bottom w:val="nil"/>
              <w:right w:val="single" w:sz="4" w:space="0" w:color="auto"/>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59</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67</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58</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Μεταβολή απλήρωτων υποχρεώσεων</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9</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2</w:t>
            </w:r>
          </w:p>
        </w:tc>
      </w:tr>
      <w:tr w:rsidR="002B21FE" w:rsidTr="002D25C6">
        <w:trPr>
          <w:trHeight w:val="170"/>
          <w:jc w:val="center"/>
        </w:trPr>
        <w:tc>
          <w:tcPr>
            <w:tcW w:w="572" w:type="dxa"/>
            <w:tcBorders>
              <w:top w:val="nil"/>
              <w:left w:val="single" w:sz="4" w:space="0" w:color="auto"/>
              <w:bottom w:val="nil"/>
              <w:right w:val="nil"/>
            </w:tcBorders>
            <w:shd w:val="clear" w:color="auto" w:fill="D9D9D9" w:themeFill="background1" w:themeFillShade="D9"/>
            <w:vAlign w:val="center"/>
            <w:hideMark/>
          </w:tcPr>
          <w:p w:rsidR="002B21FE" w:rsidRPr="0049453F" w:rsidRDefault="002B21FE" w:rsidP="002D25C6">
            <w:pPr>
              <w:jc w:val="center"/>
              <w:rPr>
                <w:rFonts w:ascii="Arial Narrow" w:hAnsi="Arial Narrow"/>
                <w:b/>
                <w:bCs/>
                <w:sz w:val="16"/>
                <w:szCs w:val="16"/>
              </w:rPr>
            </w:pPr>
            <w:r>
              <w:rPr>
                <w:rFonts w:ascii="Arial Narrow" w:hAnsi="Arial Narrow"/>
                <w:b/>
                <w:bCs/>
                <w:sz w:val="16"/>
                <w:szCs w:val="16"/>
              </w:rPr>
              <w:t>8</w:t>
            </w:r>
          </w:p>
        </w:tc>
        <w:tc>
          <w:tcPr>
            <w:tcW w:w="5242" w:type="dxa"/>
            <w:tcBorders>
              <w:top w:val="nil"/>
              <w:left w:val="nil"/>
              <w:bottom w:val="nil"/>
              <w:right w:val="nil"/>
            </w:tcBorders>
            <w:shd w:val="clear" w:color="auto" w:fill="D9D9D9" w:themeFill="background1" w:themeFillShade="D9"/>
            <w:vAlign w:val="center"/>
            <w:hideMark/>
          </w:tcPr>
          <w:p w:rsidR="002B21FE" w:rsidRDefault="002B21FE" w:rsidP="002D25C6">
            <w:pPr>
              <w:rPr>
                <w:rFonts w:ascii="Arial Narrow" w:hAnsi="Arial Narrow"/>
                <w:b/>
                <w:bCs/>
                <w:sz w:val="16"/>
                <w:szCs w:val="16"/>
              </w:rPr>
            </w:pPr>
            <w:r>
              <w:rPr>
                <w:rFonts w:ascii="Arial Narrow" w:hAnsi="Arial Narrow"/>
                <w:b/>
                <w:bCs/>
                <w:sz w:val="16"/>
                <w:szCs w:val="16"/>
              </w:rPr>
              <w:t>Υπουργείο Πολιτισμού και Αθλητισμού</w:t>
            </w:r>
          </w:p>
        </w:tc>
        <w:tc>
          <w:tcPr>
            <w:tcW w:w="1340" w:type="dxa"/>
            <w:tcBorders>
              <w:top w:val="nil"/>
              <w:left w:val="nil"/>
              <w:bottom w:val="nil"/>
              <w:right w:val="nil"/>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-66</w:t>
            </w:r>
          </w:p>
        </w:tc>
        <w:tc>
          <w:tcPr>
            <w:tcW w:w="1500" w:type="dxa"/>
            <w:tcBorders>
              <w:top w:val="nil"/>
              <w:left w:val="nil"/>
              <w:bottom w:val="nil"/>
              <w:right w:val="single" w:sz="4" w:space="0" w:color="auto"/>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2</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-68</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1</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Μεταβολή απλήρωτων υποχρεώσεων</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3</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1</w:t>
            </w:r>
          </w:p>
        </w:tc>
      </w:tr>
      <w:tr w:rsidR="002B21FE" w:rsidTr="002D25C6">
        <w:trPr>
          <w:trHeight w:val="170"/>
          <w:jc w:val="center"/>
        </w:trPr>
        <w:tc>
          <w:tcPr>
            <w:tcW w:w="572" w:type="dxa"/>
            <w:tcBorders>
              <w:top w:val="nil"/>
              <w:left w:val="single" w:sz="4" w:space="0" w:color="auto"/>
              <w:bottom w:val="nil"/>
              <w:right w:val="nil"/>
            </w:tcBorders>
            <w:shd w:val="clear" w:color="auto" w:fill="D9D9D9" w:themeFill="background1" w:themeFillShade="D9"/>
            <w:vAlign w:val="center"/>
            <w:hideMark/>
          </w:tcPr>
          <w:p w:rsidR="002B21FE" w:rsidRPr="0049453F" w:rsidRDefault="002B21FE" w:rsidP="002D25C6">
            <w:pPr>
              <w:jc w:val="center"/>
              <w:rPr>
                <w:rFonts w:ascii="Arial Narrow" w:hAnsi="Arial Narrow"/>
                <w:b/>
                <w:bCs/>
                <w:sz w:val="16"/>
                <w:szCs w:val="16"/>
              </w:rPr>
            </w:pPr>
            <w:r>
              <w:rPr>
                <w:rFonts w:ascii="Arial Narrow" w:hAnsi="Arial Narrow"/>
                <w:b/>
                <w:bCs/>
                <w:sz w:val="16"/>
                <w:szCs w:val="16"/>
              </w:rPr>
              <w:t>9</w:t>
            </w:r>
          </w:p>
        </w:tc>
        <w:tc>
          <w:tcPr>
            <w:tcW w:w="5242" w:type="dxa"/>
            <w:tcBorders>
              <w:top w:val="nil"/>
              <w:left w:val="nil"/>
              <w:bottom w:val="nil"/>
              <w:right w:val="nil"/>
            </w:tcBorders>
            <w:shd w:val="clear" w:color="auto" w:fill="D9D9D9" w:themeFill="background1" w:themeFillShade="D9"/>
            <w:vAlign w:val="center"/>
            <w:hideMark/>
          </w:tcPr>
          <w:p w:rsidR="002B21FE" w:rsidRDefault="002B21FE" w:rsidP="002D25C6">
            <w:pPr>
              <w:rPr>
                <w:rFonts w:ascii="Arial Narrow" w:hAnsi="Arial Narrow"/>
                <w:b/>
                <w:bCs/>
                <w:sz w:val="16"/>
                <w:szCs w:val="16"/>
              </w:rPr>
            </w:pPr>
            <w:r>
              <w:rPr>
                <w:rFonts w:ascii="Arial Narrow" w:hAnsi="Arial Narrow"/>
                <w:b/>
                <w:bCs/>
                <w:sz w:val="16"/>
                <w:szCs w:val="16"/>
              </w:rPr>
              <w:t>Υπουργείο Οικονομικών</w:t>
            </w:r>
          </w:p>
        </w:tc>
        <w:tc>
          <w:tcPr>
            <w:tcW w:w="1340" w:type="dxa"/>
            <w:tcBorders>
              <w:top w:val="nil"/>
              <w:left w:val="nil"/>
              <w:bottom w:val="nil"/>
              <w:right w:val="nil"/>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240</w:t>
            </w:r>
          </w:p>
        </w:tc>
        <w:tc>
          <w:tcPr>
            <w:tcW w:w="1500" w:type="dxa"/>
            <w:tcBorders>
              <w:top w:val="nil"/>
              <w:left w:val="nil"/>
              <w:bottom w:val="nil"/>
              <w:right w:val="single" w:sz="4" w:space="0" w:color="auto"/>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288</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230</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268</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Μεταβολή απλήρωτων υποχρεώσεων</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0</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0</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Pr="00245B62" w:rsidRDefault="002B21FE" w:rsidP="002D25C6">
            <w:pPr>
              <w:rPr>
                <w:rFonts w:ascii="Arial Narrow" w:hAnsi="Arial Narrow"/>
                <w:i/>
                <w:iCs/>
                <w:sz w:val="16"/>
                <w:szCs w:val="16"/>
                <w:lang w:val="en-US"/>
              </w:rPr>
            </w:pP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10</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20</w:t>
            </w:r>
          </w:p>
        </w:tc>
      </w:tr>
      <w:tr w:rsidR="002B21FE" w:rsidTr="002D25C6">
        <w:trPr>
          <w:trHeight w:val="170"/>
          <w:jc w:val="center"/>
        </w:trPr>
        <w:tc>
          <w:tcPr>
            <w:tcW w:w="572" w:type="dxa"/>
            <w:tcBorders>
              <w:top w:val="nil"/>
              <w:left w:val="single" w:sz="4" w:space="0" w:color="auto"/>
              <w:bottom w:val="nil"/>
              <w:right w:val="nil"/>
            </w:tcBorders>
            <w:shd w:val="clear" w:color="auto" w:fill="D9D9D9" w:themeFill="background1" w:themeFillShade="D9"/>
            <w:vAlign w:val="center"/>
            <w:hideMark/>
          </w:tcPr>
          <w:p w:rsidR="002B21FE" w:rsidRPr="0049453F" w:rsidRDefault="002B21FE" w:rsidP="002D25C6">
            <w:pPr>
              <w:jc w:val="center"/>
              <w:rPr>
                <w:rFonts w:ascii="Arial Narrow" w:hAnsi="Arial Narrow"/>
                <w:b/>
                <w:bCs/>
                <w:sz w:val="16"/>
                <w:szCs w:val="16"/>
              </w:rPr>
            </w:pPr>
            <w:r>
              <w:rPr>
                <w:rFonts w:ascii="Arial Narrow" w:hAnsi="Arial Narrow"/>
                <w:b/>
                <w:bCs/>
                <w:sz w:val="16"/>
                <w:szCs w:val="16"/>
              </w:rPr>
              <w:t>10</w:t>
            </w:r>
          </w:p>
        </w:tc>
        <w:tc>
          <w:tcPr>
            <w:tcW w:w="5242" w:type="dxa"/>
            <w:tcBorders>
              <w:top w:val="nil"/>
              <w:left w:val="nil"/>
              <w:bottom w:val="nil"/>
              <w:right w:val="nil"/>
            </w:tcBorders>
            <w:shd w:val="clear" w:color="auto" w:fill="D9D9D9" w:themeFill="background1" w:themeFillShade="D9"/>
            <w:vAlign w:val="center"/>
            <w:hideMark/>
          </w:tcPr>
          <w:p w:rsidR="002B21FE" w:rsidRDefault="002B21FE" w:rsidP="002D25C6">
            <w:pPr>
              <w:rPr>
                <w:rFonts w:ascii="Arial Narrow" w:hAnsi="Arial Narrow"/>
                <w:b/>
                <w:bCs/>
                <w:sz w:val="16"/>
                <w:szCs w:val="16"/>
              </w:rPr>
            </w:pPr>
            <w:r>
              <w:rPr>
                <w:rFonts w:ascii="Arial Narrow" w:hAnsi="Arial Narrow"/>
                <w:b/>
                <w:bCs/>
                <w:sz w:val="16"/>
                <w:szCs w:val="16"/>
              </w:rPr>
              <w:t>Υπουργείο Αγροτικής Ανάπτυξης και Τροφίμων</w:t>
            </w:r>
          </w:p>
        </w:tc>
        <w:tc>
          <w:tcPr>
            <w:tcW w:w="1340" w:type="dxa"/>
            <w:tcBorders>
              <w:top w:val="nil"/>
              <w:left w:val="nil"/>
              <w:bottom w:val="nil"/>
              <w:right w:val="nil"/>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20</w:t>
            </w:r>
          </w:p>
        </w:tc>
        <w:tc>
          <w:tcPr>
            <w:tcW w:w="1500" w:type="dxa"/>
            <w:tcBorders>
              <w:top w:val="nil"/>
              <w:left w:val="nil"/>
              <w:bottom w:val="nil"/>
              <w:right w:val="single" w:sz="4" w:space="0" w:color="auto"/>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10</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20</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10</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Μεταβολή απλήρωτων υποχρεώσεων</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0</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0</w:t>
            </w:r>
          </w:p>
        </w:tc>
      </w:tr>
      <w:tr w:rsidR="002B21FE" w:rsidTr="002D25C6">
        <w:trPr>
          <w:trHeight w:val="170"/>
          <w:jc w:val="center"/>
        </w:trPr>
        <w:tc>
          <w:tcPr>
            <w:tcW w:w="572" w:type="dxa"/>
            <w:tcBorders>
              <w:top w:val="nil"/>
              <w:left w:val="single" w:sz="4" w:space="0" w:color="auto"/>
              <w:bottom w:val="nil"/>
              <w:right w:val="nil"/>
            </w:tcBorders>
            <w:shd w:val="clear" w:color="auto" w:fill="D9D9D9" w:themeFill="background1" w:themeFillShade="D9"/>
            <w:vAlign w:val="center"/>
            <w:hideMark/>
          </w:tcPr>
          <w:p w:rsidR="002B21FE" w:rsidRPr="0049453F" w:rsidRDefault="002B21FE" w:rsidP="002D25C6">
            <w:pPr>
              <w:jc w:val="center"/>
              <w:rPr>
                <w:rFonts w:ascii="Arial Narrow" w:hAnsi="Arial Narrow"/>
                <w:b/>
                <w:bCs/>
                <w:sz w:val="16"/>
                <w:szCs w:val="16"/>
              </w:rPr>
            </w:pPr>
            <w:r>
              <w:rPr>
                <w:rFonts w:ascii="Arial Narrow" w:hAnsi="Arial Narrow"/>
                <w:b/>
                <w:bCs/>
                <w:sz w:val="16"/>
                <w:szCs w:val="16"/>
              </w:rPr>
              <w:t>11</w:t>
            </w:r>
          </w:p>
        </w:tc>
        <w:tc>
          <w:tcPr>
            <w:tcW w:w="5242" w:type="dxa"/>
            <w:tcBorders>
              <w:top w:val="nil"/>
              <w:left w:val="nil"/>
              <w:bottom w:val="nil"/>
              <w:right w:val="nil"/>
            </w:tcBorders>
            <w:shd w:val="clear" w:color="auto" w:fill="D9D9D9" w:themeFill="background1" w:themeFillShade="D9"/>
            <w:vAlign w:val="center"/>
            <w:hideMark/>
          </w:tcPr>
          <w:p w:rsidR="002B21FE" w:rsidRDefault="002B21FE" w:rsidP="002D25C6">
            <w:pPr>
              <w:rPr>
                <w:rFonts w:ascii="Arial Narrow" w:hAnsi="Arial Narrow"/>
                <w:b/>
                <w:bCs/>
                <w:sz w:val="16"/>
                <w:szCs w:val="16"/>
              </w:rPr>
            </w:pPr>
            <w:r>
              <w:rPr>
                <w:rFonts w:ascii="Arial Narrow" w:hAnsi="Arial Narrow"/>
                <w:b/>
                <w:bCs/>
                <w:sz w:val="16"/>
                <w:szCs w:val="16"/>
              </w:rPr>
              <w:t>Υπουργείο Περιβάλλοντος και Ενέργειας</w:t>
            </w:r>
          </w:p>
        </w:tc>
        <w:tc>
          <w:tcPr>
            <w:tcW w:w="1340" w:type="dxa"/>
            <w:tcBorders>
              <w:top w:val="nil"/>
              <w:left w:val="nil"/>
              <w:bottom w:val="nil"/>
              <w:right w:val="nil"/>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-278</w:t>
            </w:r>
          </w:p>
        </w:tc>
        <w:tc>
          <w:tcPr>
            <w:tcW w:w="1500" w:type="dxa"/>
            <w:tcBorders>
              <w:top w:val="nil"/>
              <w:left w:val="nil"/>
              <w:bottom w:val="nil"/>
              <w:right w:val="single" w:sz="4" w:space="0" w:color="auto"/>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155</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-278</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155</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Μεταβολή απλήρωτων υποχρεώσεων</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0</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0</w:t>
            </w:r>
          </w:p>
        </w:tc>
      </w:tr>
      <w:tr w:rsidR="002B21FE" w:rsidTr="002D25C6">
        <w:trPr>
          <w:trHeight w:val="170"/>
          <w:jc w:val="center"/>
        </w:trPr>
        <w:tc>
          <w:tcPr>
            <w:tcW w:w="572" w:type="dxa"/>
            <w:tcBorders>
              <w:top w:val="nil"/>
              <w:left w:val="single" w:sz="4" w:space="0" w:color="auto"/>
              <w:bottom w:val="nil"/>
              <w:right w:val="nil"/>
            </w:tcBorders>
            <w:shd w:val="clear" w:color="auto" w:fill="D9D9D9" w:themeFill="background1" w:themeFillShade="D9"/>
            <w:vAlign w:val="center"/>
            <w:hideMark/>
          </w:tcPr>
          <w:p w:rsidR="002B21FE" w:rsidRPr="00245B62" w:rsidRDefault="002B21FE" w:rsidP="002D25C6">
            <w:pPr>
              <w:jc w:val="center"/>
              <w:rPr>
                <w:rFonts w:ascii="Arial Narrow" w:hAnsi="Arial Narrow"/>
                <w:b/>
                <w:bCs/>
                <w:sz w:val="16"/>
                <w:szCs w:val="16"/>
              </w:rPr>
            </w:pPr>
            <w:r>
              <w:rPr>
                <w:rFonts w:ascii="Arial Narrow" w:hAnsi="Arial Narrow"/>
                <w:b/>
                <w:bCs/>
                <w:sz w:val="16"/>
                <w:szCs w:val="16"/>
              </w:rPr>
              <w:t>12</w:t>
            </w:r>
          </w:p>
        </w:tc>
        <w:tc>
          <w:tcPr>
            <w:tcW w:w="5242" w:type="dxa"/>
            <w:tcBorders>
              <w:top w:val="nil"/>
              <w:left w:val="nil"/>
              <w:bottom w:val="nil"/>
              <w:right w:val="nil"/>
            </w:tcBorders>
            <w:shd w:val="clear" w:color="auto" w:fill="D9D9D9" w:themeFill="background1" w:themeFillShade="D9"/>
            <w:vAlign w:val="center"/>
            <w:hideMark/>
          </w:tcPr>
          <w:p w:rsidR="002B21FE" w:rsidRDefault="002B21FE" w:rsidP="002D25C6">
            <w:pPr>
              <w:rPr>
                <w:rFonts w:ascii="Arial Narrow" w:hAnsi="Arial Narrow"/>
                <w:b/>
                <w:bCs/>
                <w:sz w:val="16"/>
                <w:szCs w:val="16"/>
              </w:rPr>
            </w:pPr>
            <w:r>
              <w:rPr>
                <w:rFonts w:ascii="Arial Narrow" w:hAnsi="Arial Narrow"/>
                <w:b/>
                <w:bCs/>
                <w:sz w:val="16"/>
                <w:szCs w:val="16"/>
              </w:rPr>
              <w:t>Υπουργείο Εργασίας και Κοινωνικών Υποθέσεων</w:t>
            </w:r>
          </w:p>
        </w:tc>
        <w:tc>
          <w:tcPr>
            <w:tcW w:w="1340" w:type="dxa"/>
            <w:tcBorders>
              <w:top w:val="nil"/>
              <w:left w:val="nil"/>
              <w:bottom w:val="nil"/>
              <w:right w:val="nil"/>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2</w:t>
            </w:r>
          </w:p>
        </w:tc>
        <w:tc>
          <w:tcPr>
            <w:tcW w:w="1500" w:type="dxa"/>
            <w:tcBorders>
              <w:top w:val="nil"/>
              <w:left w:val="nil"/>
              <w:bottom w:val="nil"/>
              <w:right w:val="single" w:sz="4" w:space="0" w:color="auto"/>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3</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2</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2</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Μεταβολή απλήρωτων υποχρεώσεων</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0</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1</w:t>
            </w:r>
          </w:p>
        </w:tc>
      </w:tr>
      <w:tr w:rsidR="002B21FE" w:rsidTr="002D25C6">
        <w:trPr>
          <w:trHeight w:val="170"/>
          <w:jc w:val="center"/>
        </w:trPr>
        <w:tc>
          <w:tcPr>
            <w:tcW w:w="572" w:type="dxa"/>
            <w:tcBorders>
              <w:top w:val="nil"/>
              <w:left w:val="single" w:sz="4" w:space="0" w:color="auto"/>
              <w:bottom w:val="nil"/>
              <w:right w:val="nil"/>
            </w:tcBorders>
            <w:shd w:val="clear" w:color="auto" w:fill="D9D9D9" w:themeFill="background1" w:themeFillShade="D9"/>
            <w:vAlign w:val="center"/>
            <w:hideMark/>
          </w:tcPr>
          <w:p w:rsidR="002B21FE" w:rsidRDefault="002B21FE" w:rsidP="002D25C6">
            <w:pPr>
              <w:jc w:val="center"/>
              <w:rPr>
                <w:rFonts w:ascii="Arial Narrow" w:hAnsi="Arial Narrow"/>
                <w:b/>
                <w:bCs/>
                <w:sz w:val="16"/>
                <w:szCs w:val="16"/>
              </w:rPr>
            </w:pPr>
            <w:r>
              <w:rPr>
                <w:rFonts w:ascii="Arial Narrow" w:hAnsi="Arial Narrow"/>
                <w:b/>
                <w:bCs/>
                <w:sz w:val="16"/>
                <w:szCs w:val="16"/>
              </w:rPr>
              <w:t>13</w:t>
            </w:r>
          </w:p>
        </w:tc>
        <w:tc>
          <w:tcPr>
            <w:tcW w:w="5242" w:type="dxa"/>
            <w:tcBorders>
              <w:top w:val="nil"/>
              <w:left w:val="nil"/>
              <w:bottom w:val="nil"/>
              <w:right w:val="nil"/>
            </w:tcBorders>
            <w:shd w:val="clear" w:color="auto" w:fill="D9D9D9" w:themeFill="background1" w:themeFillShade="D9"/>
            <w:vAlign w:val="center"/>
            <w:hideMark/>
          </w:tcPr>
          <w:p w:rsidR="002B21FE" w:rsidRDefault="002B21FE" w:rsidP="002D25C6">
            <w:pPr>
              <w:rPr>
                <w:rFonts w:ascii="Arial Narrow" w:hAnsi="Arial Narrow"/>
                <w:b/>
                <w:bCs/>
                <w:sz w:val="16"/>
                <w:szCs w:val="16"/>
              </w:rPr>
            </w:pPr>
            <w:r>
              <w:rPr>
                <w:rFonts w:ascii="Arial Narrow" w:hAnsi="Arial Narrow"/>
                <w:b/>
                <w:bCs/>
                <w:sz w:val="16"/>
                <w:szCs w:val="16"/>
              </w:rPr>
              <w:t>Υπουργείο Ανάπτυξης και Επενδύσεων</w:t>
            </w:r>
          </w:p>
        </w:tc>
        <w:tc>
          <w:tcPr>
            <w:tcW w:w="1340" w:type="dxa"/>
            <w:tcBorders>
              <w:top w:val="nil"/>
              <w:left w:val="nil"/>
              <w:bottom w:val="nil"/>
              <w:right w:val="nil"/>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1.056</w:t>
            </w:r>
          </w:p>
        </w:tc>
        <w:tc>
          <w:tcPr>
            <w:tcW w:w="1500" w:type="dxa"/>
            <w:tcBorders>
              <w:top w:val="nil"/>
              <w:left w:val="nil"/>
              <w:bottom w:val="nil"/>
              <w:right w:val="single" w:sz="4" w:space="0" w:color="auto"/>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52</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43</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52</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Μεταβολή απλήρωτων υποχρεώσεων</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0</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0</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1.013</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0</w:t>
            </w:r>
          </w:p>
        </w:tc>
      </w:tr>
      <w:tr w:rsidR="002B21FE" w:rsidTr="002D25C6">
        <w:trPr>
          <w:trHeight w:val="170"/>
          <w:jc w:val="center"/>
        </w:trPr>
        <w:tc>
          <w:tcPr>
            <w:tcW w:w="572" w:type="dxa"/>
            <w:tcBorders>
              <w:top w:val="nil"/>
              <w:left w:val="single" w:sz="4" w:space="0" w:color="auto"/>
              <w:bottom w:val="nil"/>
              <w:right w:val="nil"/>
            </w:tcBorders>
            <w:shd w:val="clear" w:color="auto" w:fill="D9D9D9" w:themeFill="background1" w:themeFillShade="D9"/>
            <w:vAlign w:val="center"/>
            <w:hideMark/>
          </w:tcPr>
          <w:p w:rsidR="002B21FE" w:rsidRDefault="002B21FE" w:rsidP="002D25C6">
            <w:pPr>
              <w:jc w:val="center"/>
              <w:rPr>
                <w:rFonts w:ascii="Arial Narrow" w:hAnsi="Arial Narrow"/>
                <w:b/>
                <w:bCs/>
                <w:sz w:val="16"/>
                <w:szCs w:val="16"/>
              </w:rPr>
            </w:pPr>
            <w:r>
              <w:rPr>
                <w:rFonts w:ascii="Arial Narrow" w:hAnsi="Arial Narrow"/>
                <w:b/>
                <w:bCs/>
                <w:sz w:val="16"/>
                <w:szCs w:val="16"/>
              </w:rPr>
              <w:t>14</w:t>
            </w:r>
          </w:p>
        </w:tc>
        <w:tc>
          <w:tcPr>
            <w:tcW w:w="5242" w:type="dxa"/>
            <w:tcBorders>
              <w:top w:val="nil"/>
              <w:left w:val="nil"/>
              <w:bottom w:val="nil"/>
              <w:right w:val="nil"/>
            </w:tcBorders>
            <w:shd w:val="clear" w:color="auto" w:fill="D9D9D9" w:themeFill="background1" w:themeFillShade="D9"/>
            <w:vAlign w:val="center"/>
            <w:hideMark/>
          </w:tcPr>
          <w:p w:rsidR="002B21FE" w:rsidRDefault="002B21FE" w:rsidP="002D25C6">
            <w:pPr>
              <w:rPr>
                <w:rFonts w:ascii="Arial Narrow" w:hAnsi="Arial Narrow"/>
                <w:b/>
                <w:bCs/>
                <w:sz w:val="16"/>
                <w:szCs w:val="16"/>
              </w:rPr>
            </w:pPr>
            <w:r>
              <w:rPr>
                <w:rFonts w:ascii="Arial Narrow" w:hAnsi="Arial Narrow"/>
                <w:b/>
                <w:bCs/>
                <w:sz w:val="16"/>
                <w:szCs w:val="16"/>
              </w:rPr>
              <w:t>Υπουργείο Υποδομών και Μεταφορών</w:t>
            </w:r>
          </w:p>
        </w:tc>
        <w:tc>
          <w:tcPr>
            <w:tcW w:w="1340" w:type="dxa"/>
            <w:tcBorders>
              <w:top w:val="nil"/>
              <w:left w:val="nil"/>
              <w:bottom w:val="nil"/>
              <w:right w:val="nil"/>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104</w:t>
            </w:r>
          </w:p>
        </w:tc>
        <w:tc>
          <w:tcPr>
            <w:tcW w:w="1500" w:type="dxa"/>
            <w:tcBorders>
              <w:top w:val="nil"/>
              <w:left w:val="nil"/>
              <w:bottom w:val="nil"/>
              <w:right w:val="single" w:sz="4" w:space="0" w:color="auto"/>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50</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104</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50</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Μεταβολή απλήρωτων υποχρεώσεων</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0</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0</w:t>
            </w:r>
          </w:p>
        </w:tc>
      </w:tr>
      <w:tr w:rsidR="002B21FE" w:rsidTr="002D25C6">
        <w:trPr>
          <w:trHeight w:val="170"/>
          <w:jc w:val="center"/>
        </w:trPr>
        <w:tc>
          <w:tcPr>
            <w:tcW w:w="572" w:type="dxa"/>
            <w:tcBorders>
              <w:top w:val="nil"/>
              <w:left w:val="single" w:sz="4" w:space="0" w:color="auto"/>
              <w:bottom w:val="nil"/>
              <w:right w:val="nil"/>
            </w:tcBorders>
            <w:shd w:val="clear" w:color="auto" w:fill="D9D9D9" w:themeFill="background1" w:themeFillShade="D9"/>
            <w:vAlign w:val="center"/>
            <w:hideMark/>
          </w:tcPr>
          <w:p w:rsidR="002B21FE" w:rsidRDefault="002B21FE" w:rsidP="002D25C6">
            <w:pPr>
              <w:jc w:val="center"/>
              <w:rPr>
                <w:rFonts w:ascii="Arial Narrow" w:hAnsi="Arial Narrow"/>
                <w:b/>
                <w:bCs/>
                <w:sz w:val="16"/>
                <w:szCs w:val="16"/>
              </w:rPr>
            </w:pPr>
            <w:r>
              <w:rPr>
                <w:rFonts w:ascii="Arial Narrow" w:hAnsi="Arial Narrow"/>
                <w:b/>
                <w:bCs/>
                <w:sz w:val="16"/>
                <w:szCs w:val="16"/>
              </w:rPr>
              <w:t>15</w:t>
            </w:r>
          </w:p>
        </w:tc>
        <w:tc>
          <w:tcPr>
            <w:tcW w:w="5242" w:type="dxa"/>
            <w:tcBorders>
              <w:top w:val="nil"/>
              <w:left w:val="nil"/>
              <w:bottom w:val="nil"/>
              <w:right w:val="nil"/>
            </w:tcBorders>
            <w:shd w:val="clear" w:color="auto" w:fill="D9D9D9" w:themeFill="background1" w:themeFillShade="D9"/>
            <w:vAlign w:val="center"/>
            <w:hideMark/>
          </w:tcPr>
          <w:p w:rsidR="002B21FE" w:rsidRDefault="002B21FE" w:rsidP="002D25C6">
            <w:pPr>
              <w:rPr>
                <w:rFonts w:ascii="Arial Narrow" w:hAnsi="Arial Narrow"/>
                <w:b/>
                <w:bCs/>
                <w:sz w:val="16"/>
                <w:szCs w:val="16"/>
              </w:rPr>
            </w:pPr>
            <w:r>
              <w:rPr>
                <w:rFonts w:ascii="Arial Narrow" w:hAnsi="Arial Narrow"/>
                <w:b/>
                <w:bCs/>
                <w:sz w:val="16"/>
                <w:szCs w:val="16"/>
              </w:rPr>
              <w:t>Υπουργείο Ναυτιλίας και Νησιωτικής Πολιτικής</w:t>
            </w:r>
          </w:p>
        </w:tc>
        <w:tc>
          <w:tcPr>
            <w:tcW w:w="1340" w:type="dxa"/>
            <w:tcBorders>
              <w:top w:val="nil"/>
              <w:left w:val="nil"/>
              <w:bottom w:val="nil"/>
              <w:right w:val="nil"/>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-7</w:t>
            </w:r>
          </w:p>
        </w:tc>
        <w:tc>
          <w:tcPr>
            <w:tcW w:w="1500" w:type="dxa"/>
            <w:tcBorders>
              <w:top w:val="nil"/>
              <w:left w:val="nil"/>
              <w:bottom w:val="nil"/>
              <w:right w:val="single" w:sz="4" w:space="0" w:color="auto"/>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5</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-7</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5</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Μεταβολή απλήρωτων υποχρεώσεων</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0</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0</w:t>
            </w:r>
          </w:p>
        </w:tc>
      </w:tr>
      <w:tr w:rsidR="002B21FE" w:rsidTr="002D25C6">
        <w:trPr>
          <w:trHeight w:val="170"/>
          <w:jc w:val="center"/>
        </w:trPr>
        <w:tc>
          <w:tcPr>
            <w:tcW w:w="572" w:type="dxa"/>
            <w:tcBorders>
              <w:top w:val="nil"/>
              <w:left w:val="single" w:sz="4" w:space="0" w:color="auto"/>
              <w:bottom w:val="nil"/>
              <w:right w:val="nil"/>
            </w:tcBorders>
            <w:shd w:val="clear" w:color="auto" w:fill="D9D9D9" w:themeFill="background1" w:themeFillShade="D9"/>
            <w:vAlign w:val="center"/>
            <w:hideMark/>
          </w:tcPr>
          <w:p w:rsidR="002B21FE" w:rsidRDefault="002B21FE" w:rsidP="002D25C6">
            <w:pPr>
              <w:jc w:val="center"/>
              <w:rPr>
                <w:rFonts w:ascii="Arial Narrow" w:hAnsi="Arial Narrow"/>
                <w:b/>
                <w:bCs/>
                <w:sz w:val="16"/>
                <w:szCs w:val="16"/>
              </w:rPr>
            </w:pPr>
            <w:r>
              <w:rPr>
                <w:rFonts w:ascii="Arial Narrow" w:hAnsi="Arial Narrow"/>
                <w:b/>
                <w:bCs/>
                <w:sz w:val="16"/>
                <w:szCs w:val="16"/>
              </w:rPr>
              <w:t>16</w:t>
            </w:r>
          </w:p>
        </w:tc>
        <w:tc>
          <w:tcPr>
            <w:tcW w:w="5242" w:type="dxa"/>
            <w:tcBorders>
              <w:top w:val="nil"/>
              <w:left w:val="nil"/>
              <w:bottom w:val="nil"/>
              <w:right w:val="nil"/>
            </w:tcBorders>
            <w:shd w:val="clear" w:color="auto" w:fill="D9D9D9" w:themeFill="background1" w:themeFillShade="D9"/>
            <w:vAlign w:val="center"/>
            <w:hideMark/>
          </w:tcPr>
          <w:p w:rsidR="002B21FE" w:rsidRDefault="002B21FE" w:rsidP="002D25C6">
            <w:pPr>
              <w:rPr>
                <w:rFonts w:ascii="Arial Narrow" w:hAnsi="Arial Narrow"/>
                <w:b/>
                <w:bCs/>
                <w:sz w:val="16"/>
                <w:szCs w:val="16"/>
              </w:rPr>
            </w:pPr>
            <w:r>
              <w:rPr>
                <w:rFonts w:ascii="Arial Narrow" w:hAnsi="Arial Narrow"/>
                <w:b/>
                <w:bCs/>
                <w:sz w:val="16"/>
                <w:szCs w:val="16"/>
              </w:rPr>
              <w:t>Υπουργείο Προστασίας του Πολίτη</w:t>
            </w:r>
          </w:p>
        </w:tc>
        <w:tc>
          <w:tcPr>
            <w:tcW w:w="1340" w:type="dxa"/>
            <w:tcBorders>
              <w:top w:val="nil"/>
              <w:left w:val="nil"/>
              <w:bottom w:val="nil"/>
              <w:right w:val="nil"/>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0</w:t>
            </w:r>
          </w:p>
        </w:tc>
        <w:tc>
          <w:tcPr>
            <w:tcW w:w="1500" w:type="dxa"/>
            <w:tcBorders>
              <w:top w:val="nil"/>
              <w:left w:val="nil"/>
              <w:bottom w:val="nil"/>
              <w:right w:val="single" w:sz="4" w:space="0" w:color="auto"/>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0</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0</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0</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Μεταβολή απλήρωτων υποχρεώσεων</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0</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0</w:t>
            </w:r>
          </w:p>
        </w:tc>
      </w:tr>
      <w:tr w:rsidR="002B21FE" w:rsidTr="002D25C6">
        <w:trPr>
          <w:trHeight w:val="170"/>
          <w:jc w:val="center"/>
        </w:trPr>
        <w:tc>
          <w:tcPr>
            <w:tcW w:w="572" w:type="dxa"/>
            <w:tcBorders>
              <w:top w:val="nil"/>
              <w:left w:val="single" w:sz="4" w:space="0" w:color="auto"/>
              <w:bottom w:val="nil"/>
              <w:right w:val="nil"/>
            </w:tcBorders>
            <w:shd w:val="clear" w:color="auto" w:fill="D9D9D9" w:themeFill="background1" w:themeFillShade="D9"/>
            <w:vAlign w:val="center"/>
            <w:hideMark/>
          </w:tcPr>
          <w:p w:rsidR="002B21FE" w:rsidRDefault="002B21FE" w:rsidP="002D25C6">
            <w:pPr>
              <w:jc w:val="center"/>
              <w:rPr>
                <w:rFonts w:ascii="Arial Narrow" w:hAnsi="Arial Narrow"/>
                <w:b/>
                <w:bCs/>
                <w:sz w:val="16"/>
                <w:szCs w:val="16"/>
              </w:rPr>
            </w:pPr>
            <w:r>
              <w:rPr>
                <w:rFonts w:ascii="Arial Narrow" w:hAnsi="Arial Narrow"/>
                <w:b/>
                <w:bCs/>
                <w:sz w:val="16"/>
                <w:szCs w:val="16"/>
              </w:rPr>
              <w:t>17</w:t>
            </w:r>
          </w:p>
        </w:tc>
        <w:tc>
          <w:tcPr>
            <w:tcW w:w="5242" w:type="dxa"/>
            <w:tcBorders>
              <w:top w:val="nil"/>
              <w:left w:val="nil"/>
              <w:bottom w:val="nil"/>
              <w:right w:val="nil"/>
            </w:tcBorders>
            <w:shd w:val="clear" w:color="auto" w:fill="D9D9D9" w:themeFill="background1" w:themeFillShade="D9"/>
            <w:vAlign w:val="center"/>
            <w:hideMark/>
          </w:tcPr>
          <w:p w:rsidR="002B21FE" w:rsidRDefault="002B21FE" w:rsidP="002D25C6">
            <w:pPr>
              <w:rPr>
                <w:rFonts w:ascii="Arial Narrow" w:hAnsi="Arial Narrow"/>
                <w:b/>
                <w:bCs/>
                <w:sz w:val="16"/>
                <w:szCs w:val="16"/>
              </w:rPr>
            </w:pPr>
            <w:r>
              <w:rPr>
                <w:rFonts w:ascii="Arial Narrow" w:hAnsi="Arial Narrow"/>
                <w:b/>
                <w:bCs/>
                <w:sz w:val="16"/>
                <w:szCs w:val="16"/>
              </w:rPr>
              <w:t>Υπουργείο Ψηφιακής Διακυβέρνησης</w:t>
            </w:r>
          </w:p>
        </w:tc>
        <w:tc>
          <w:tcPr>
            <w:tcW w:w="1340" w:type="dxa"/>
            <w:tcBorders>
              <w:top w:val="nil"/>
              <w:left w:val="nil"/>
              <w:bottom w:val="nil"/>
              <w:right w:val="nil"/>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-1</w:t>
            </w:r>
          </w:p>
        </w:tc>
        <w:tc>
          <w:tcPr>
            <w:tcW w:w="1500" w:type="dxa"/>
            <w:tcBorders>
              <w:top w:val="nil"/>
              <w:left w:val="nil"/>
              <w:bottom w:val="nil"/>
              <w:right w:val="single" w:sz="4" w:space="0" w:color="auto"/>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0</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-1</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0</w:t>
            </w:r>
          </w:p>
        </w:tc>
      </w:tr>
      <w:tr w:rsidR="002B21FE" w:rsidTr="002D25C6">
        <w:trPr>
          <w:trHeight w:val="170"/>
          <w:jc w:val="center"/>
        </w:trPr>
        <w:tc>
          <w:tcPr>
            <w:tcW w:w="572" w:type="dxa"/>
            <w:tcBorders>
              <w:top w:val="nil"/>
              <w:left w:val="single" w:sz="4" w:space="0" w:color="auto"/>
              <w:bottom w:val="nil"/>
              <w:right w:val="nil"/>
            </w:tcBorders>
            <w:shd w:val="clear" w:color="auto" w:fill="auto"/>
            <w:vAlign w:val="center"/>
            <w:hideMark/>
          </w:tcPr>
          <w:p w:rsidR="002B21FE" w:rsidRDefault="002B21FE" w:rsidP="002D25C6">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auto" w:fill="auto"/>
            <w:vAlign w:val="center"/>
            <w:hideMark/>
          </w:tcPr>
          <w:p w:rsidR="002B21FE" w:rsidRDefault="002B21FE" w:rsidP="002D25C6">
            <w:pPr>
              <w:rPr>
                <w:rFonts w:ascii="Arial Narrow" w:hAnsi="Arial Narrow"/>
                <w:i/>
                <w:iCs/>
                <w:sz w:val="16"/>
                <w:szCs w:val="16"/>
              </w:rPr>
            </w:pPr>
            <w:r>
              <w:rPr>
                <w:rFonts w:ascii="Arial Narrow" w:hAnsi="Arial Narrow"/>
                <w:i/>
                <w:iCs/>
                <w:sz w:val="16"/>
                <w:szCs w:val="16"/>
              </w:rPr>
              <w:t>Μεταβολή απλήρωτων υποχρεώσεων</w:t>
            </w:r>
          </w:p>
        </w:tc>
        <w:tc>
          <w:tcPr>
            <w:tcW w:w="1340" w:type="dxa"/>
            <w:tcBorders>
              <w:top w:val="nil"/>
              <w:left w:val="nil"/>
              <w:bottom w:val="nil"/>
              <w:right w:val="nil"/>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0</w:t>
            </w:r>
          </w:p>
        </w:tc>
        <w:tc>
          <w:tcPr>
            <w:tcW w:w="1500" w:type="dxa"/>
            <w:tcBorders>
              <w:top w:val="nil"/>
              <w:left w:val="nil"/>
              <w:bottom w:val="nil"/>
              <w:right w:val="single" w:sz="4" w:space="0" w:color="auto"/>
            </w:tcBorders>
            <w:shd w:val="clear" w:color="auto" w:fill="auto"/>
            <w:vAlign w:val="bottom"/>
            <w:hideMark/>
          </w:tcPr>
          <w:p w:rsidR="002B21FE" w:rsidRPr="0049453F" w:rsidRDefault="002B21FE" w:rsidP="002B21FE">
            <w:pPr>
              <w:ind w:right="340"/>
              <w:jc w:val="right"/>
              <w:rPr>
                <w:rFonts w:ascii="Arial Narrow" w:hAnsi="Arial Narrow"/>
                <w:i/>
                <w:iCs/>
                <w:color w:val="000000"/>
                <w:sz w:val="16"/>
                <w:szCs w:val="16"/>
              </w:rPr>
            </w:pPr>
            <w:r w:rsidRPr="0049453F">
              <w:rPr>
                <w:rFonts w:ascii="Arial Narrow" w:hAnsi="Arial Narrow"/>
                <w:i/>
                <w:iCs/>
                <w:color w:val="000000"/>
                <w:sz w:val="16"/>
                <w:szCs w:val="16"/>
              </w:rPr>
              <w:t>0</w:t>
            </w:r>
          </w:p>
        </w:tc>
      </w:tr>
      <w:tr w:rsidR="002B21FE" w:rsidTr="002D25C6">
        <w:trPr>
          <w:trHeight w:val="170"/>
          <w:jc w:val="center"/>
        </w:trPr>
        <w:tc>
          <w:tcPr>
            <w:tcW w:w="572" w:type="dxa"/>
            <w:tcBorders>
              <w:top w:val="nil"/>
              <w:left w:val="single" w:sz="4" w:space="0" w:color="auto"/>
              <w:bottom w:val="nil"/>
              <w:right w:val="nil"/>
            </w:tcBorders>
            <w:shd w:val="clear" w:color="auto" w:fill="D9D9D9" w:themeFill="background1" w:themeFillShade="D9"/>
            <w:vAlign w:val="center"/>
            <w:hideMark/>
          </w:tcPr>
          <w:p w:rsidR="002B21FE" w:rsidRDefault="002B21FE" w:rsidP="002D25C6">
            <w:pPr>
              <w:jc w:val="center"/>
              <w:rPr>
                <w:rFonts w:ascii="Arial Narrow" w:hAnsi="Arial Narrow"/>
                <w:b/>
                <w:bCs/>
                <w:sz w:val="16"/>
                <w:szCs w:val="16"/>
              </w:rPr>
            </w:pPr>
            <w:r>
              <w:rPr>
                <w:rFonts w:ascii="Arial Narrow" w:hAnsi="Arial Narrow"/>
                <w:b/>
                <w:bCs/>
                <w:sz w:val="16"/>
                <w:szCs w:val="16"/>
              </w:rPr>
              <w:t> </w:t>
            </w:r>
          </w:p>
        </w:tc>
        <w:tc>
          <w:tcPr>
            <w:tcW w:w="5242" w:type="dxa"/>
            <w:tcBorders>
              <w:top w:val="nil"/>
              <w:left w:val="nil"/>
              <w:bottom w:val="nil"/>
              <w:right w:val="nil"/>
            </w:tcBorders>
            <w:shd w:val="clear" w:color="auto" w:fill="D9D9D9" w:themeFill="background1" w:themeFillShade="D9"/>
            <w:vAlign w:val="center"/>
            <w:hideMark/>
          </w:tcPr>
          <w:p w:rsidR="002B21FE" w:rsidRDefault="002B21FE" w:rsidP="002D25C6">
            <w:pPr>
              <w:rPr>
                <w:rFonts w:ascii="Arial Narrow" w:hAnsi="Arial Narrow"/>
                <w:b/>
                <w:bCs/>
                <w:sz w:val="16"/>
                <w:szCs w:val="16"/>
              </w:rPr>
            </w:pPr>
            <w:r>
              <w:rPr>
                <w:rFonts w:ascii="Arial Narrow" w:hAnsi="Arial Narrow"/>
                <w:b/>
                <w:bCs/>
                <w:sz w:val="16"/>
                <w:szCs w:val="16"/>
              </w:rPr>
              <w:t>Σύνολο Υπουργείων κατά ESA</w:t>
            </w:r>
          </w:p>
        </w:tc>
        <w:tc>
          <w:tcPr>
            <w:tcW w:w="1340" w:type="dxa"/>
            <w:tcBorders>
              <w:top w:val="nil"/>
              <w:left w:val="nil"/>
              <w:bottom w:val="nil"/>
              <w:right w:val="nil"/>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1.230</w:t>
            </w:r>
          </w:p>
        </w:tc>
        <w:tc>
          <w:tcPr>
            <w:tcW w:w="1500" w:type="dxa"/>
            <w:tcBorders>
              <w:top w:val="nil"/>
              <w:left w:val="nil"/>
              <w:bottom w:val="nil"/>
              <w:right w:val="single" w:sz="4" w:space="0" w:color="auto"/>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668</w:t>
            </w:r>
          </w:p>
        </w:tc>
      </w:tr>
      <w:tr w:rsidR="002B21FE" w:rsidTr="002D25C6">
        <w:trPr>
          <w:trHeight w:val="170"/>
          <w:jc w:val="center"/>
        </w:trPr>
        <w:tc>
          <w:tcPr>
            <w:tcW w:w="572" w:type="dxa"/>
            <w:tcBorders>
              <w:top w:val="nil"/>
              <w:left w:val="single" w:sz="4" w:space="0" w:color="auto"/>
              <w:bottom w:val="nil"/>
              <w:right w:val="nil"/>
            </w:tcBorders>
            <w:shd w:val="clear" w:color="auto" w:fill="D9D9D9" w:themeFill="background1" w:themeFillShade="D9"/>
            <w:vAlign w:val="center"/>
            <w:hideMark/>
          </w:tcPr>
          <w:p w:rsidR="002B21FE" w:rsidRDefault="002B21FE" w:rsidP="002D25C6">
            <w:pPr>
              <w:jc w:val="center"/>
              <w:rPr>
                <w:rFonts w:ascii="Arial Narrow" w:hAnsi="Arial Narrow"/>
                <w:b/>
                <w:bCs/>
                <w:sz w:val="16"/>
                <w:szCs w:val="16"/>
              </w:rPr>
            </w:pPr>
            <w:r>
              <w:rPr>
                <w:rFonts w:ascii="Arial Narrow" w:hAnsi="Arial Narrow"/>
                <w:b/>
                <w:bCs/>
                <w:sz w:val="16"/>
                <w:szCs w:val="16"/>
              </w:rPr>
              <w:t> </w:t>
            </w:r>
          </w:p>
        </w:tc>
        <w:tc>
          <w:tcPr>
            <w:tcW w:w="5242" w:type="dxa"/>
            <w:tcBorders>
              <w:top w:val="nil"/>
              <w:left w:val="nil"/>
              <w:bottom w:val="nil"/>
              <w:right w:val="nil"/>
            </w:tcBorders>
            <w:shd w:val="clear" w:color="auto" w:fill="D9D9D9" w:themeFill="background1" w:themeFillShade="D9"/>
            <w:vAlign w:val="center"/>
            <w:hideMark/>
          </w:tcPr>
          <w:p w:rsidR="002B21FE" w:rsidRDefault="002B21FE" w:rsidP="002D25C6">
            <w:pPr>
              <w:rPr>
                <w:rFonts w:ascii="Arial Narrow" w:hAnsi="Arial Narrow"/>
                <w:b/>
                <w:bCs/>
                <w:sz w:val="16"/>
                <w:szCs w:val="16"/>
              </w:rPr>
            </w:pPr>
            <w:r>
              <w:rPr>
                <w:rFonts w:ascii="Arial Narrow" w:hAnsi="Arial Narrow"/>
                <w:b/>
                <w:bCs/>
                <w:sz w:val="16"/>
                <w:szCs w:val="16"/>
              </w:rPr>
              <w:t>Ισοζύγιο</w:t>
            </w:r>
          </w:p>
        </w:tc>
        <w:tc>
          <w:tcPr>
            <w:tcW w:w="1340" w:type="dxa"/>
            <w:tcBorders>
              <w:top w:val="nil"/>
              <w:left w:val="nil"/>
              <w:bottom w:val="nil"/>
              <w:right w:val="nil"/>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199</w:t>
            </w:r>
          </w:p>
        </w:tc>
        <w:tc>
          <w:tcPr>
            <w:tcW w:w="1500" w:type="dxa"/>
            <w:tcBorders>
              <w:top w:val="nil"/>
              <w:left w:val="nil"/>
              <w:bottom w:val="nil"/>
              <w:right w:val="single" w:sz="4" w:space="0" w:color="auto"/>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606</w:t>
            </w:r>
          </w:p>
        </w:tc>
      </w:tr>
      <w:tr w:rsidR="002B21FE" w:rsidTr="002D25C6">
        <w:trPr>
          <w:trHeight w:val="170"/>
          <w:jc w:val="center"/>
        </w:trPr>
        <w:tc>
          <w:tcPr>
            <w:tcW w:w="572" w:type="dxa"/>
            <w:tcBorders>
              <w:top w:val="nil"/>
              <w:left w:val="single" w:sz="4" w:space="0" w:color="auto"/>
              <w:right w:val="nil"/>
            </w:tcBorders>
            <w:shd w:val="clear" w:color="auto" w:fill="D9D9D9" w:themeFill="background1" w:themeFillShade="D9"/>
            <w:vAlign w:val="center"/>
            <w:hideMark/>
          </w:tcPr>
          <w:p w:rsidR="002B21FE" w:rsidRDefault="002B21FE" w:rsidP="002D25C6">
            <w:pPr>
              <w:jc w:val="center"/>
              <w:rPr>
                <w:rFonts w:ascii="Arial Narrow" w:hAnsi="Arial Narrow"/>
                <w:b/>
                <w:bCs/>
                <w:sz w:val="16"/>
                <w:szCs w:val="16"/>
              </w:rPr>
            </w:pPr>
            <w:r>
              <w:rPr>
                <w:rFonts w:ascii="Arial Narrow" w:hAnsi="Arial Narrow"/>
                <w:b/>
                <w:bCs/>
                <w:sz w:val="16"/>
                <w:szCs w:val="16"/>
              </w:rPr>
              <w:t> </w:t>
            </w:r>
          </w:p>
        </w:tc>
        <w:tc>
          <w:tcPr>
            <w:tcW w:w="5242" w:type="dxa"/>
            <w:tcBorders>
              <w:top w:val="nil"/>
              <w:left w:val="nil"/>
              <w:right w:val="nil"/>
            </w:tcBorders>
            <w:shd w:val="clear" w:color="auto" w:fill="D9D9D9" w:themeFill="background1" w:themeFillShade="D9"/>
            <w:vAlign w:val="center"/>
            <w:hideMark/>
          </w:tcPr>
          <w:p w:rsidR="002B21FE" w:rsidRDefault="002B21FE" w:rsidP="002D25C6">
            <w:pPr>
              <w:rPr>
                <w:rFonts w:ascii="Arial Narrow" w:hAnsi="Arial Narrow"/>
                <w:b/>
                <w:bCs/>
                <w:sz w:val="16"/>
                <w:szCs w:val="16"/>
              </w:rPr>
            </w:pPr>
            <w:r>
              <w:rPr>
                <w:rFonts w:ascii="Arial Narrow" w:hAnsi="Arial Narrow"/>
                <w:b/>
                <w:bCs/>
                <w:sz w:val="16"/>
                <w:szCs w:val="16"/>
              </w:rPr>
              <w:t xml:space="preserve">Μεταβολή </w:t>
            </w:r>
            <w:r w:rsidRPr="00156075">
              <w:rPr>
                <w:rFonts w:ascii="Arial Narrow" w:hAnsi="Arial Narrow"/>
                <w:b/>
                <w:iCs/>
                <w:sz w:val="16"/>
                <w:szCs w:val="16"/>
              </w:rPr>
              <w:t>απλήρωτων</w:t>
            </w:r>
            <w:r>
              <w:rPr>
                <w:rFonts w:ascii="Arial Narrow" w:hAnsi="Arial Narrow"/>
                <w:b/>
                <w:bCs/>
                <w:sz w:val="16"/>
                <w:szCs w:val="16"/>
              </w:rPr>
              <w:t xml:space="preserve"> υποχρεώσεων</w:t>
            </w:r>
            <w:r>
              <w:rPr>
                <w:rFonts w:ascii="Arial Narrow" w:hAnsi="Arial Narrow"/>
                <w:b/>
                <w:bCs/>
                <w:sz w:val="16"/>
                <w:szCs w:val="16"/>
                <w:vertAlign w:val="superscript"/>
              </w:rPr>
              <w:t>1</w:t>
            </w:r>
          </w:p>
        </w:tc>
        <w:tc>
          <w:tcPr>
            <w:tcW w:w="1340" w:type="dxa"/>
            <w:tcBorders>
              <w:top w:val="nil"/>
              <w:left w:val="nil"/>
              <w:right w:val="nil"/>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8</w:t>
            </w:r>
          </w:p>
        </w:tc>
        <w:tc>
          <w:tcPr>
            <w:tcW w:w="1500" w:type="dxa"/>
            <w:tcBorders>
              <w:top w:val="nil"/>
              <w:left w:val="nil"/>
              <w:right w:val="single" w:sz="4" w:space="0" w:color="auto"/>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42</w:t>
            </w:r>
          </w:p>
        </w:tc>
      </w:tr>
      <w:tr w:rsidR="002B21FE" w:rsidTr="002D25C6">
        <w:trPr>
          <w:trHeight w:val="170"/>
          <w:jc w:val="center"/>
        </w:trPr>
        <w:tc>
          <w:tcPr>
            <w:tcW w:w="572" w:type="dxa"/>
            <w:tcBorders>
              <w:top w:val="nil"/>
              <w:left w:val="single" w:sz="4" w:space="0" w:color="auto"/>
              <w:bottom w:val="single" w:sz="4" w:space="0" w:color="auto"/>
              <w:right w:val="nil"/>
            </w:tcBorders>
            <w:shd w:val="clear" w:color="auto" w:fill="D9D9D9" w:themeFill="background1" w:themeFillShade="D9"/>
            <w:vAlign w:val="center"/>
            <w:hideMark/>
          </w:tcPr>
          <w:p w:rsidR="002B21FE" w:rsidRDefault="002B21FE" w:rsidP="002D25C6">
            <w:pPr>
              <w:jc w:val="center"/>
              <w:rPr>
                <w:rFonts w:ascii="Arial Narrow" w:hAnsi="Arial Narrow"/>
                <w:b/>
                <w:bCs/>
                <w:sz w:val="16"/>
                <w:szCs w:val="16"/>
              </w:rPr>
            </w:pPr>
            <w:r>
              <w:rPr>
                <w:rFonts w:ascii="Arial Narrow" w:hAnsi="Arial Narrow"/>
                <w:b/>
                <w:bCs/>
                <w:sz w:val="16"/>
                <w:szCs w:val="16"/>
              </w:rPr>
              <w:t> </w:t>
            </w:r>
          </w:p>
        </w:tc>
        <w:tc>
          <w:tcPr>
            <w:tcW w:w="5242" w:type="dxa"/>
            <w:tcBorders>
              <w:top w:val="nil"/>
              <w:left w:val="nil"/>
              <w:bottom w:val="single" w:sz="4" w:space="0" w:color="auto"/>
              <w:right w:val="nil"/>
            </w:tcBorders>
            <w:shd w:val="clear" w:color="auto" w:fill="D9D9D9" w:themeFill="background1" w:themeFillShade="D9"/>
            <w:vAlign w:val="center"/>
            <w:hideMark/>
          </w:tcPr>
          <w:p w:rsidR="002B21FE" w:rsidRDefault="002B21FE" w:rsidP="002D25C6">
            <w:pPr>
              <w:rPr>
                <w:rFonts w:ascii="Arial Narrow" w:hAnsi="Arial Narrow"/>
                <w:b/>
                <w:bCs/>
                <w:sz w:val="16"/>
                <w:szCs w:val="16"/>
              </w:rPr>
            </w:pPr>
            <w:r>
              <w:rPr>
                <w:rFonts w:ascii="Arial Narrow" w:hAnsi="Arial Narrow"/>
                <w:b/>
                <w:bCs/>
                <w:sz w:val="16"/>
                <w:szCs w:val="16"/>
              </w:rPr>
              <w:t>Λοιπές εθνικολογιστικές προσαρμογές</w:t>
            </w:r>
          </w:p>
        </w:tc>
        <w:tc>
          <w:tcPr>
            <w:tcW w:w="1340" w:type="dxa"/>
            <w:tcBorders>
              <w:top w:val="nil"/>
              <w:left w:val="nil"/>
              <w:bottom w:val="single" w:sz="4" w:space="0" w:color="auto"/>
              <w:right w:val="nil"/>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1.023</w:t>
            </w:r>
          </w:p>
        </w:tc>
        <w:tc>
          <w:tcPr>
            <w:tcW w:w="1500" w:type="dxa"/>
            <w:tcBorders>
              <w:top w:val="nil"/>
              <w:left w:val="nil"/>
              <w:bottom w:val="single" w:sz="4" w:space="0" w:color="auto"/>
              <w:right w:val="single" w:sz="4" w:space="0" w:color="auto"/>
            </w:tcBorders>
            <w:shd w:val="clear" w:color="auto" w:fill="D9D9D9" w:themeFill="background1" w:themeFillShade="D9"/>
            <w:vAlign w:val="bottom"/>
            <w:hideMark/>
          </w:tcPr>
          <w:p w:rsidR="002B21FE" w:rsidRPr="0049453F" w:rsidRDefault="002B21FE" w:rsidP="002B21FE">
            <w:pPr>
              <w:ind w:right="340"/>
              <w:jc w:val="right"/>
              <w:rPr>
                <w:rFonts w:ascii="Arial Narrow" w:hAnsi="Arial Narrow"/>
                <w:b/>
                <w:bCs/>
                <w:color w:val="000000"/>
                <w:sz w:val="16"/>
                <w:szCs w:val="16"/>
              </w:rPr>
            </w:pPr>
            <w:r w:rsidRPr="0049453F">
              <w:rPr>
                <w:rFonts w:ascii="Arial Narrow" w:hAnsi="Arial Narrow"/>
                <w:b/>
                <w:bCs/>
                <w:color w:val="000000"/>
                <w:sz w:val="16"/>
                <w:szCs w:val="16"/>
              </w:rPr>
              <w:t>20</w:t>
            </w:r>
          </w:p>
        </w:tc>
      </w:tr>
    </w:tbl>
    <w:p w:rsidR="004618CD" w:rsidRDefault="004618CD" w:rsidP="004618CD">
      <w:pPr>
        <w:ind w:left="567" w:hanging="283"/>
        <w:jc w:val="both"/>
        <w:rPr>
          <w:rFonts w:ascii="Arial Narrow" w:hAnsi="Arial Narrow"/>
          <w:sz w:val="16"/>
        </w:rPr>
      </w:pPr>
      <w:r w:rsidRPr="004721D7">
        <w:rPr>
          <w:rFonts w:ascii="Arial Narrow" w:hAnsi="Arial Narrow"/>
          <w:sz w:val="16"/>
          <w:vertAlign w:val="superscript"/>
        </w:rPr>
        <w:t>1</w:t>
      </w:r>
      <w:r w:rsidRPr="0009638C">
        <w:rPr>
          <w:rFonts w:ascii="Arial Narrow" w:hAnsi="Arial Narrow"/>
          <w:sz w:val="16"/>
        </w:rPr>
        <w:tab/>
        <w:t xml:space="preserve">Το θετικό πρόσημο στη μεταβολή των </w:t>
      </w:r>
      <w:r w:rsidRPr="005B1326">
        <w:rPr>
          <w:rFonts w:ascii="Arial Narrow" w:hAnsi="Arial Narrow"/>
          <w:iCs/>
          <w:sz w:val="16"/>
          <w:szCs w:val="16"/>
        </w:rPr>
        <w:t>απλήρωτων</w:t>
      </w:r>
      <w:r w:rsidRPr="0009638C">
        <w:rPr>
          <w:rFonts w:ascii="Arial Narrow" w:hAnsi="Arial Narrow"/>
          <w:sz w:val="16"/>
        </w:rPr>
        <w:t xml:space="preserve"> υποχρεώσεων σημαίνει βελτίωση του αποτελέσματος.</w:t>
      </w:r>
    </w:p>
    <w:p w:rsidR="004618CD" w:rsidRPr="006A7F50" w:rsidRDefault="004618CD" w:rsidP="004618CD">
      <w:pPr>
        <w:rPr>
          <w:sz w:val="22"/>
        </w:rPr>
      </w:pPr>
    </w:p>
    <w:p w:rsidR="00741EF0" w:rsidRDefault="00741EF0" w:rsidP="004618CD">
      <w:pPr>
        <w:contextualSpacing/>
        <w:jc w:val="both"/>
        <w:rPr>
          <w:rFonts w:ascii="Arial Narrow" w:hAnsi="Arial Narrow"/>
          <w:b/>
          <w:color w:val="000080"/>
          <w:szCs w:val="22"/>
        </w:rPr>
      </w:pPr>
    </w:p>
    <w:p w:rsidR="00741EF0" w:rsidRDefault="00741EF0" w:rsidP="004618CD">
      <w:pPr>
        <w:contextualSpacing/>
        <w:jc w:val="both"/>
        <w:rPr>
          <w:rFonts w:ascii="Arial Narrow" w:hAnsi="Arial Narrow"/>
          <w:b/>
          <w:color w:val="000080"/>
          <w:szCs w:val="22"/>
        </w:rPr>
      </w:pPr>
    </w:p>
    <w:p w:rsidR="004618CD" w:rsidRDefault="004618CD" w:rsidP="004618CD">
      <w:pPr>
        <w:contextualSpacing/>
        <w:jc w:val="both"/>
        <w:rPr>
          <w:rFonts w:ascii="Arial Narrow" w:hAnsi="Arial Narrow"/>
          <w:b/>
          <w:color w:val="000080"/>
          <w:szCs w:val="22"/>
        </w:rPr>
      </w:pPr>
      <w:r w:rsidRPr="0063065A">
        <w:rPr>
          <w:rFonts w:ascii="Arial Narrow" w:hAnsi="Arial Narrow"/>
          <w:b/>
          <w:color w:val="000080"/>
          <w:szCs w:val="22"/>
        </w:rPr>
        <w:t xml:space="preserve">Νομικά πρόσωπα </w:t>
      </w:r>
      <w:r>
        <w:rPr>
          <w:rFonts w:ascii="Arial Narrow" w:hAnsi="Arial Narrow"/>
          <w:b/>
          <w:color w:val="000080"/>
          <w:szCs w:val="22"/>
        </w:rPr>
        <w:t xml:space="preserve">ανά υπουργείο </w:t>
      </w:r>
      <w:r w:rsidRPr="0063065A">
        <w:rPr>
          <w:rFonts w:ascii="Arial Narrow" w:hAnsi="Arial Narrow"/>
          <w:b/>
          <w:color w:val="000080"/>
          <w:szCs w:val="22"/>
        </w:rPr>
        <w:t xml:space="preserve">πλην </w:t>
      </w:r>
      <w:r>
        <w:rPr>
          <w:rFonts w:ascii="Arial Narrow" w:hAnsi="Arial Narrow"/>
          <w:b/>
          <w:color w:val="000080"/>
          <w:szCs w:val="22"/>
        </w:rPr>
        <w:t xml:space="preserve">ΑΔΑ και </w:t>
      </w:r>
      <w:r w:rsidRPr="0063065A">
        <w:rPr>
          <w:rFonts w:ascii="Arial Narrow" w:hAnsi="Arial Narrow"/>
          <w:b/>
          <w:color w:val="000080"/>
          <w:szCs w:val="22"/>
        </w:rPr>
        <w:t>ΑΚΑΓΕ</w:t>
      </w:r>
    </w:p>
    <w:p w:rsidR="004618CD" w:rsidRPr="004B5C55" w:rsidRDefault="004618CD" w:rsidP="004618CD">
      <w:pPr>
        <w:jc w:val="both"/>
        <w:rPr>
          <w:rFonts w:ascii="Arial Narrow" w:hAnsi="Arial Narrow"/>
          <w:b/>
          <w:i/>
          <w:sz w:val="22"/>
          <w:szCs w:val="22"/>
        </w:rPr>
      </w:pPr>
    </w:p>
    <w:p w:rsidR="004618CD" w:rsidRPr="00463492" w:rsidRDefault="004618CD" w:rsidP="004618CD">
      <w:pPr>
        <w:jc w:val="both"/>
        <w:rPr>
          <w:rFonts w:ascii="Arial Narrow" w:hAnsi="Arial Narrow"/>
          <w:b/>
          <w:i/>
          <w:sz w:val="22"/>
          <w:szCs w:val="22"/>
        </w:rPr>
      </w:pPr>
      <w:r w:rsidRPr="00463492">
        <w:rPr>
          <w:rFonts w:ascii="Arial Narrow" w:hAnsi="Arial Narrow"/>
          <w:b/>
          <w:i/>
          <w:sz w:val="22"/>
          <w:szCs w:val="22"/>
        </w:rPr>
        <w:t>Προεδρία της Κυβέρνησης</w:t>
      </w:r>
    </w:p>
    <w:p w:rsidR="004618CD" w:rsidRPr="00463492" w:rsidRDefault="004618CD" w:rsidP="004618CD">
      <w:pPr>
        <w:jc w:val="both"/>
        <w:rPr>
          <w:rFonts w:ascii="Arial Narrow" w:hAnsi="Arial Narrow"/>
          <w:b/>
          <w:i/>
          <w:sz w:val="22"/>
          <w:szCs w:val="22"/>
        </w:rPr>
      </w:pPr>
    </w:p>
    <w:p w:rsidR="004618CD" w:rsidRPr="00463492" w:rsidRDefault="004618CD" w:rsidP="004618CD">
      <w:pPr>
        <w:jc w:val="both"/>
        <w:rPr>
          <w:sz w:val="22"/>
          <w:szCs w:val="22"/>
        </w:rPr>
      </w:pPr>
      <w:r w:rsidRPr="00463492">
        <w:rPr>
          <w:sz w:val="22"/>
          <w:szCs w:val="22"/>
        </w:rPr>
        <w:t>Στην εποπτεία της Προεδρίας της Κυβέρνησης υπάγεται το Αθηναϊκό Πρακτορείο Ειδήσεων - Μακ</w:t>
      </w:r>
      <w:r w:rsidRPr="00463492">
        <w:rPr>
          <w:sz w:val="22"/>
          <w:szCs w:val="22"/>
        </w:rPr>
        <w:t>ε</w:t>
      </w:r>
      <w:r w:rsidRPr="00463492">
        <w:rPr>
          <w:sz w:val="22"/>
          <w:szCs w:val="22"/>
        </w:rPr>
        <w:t>δονικό Πρακτορείο Ειδήσεων (ΑΠΕ-ΜΠΕ) ΑΕ, για το οποίο προβλέπεται το 2021 αρνητικό αποτέλ</w:t>
      </w:r>
      <w:r w:rsidRPr="00463492">
        <w:rPr>
          <w:sz w:val="22"/>
          <w:szCs w:val="22"/>
        </w:rPr>
        <w:t>ε</w:t>
      </w:r>
      <w:r w:rsidRPr="00463492">
        <w:rPr>
          <w:sz w:val="22"/>
          <w:szCs w:val="22"/>
        </w:rPr>
        <w:t xml:space="preserve">σμα ύψους 0,6 εκατ. ευρώ. Ο εν λόγω φορέας, το έτος 2020, υπαγόταν στην εποπτεία του Υπουργείου Οικονομικών.   </w:t>
      </w:r>
    </w:p>
    <w:p w:rsidR="004618CD" w:rsidRPr="00463492" w:rsidRDefault="004618CD" w:rsidP="004618CD">
      <w:pPr>
        <w:jc w:val="both"/>
        <w:rPr>
          <w:rFonts w:ascii="Arial Narrow" w:hAnsi="Arial Narrow"/>
          <w:b/>
          <w:i/>
          <w:sz w:val="22"/>
          <w:szCs w:val="22"/>
        </w:rPr>
      </w:pPr>
    </w:p>
    <w:p w:rsidR="004618CD" w:rsidRPr="00463492" w:rsidRDefault="004618CD" w:rsidP="004618CD">
      <w:pPr>
        <w:jc w:val="both"/>
        <w:rPr>
          <w:rFonts w:ascii="Arial Narrow" w:hAnsi="Arial Narrow"/>
          <w:b/>
          <w:i/>
          <w:sz w:val="22"/>
          <w:szCs w:val="22"/>
        </w:rPr>
      </w:pPr>
      <w:r w:rsidRPr="00463492">
        <w:rPr>
          <w:rFonts w:ascii="Arial Narrow" w:hAnsi="Arial Narrow"/>
          <w:b/>
          <w:i/>
          <w:sz w:val="22"/>
          <w:szCs w:val="22"/>
        </w:rPr>
        <w:t>Υπουργείο Εσωτερικών</w:t>
      </w:r>
    </w:p>
    <w:p w:rsidR="004618CD" w:rsidRPr="00463492" w:rsidRDefault="004618CD" w:rsidP="004618CD">
      <w:pPr>
        <w:jc w:val="both"/>
        <w:rPr>
          <w:rFonts w:ascii="Arial Narrow" w:hAnsi="Arial Narrow"/>
          <w:b/>
          <w:i/>
          <w:sz w:val="22"/>
          <w:szCs w:val="22"/>
        </w:rPr>
      </w:pPr>
    </w:p>
    <w:p w:rsidR="004618CD" w:rsidRPr="00463492" w:rsidRDefault="004618CD" w:rsidP="004618CD">
      <w:pPr>
        <w:jc w:val="both"/>
        <w:rPr>
          <w:sz w:val="22"/>
          <w:szCs w:val="22"/>
        </w:rPr>
      </w:pPr>
      <w:r w:rsidRPr="00463492">
        <w:rPr>
          <w:sz w:val="22"/>
          <w:szCs w:val="22"/>
        </w:rPr>
        <w:t>Στην εποπτεία του Υπουργείου περιλαμβάνονται το Εθνικό Κέντρο Δημόσιας Διοίκησης και Αυτ</w:t>
      </w:r>
      <w:r w:rsidRPr="00463492">
        <w:rPr>
          <w:sz w:val="22"/>
          <w:szCs w:val="22"/>
        </w:rPr>
        <w:t>ο</w:t>
      </w:r>
      <w:r w:rsidRPr="00463492">
        <w:rPr>
          <w:sz w:val="22"/>
          <w:szCs w:val="22"/>
        </w:rPr>
        <w:t>διοίκησης (ΕΚΔΔΑ), το Κέντρο Διαφύλαξης Αγιορείτικης Κληρονομιάς (ΚεΔΑΚ), η  ΕΥΑΘ Παγίων, καθώς και η  Αλεξάνδρεια Ζώνη Καινοτομίας ΑΕ</w:t>
      </w:r>
      <w:r w:rsidRPr="00396470">
        <w:rPr>
          <w:sz w:val="22"/>
          <w:szCs w:val="22"/>
        </w:rPr>
        <w:t>.</w:t>
      </w:r>
      <w:r w:rsidRPr="00463492">
        <w:rPr>
          <w:sz w:val="22"/>
          <w:szCs w:val="22"/>
        </w:rPr>
        <w:t xml:space="preserve"> </w:t>
      </w:r>
    </w:p>
    <w:p w:rsidR="004618CD" w:rsidRPr="00463492" w:rsidRDefault="004618CD" w:rsidP="004618CD">
      <w:pPr>
        <w:jc w:val="both"/>
        <w:rPr>
          <w:sz w:val="22"/>
          <w:szCs w:val="22"/>
        </w:rPr>
      </w:pPr>
      <w:r w:rsidRPr="00463492">
        <w:rPr>
          <w:sz w:val="22"/>
          <w:szCs w:val="22"/>
        </w:rPr>
        <w:t>Το αποτέλεσμα των ανωτέρω νομικών προσώπων για το έτος 2020 εκτιμάται σε πλεόνασμα ύψους 2,2 εκατ.</w:t>
      </w:r>
      <w:r w:rsidRPr="00BA764B">
        <w:rPr>
          <w:sz w:val="22"/>
          <w:szCs w:val="22"/>
        </w:rPr>
        <w:t xml:space="preserve"> </w:t>
      </w:r>
      <w:r w:rsidRPr="00463492">
        <w:rPr>
          <w:sz w:val="22"/>
          <w:szCs w:val="22"/>
        </w:rPr>
        <w:t xml:space="preserve">ευρώ, ενώ για το έτος 2021 σε πλεόνασμα ύψους 1 εκατ. ευρώ. </w:t>
      </w:r>
    </w:p>
    <w:p w:rsidR="004618CD" w:rsidRPr="00463492" w:rsidRDefault="004618CD" w:rsidP="004618CD">
      <w:pPr>
        <w:jc w:val="both"/>
        <w:rPr>
          <w:rFonts w:ascii="Arial Narrow" w:hAnsi="Arial Narrow"/>
          <w:b/>
          <w:i/>
          <w:sz w:val="22"/>
          <w:szCs w:val="22"/>
        </w:rPr>
      </w:pPr>
    </w:p>
    <w:p w:rsidR="004618CD" w:rsidRPr="00463492" w:rsidRDefault="004618CD" w:rsidP="004618CD">
      <w:pPr>
        <w:contextualSpacing/>
        <w:jc w:val="both"/>
        <w:rPr>
          <w:rFonts w:ascii="Arial Narrow" w:hAnsi="Arial Narrow"/>
          <w:b/>
          <w:i/>
          <w:sz w:val="22"/>
          <w:szCs w:val="22"/>
        </w:rPr>
      </w:pPr>
      <w:r w:rsidRPr="00463492">
        <w:rPr>
          <w:rFonts w:ascii="Arial Narrow" w:hAnsi="Arial Narrow"/>
          <w:b/>
          <w:i/>
          <w:sz w:val="22"/>
          <w:szCs w:val="22"/>
        </w:rPr>
        <w:t>Υπουργείο Εξωτερικών</w:t>
      </w:r>
    </w:p>
    <w:p w:rsidR="004618CD" w:rsidRPr="00463492" w:rsidRDefault="004618CD" w:rsidP="004618CD">
      <w:pPr>
        <w:contextualSpacing/>
        <w:jc w:val="both"/>
        <w:rPr>
          <w:rFonts w:ascii="Arial Narrow" w:hAnsi="Arial Narrow"/>
          <w:b/>
          <w:i/>
          <w:sz w:val="22"/>
          <w:szCs w:val="22"/>
        </w:rPr>
      </w:pPr>
    </w:p>
    <w:p w:rsidR="004618CD" w:rsidRPr="00463492" w:rsidRDefault="004618CD" w:rsidP="004618CD">
      <w:pPr>
        <w:jc w:val="both"/>
        <w:rPr>
          <w:sz w:val="22"/>
          <w:szCs w:val="22"/>
        </w:rPr>
      </w:pPr>
      <w:r w:rsidRPr="00463492">
        <w:rPr>
          <w:sz w:val="22"/>
          <w:szCs w:val="22"/>
        </w:rPr>
        <w:t>Στα νομικά πρόσωπα εποπτείας του Υπουργείου περιλαμβάνονται η Ελληνική Εταιρεία Επενδύσεων και Εξωτερικού Εμπορίου AE</w:t>
      </w:r>
      <w:r w:rsidR="002D25C6">
        <w:rPr>
          <w:sz w:val="22"/>
          <w:szCs w:val="22"/>
        </w:rPr>
        <w:t>,</w:t>
      </w:r>
      <w:r w:rsidRPr="00463492">
        <w:rPr>
          <w:sz w:val="22"/>
          <w:szCs w:val="22"/>
        </w:rPr>
        <w:t xml:space="preserve"> με κύριο στόχο την προσέλκυση, την υποδοχή και τη διατήρηση επε</w:t>
      </w:r>
      <w:r w:rsidRPr="00463492">
        <w:rPr>
          <w:sz w:val="22"/>
          <w:szCs w:val="22"/>
        </w:rPr>
        <w:t>ν</w:t>
      </w:r>
      <w:r w:rsidRPr="00463492">
        <w:rPr>
          <w:sz w:val="22"/>
          <w:szCs w:val="22"/>
        </w:rPr>
        <w:t>δύσεων στην Ελλάδα, καθώς και την ανάπτυξη κάθε είδους εξαγωγών αγαθών και υπηρεσιών και η Ελληνική Εθνική Επιτροπή για την UNESCO.</w:t>
      </w:r>
    </w:p>
    <w:p w:rsidR="004618CD" w:rsidRPr="00EE22B6" w:rsidRDefault="004618CD" w:rsidP="004618CD">
      <w:pPr>
        <w:jc w:val="both"/>
        <w:rPr>
          <w:sz w:val="22"/>
          <w:szCs w:val="22"/>
        </w:rPr>
      </w:pPr>
      <w:r w:rsidRPr="00463492">
        <w:rPr>
          <w:sz w:val="22"/>
          <w:szCs w:val="22"/>
        </w:rPr>
        <w:t xml:space="preserve">Για το 2021 οι ανωτέρω φορείς προβλέπεται να εμφανίσουν πλεόνασμα ύψους 1 εκατ. ευρώ, το οποίο θα προέλθει από την Ελληνική Εταιρεία Επενδύσεων και Εξωτερικού Εμπορίου </w:t>
      </w:r>
      <w:r w:rsidRPr="00463492">
        <w:rPr>
          <w:sz w:val="22"/>
          <w:szCs w:val="22"/>
          <w:lang w:val="en-US"/>
        </w:rPr>
        <w:t>AE</w:t>
      </w:r>
      <w:r w:rsidRPr="00463492">
        <w:rPr>
          <w:sz w:val="22"/>
          <w:szCs w:val="22"/>
        </w:rPr>
        <w:t>.</w:t>
      </w:r>
      <w:r w:rsidRPr="00EE22B6">
        <w:rPr>
          <w:sz w:val="22"/>
          <w:szCs w:val="22"/>
        </w:rPr>
        <w:t xml:space="preserve"> </w:t>
      </w:r>
    </w:p>
    <w:p w:rsidR="004618CD" w:rsidRDefault="004618CD" w:rsidP="004618CD">
      <w:pPr>
        <w:jc w:val="both"/>
        <w:rPr>
          <w:rFonts w:ascii="Arial Narrow" w:hAnsi="Arial Narrow"/>
          <w:b/>
          <w:i/>
          <w:sz w:val="22"/>
          <w:szCs w:val="22"/>
        </w:rPr>
      </w:pPr>
    </w:p>
    <w:p w:rsidR="004618CD" w:rsidRPr="00133ED4" w:rsidRDefault="004618CD" w:rsidP="004618CD">
      <w:pPr>
        <w:jc w:val="both"/>
        <w:rPr>
          <w:rFonts w:ascii="Arial Narrow" w:hAnsi="Arial Narrow"/>
          <w:b/>
          <w:i/>
          <w:sz w:val="22"/>
          <w:szCs w:val="22"/>
        </w:rPr>
      </w:pPr>
      <w:r w:rsidRPr="00133ED4">
        <w:rPr>
          <w:rFonts w:ascii="Arial Narrow" w:hAnsi="Arial Narrow"/>
          <w:b/>
          <w:i/>
          <w:sz w:val="22"/>
          <w:szCs w:val="22"/>
        </w:rPr>
        <w:t>Υπουργείο Εθνικής Άμυνας</w:t>
      </w:r>
    </w:p>
    <w:p w:rsidR="004618CD" w:rsidRPr="00133ED4" w:rsidRDefault="004618CD" w:rsidP="004618CD">
      <w:pPr>
        <w:jc w:val="both"/>
        <w:rPr>
          <w:b/>
          <w:sz w:val="22"/>
          <w:szCs w:val="22"/>
        </w:rPr>
      </w:pPr>
    </w:p>
    <w:p w:rsidR="004618CD" w:rsidRPr="00133ED4" w:rsidRDefault="004618CD" w:rsidP="004618CD">
      <w:pPr>
        <w:contextualSpacing/>
        <w:jc w:val="both"/>
        <w:rPr>
          <w:sz w:val="22"/>
          <w:szCs w:val="22"/>
        </w:rPr>
      </w:pPr>
      <w:r w:rsidRPr="00133ED4">
        <w:rPr>
          <w:sz w:val="22"/>
          <w:szCs w:val="22"/>
        </w:rPr>
        <w:t>Στην εποπτεία του Υπουργείου περιλαμβάνονται έξι νομικά πρόσωπα δημοσίου δικαίου, το σύνολο των οποίων προβλέπεται να εμφανίσει θετικό αποτέλεσμα ύψους 0,4 εκατ. ευρώ για το 2021. Το μ</w:t>
      </w:r>
      <w:r w:rsidRPr="00133ED4">
        <w:rPr>
          <w:sz w:val="22"/>
          <w:szCs w:val="22"/>
        </w:rPr>
        <w:t>ε</w:t>
      </w:r>
      <w:r w:rsidRPr="00133ED4">
        <w:rPr>
          <w:sz w:val="22"/>
          <w:szCs w:val="22"/>
        </w:rPr>
        <w:t xml:space="preserve">γαλύτερο μέρος των εσόδων τους προέρχεται από ίδια έσοδα, ενώ οι δαπάνες τους αφορούν κυρίως επενδύσεις και αποδόσεις εσόδων υπέρ τρίτων. </w:t>
      </w:r>
    </w:p>
    <w:p w:rsidR="004618CD" w:rsidRPr="00133ED4" w:rsidRDefault="004618CD" w:rsidP="004618CD">
      <w:pPr>
        <w:contextualSpacing/>
        <w:jc w:val="both"/>
        <w:rPr>
          <w:sz w:val="22"/>
          <w:szCs w:val="22"/>
        </w:rPr>
      </w:pPr>
    </w:p>
    <w:p w:rsidR="004618CD" w:rsidRPr="00133ED4" w:rsidRDefault="004618CD" w:rsidP="004618CD">
      <w:pPr>
        <w:contextualSpacing/>
        <w:jc w:val="both"/>
        <w:rPr>
          <w:rFonts w:ascii="Arial Narrow" w:hAnsi="Arial Narrow"/>
          <w:b/>
          <w:i/>
          <w:sz w:val="22"/>
          <w:szCs w:val="22"/>
        </w:rPr>
      </w:pPr>
      <w:r w:rsidRPr="00133ED4">
        <w:rPr>
          <w:rFonts w:ascii="Arial Narrow" w:hAnsi="Arial Narrow"/>
          <w:b/>
          <w:i/>
          <w:sz w:val="22"/>
          <w:szCs w:val="22"/>
        </w:rPr>
        <w:t>Υπουργείο Υγείας</w:t>
      </w:r>
    </w:p>
    <w:p w:rsidR="004618CD" w:rsidRPr="00133ED4" w:rsidRDefault="004618CD" w:rsidP="004618CD">
      <w:pPr>
        <w:contextualSpacing/>
        <w:jc w:val="both"/>
        <w:rPr>
          <w:rFonts w:ascii="Arial Narrow" w:hAnsi="Arial Narrow"/>
          <w:b/>
          <w:i/>
          <w:sz w:val="22"/>
          <w:szCs w:val="22"/>
        </w:rPr>
      </w:pPr>
    </w:p>
    <w:p w:rsidR="004618CD" w:rsidRPr="00133ED4" w:rsidRDefault="004618CD" w:rsidP="004618CD">
      <w:pPr>
        <w:contextualSpacing/>
        <w:jc w:val="both"/>
        <w:rPr>
          <w:strike/>
          <w:sz w:val="22"/>
          <w:szCs w:val="22"/>
        </w:rPr>
      </w:pPr>
      <w:r w:rsidRPr="00133ED4">
        <w:rPr>
          <w:sz w:val="22"/>
          <w:szCs w:val="22"/>
        </w:rPr>
        <w:t>Τα νομικά πρόσωπα εποπτείας του Υπουργείου Υγείας, στα οποία περιλαμβάνονται το Εθνικό Κέντρο Άμεσης Βοήθειας (ΕΚΑΒ), ο Εθνικός Οργανισμός Φαρμάκων (ΕΟΦ), το Εθνικό Κέντρο Αιμοδοσίας (ΕΚΕΑ), η Ανώνυμη Εταιρεία Μονάδων Υγείας (ΑΕΜΥ) ΑΕ, το Ερευνητικό Πανεπιστημιακό Ινστ</w:t>
      </w:r>
      <w:r w:rsidRPr="00133ED4">
        <w:rPr>
          <w:sz w:val="22"/>
          <w:szCs w:val="22"/>
        </w:rPr>
        <w:t>ι</w:t>
      </w:r>
      <w:r w:rsidRPr="00133ED4">
        <w:rPr>
          <w:sz w:val="22"/>
          <w:szCs w:val="22"/>
        </w:rPr>
        <w:t>τούτο Ψυχικής Υγιεινής (ΕΠΙΨΥ), ο Οργανισμός Κατά των Ναρκωτικών (ΟΚΑΝΑ), το Κέντρο Θ</w:t>
      </w:r>
      <w:r w:rsidRPr="00133ED4">
        <w:rPr>
          <w:sz w:val="22"/>
          <w:szCs w:val="22"/>
        </w:rPr>
        <w:t>ε</w:t>
      </w:r>
      <w:r w:rsidRPr="00133ED4">
        <w:rPr>
          <w:sz w:val="22"/>
          <w:szCs w:val="22"/>
        </w:rPr>
        <w:t>ραπείας Εξαρτημένων Ατόμων (ΚΕΘΕΑ), το Ινστιτούτο Υγείας του Παιδιού (ΙΥΠ), το Ελληνικό Κ</w:t>
      </w:r>
      <w:r w:rsidRPr="00133ED4">
        <w:rPr>
          <w:sz w:val="22"/>
          <w:szCs w:val="22"/>
        </w:rPr>
        <w:t>έ</w:t>
      </w:r>
      <w:r w:rsidRPr="00133ED4">
        <w:rPr>
          <w:sz w:val="22"/>
          <w:szCs w:val="22"/>
        </w:rPr>
        <w:t>ντρο Ψυχικής Υγιεινής και Ερευνών (ΕΚΕΨΥΕ) και ο Εθνικός Οργανισμός Μεταμοσχεύσεων (ΕΟΜ), αναμένεται να εμφανίσουν θετικό αποτέλεσμα ύψους 22,4 εκατ. ευρώ για το 2021.</w:t>
      </w:r>
    </w:p>
    <w:p w:rsidR="004618CD" w:rsidRPr="00133ED4" w:rsidRDefault="004618CD" w:rsidP="004618CD">
      <w:pPr>
        <w:contextualSpacing/>
        <w:jc w:val="both"/>
        <w:rPr>
          <w:sz w:val="22"/>
          <w:szCs w:val="22"/>
        </w:rPr>
      </w:pPr>
    </w:p>
    <w:p w:rsidR="004618CD" w:rsidRPr="00133ED4" w:rsidRDefault="004618CD" w:rsidP="004618CD">
      <w:pPr>
        <w:contextualSpacing/>
        <w:jc w:val="both"/>
        <w:rPr>
          <w:rFonts w:ascii="Arial Narrow" w:hAnsi="Arial Narrow"/>
          <w:b/>
          <w:i/>
          <w:sz w:val="22"/>
          <w:szCs w:val="22"/>
        </w:rPr>
      </w:pPr>
      <w:r w:rsidRPr="00133ED4">
        <w:rPr>
          <w:rFonts w:ascii="Arial Narrow" w:hAnsi="Arial Narrow"/>
          <w:b/>
          <w:i/>
          <w:sz w:val="22"/>
          <w:szCs w:val="22"/>
        </w:rPr>
        <w:t xml:space="preserve">Υπουργείο Δικαιοσύνης </w:t>
      </w:r>
    </w:p>
    <w:p w:rsidR="004618CD" w:rsidRPr="00133ED4" w:rsidRDefault="004618CD" w:rsidP="004618CD">
      <w:pPr>
        <w:contextualSpacing/>
        <w:jc w:val="both"/>
        <w:rPr>
          <w:rFonts w:ascii="Arial Narrow" w:hAnsi="Arial Narrow"/>
          <w:b/>
          <w:i/>
          <w:sz w:val="22"/>
          <w:szCs w:val="22"/>
        </w:rPr>
      </w:pPr>
    </w:p>
    <w:p w:rsidR="004618CD" w:rsidRDefault="004618CD" w:rsidP="004618CD">
      <w:pPr>
        <w:contextualSpacing/>
        <w:jc w:val="both"/>
        <w:rPr>
          <w:sz w:val="22"/>
          <w:szCs w:val="22"/>
        </w:rPr>
      </w:pPr>
      <w:r w:rsidRPr="00133ED4">
        <w:rPr>
          <w:sz w:val="22"/>
          <w:szCs w:val="22"/>
        </w:rPr>
        <w:t>Το Υπουργείο Δικαιοσύνης έχει στην εποπτεία του το Ταμείο Χρηματοδότησης Δικαστικών Κτιρίων (ΤΑΧ</w:t>
      </w:r>
      <w:r w:rsidR="00955C3A">
        <w:rPr>
          <w:sz w:val="22"/>
          <w:szCs w:val="22"/>
        </w:rPr>
        <w:t>ΔΙΚ), την Εθνική Σχολή Δικαστών και</w:t>
      </w:r>
      <w:r w:rsidRPr="00133ED4">
        <w:rPr>
          <w:sz w:val="22"/>
          <w:szCs w:val="22"/>
        </w:rPr>
        <w:t xml:space="preserve"> τις Εταιρείες Προστασίας Ανηλίκων.</w:t>
      </w:r>
    </w:p>
    <w:p w:rsidR="000B2C18" w:rsidRPr="00133ED4" w:rsidRDefault="000B2C18" w:rsidP="004618CD">
      <w:pPr>
        <w:contextualSpacing/>
        <w:jc w:val="both"/>
        <w:rPr>
          <w:sz w:val="22"/>
          <w:szCs w:val="22"/>
        </w:rPr>
      </w:pPr>
    </w:p>
    <w:p w:rsidR="004618CD" w:rsidRPr="00133ED4" w:rsidRDefault="004618CD" w:rsidP="004618CD">
      <w:pPr>
        <w:contextualSpacing/>
        <w:jc w:val="both"/>
        <w:rPr>
          <w:sz w:val="22"/>
          <w:szCs w:val="22"/>
        </w:rPr>
      </w:pPr>
      <w:r w:rsidRPr="00133ED4">
        <w:rPr>
          <w:sz w:val="22"/>
          <w:szCs w:val="22"/>
        </w:rPr>
        <w:t xml:space="preserve">Τα νομικά πρόσωπα του εν λόγω Υπουργείου προβλέπεται να εμφανίσουν θετικό αποτέλεσμα ύψους 31,5 εκατ. ευρώ για το 2020 και 20,7 εκατ. ευρώ για το 2021, το οποίο προέρχεται κυρίως από τη δραστηριότητα του ΤΑΧΔΙΚ.                  </w:t>
      </w:r>
    </w:p>
    <w:p w:rsidR="004618CD" w:rsidRDefault="004618CD" w:rsidP="004618CD">
      <w:pPr>
        <w:jc w:val="both"/>
        <w:rPr>
          <w:rFonts w:ascii="Arial Narrow" w:hAnsi="Arial Narrow"/>
          <w:b/>
          <w:i/>
          <w:sz w:val="22"/>
          <w:szCs w:val="22"/>
        </w:rPr>
      </w:pPr>
    </w:p>
    <w:p w:rsidR="002D25C6" w:rsidRDefault="002D25C6" w:rsidP="004618CD">
      <w:pPr>
        <w:jc w:val="both"/>
        <w:rPr>
          <w:rFonts w:ascii="Arial Narrow" w:hAnsi="Arial Narrow"/>
          <w:b/>
          <w:i/>
          <w:sz w:val="22"/>
          <w:szCs w:val="22"/>
        </w:rPr>
      </w:pPr>
    </w:p>
    <w:p w:rsidR="002D25C6" w:rsidRDefault="002D25C6" w:rsidP="004618CD">
      <w:pPr>
        <w:jc w:val="both"/>
        <w:rPr>
          <w:rFonts w:ascii="Arial Narrow" w:hAnsi="Arial Narrow"/>
          <w:b/>
          <w:i/>
          <w:sz w:val="22"/>
          <w:szCs w:val="22"/>
        </w:rPr>
      </w:pPr>
    </w:p>
    <w:p w:rsidR="004618CD" w:rsidRPr="00133ED4" w:rsidRDefault="004618CD" w:rsidP="004618CD">
      <w:pPr>
        <w:jc w:val="both"/>
        <w:rPr>
          <w:rFonts w:ascii="Arial Narrow" w:hAnsi="Arial Narrow"/>
          <w:b/>
          <w:i/>
          <w:sz w:val="22"/>
          <w:szCs w:val="22"/>
        </w:rPr>
      </w:pPr>
      <w:r w:rsidRPr="00133ED4">
        <w:rPr>
          <w:rFonts w:ascii="Arial Narrow" w:hAnsi="Arial Narrow"/>
          <w:b/>
          <w:i/>
          <w:sz w:val="22"/>
          <w:szCs w:val="22"/>
        </w:rPr>
        <w:lastRenderedPageBreak/>
        <w:t>Υπουργείο Παιδείας και Θρησκευμάτων</w:t>
      </w:r>
    </w:p>
    <w:p w:rsidR="004618CD" w:rsidRPr="00133ED4" w:rsidRDefault="004618CD" w:rsidP="004618CD">
      <w:pPr>
        <w:jc w:val="both"/>
        <w:outlineLvl w:val="4"/>
        <w:rPr>
          <w:sz w:val="22"/>
          <w:szCs w:val="22"/>
        </w:rPr>
      </w:pPr>
    </w:p>
    <w:p w:rsidR="004618CD" w:rsidRPr="00133ED4" w:rsidRDefault="004618CD" w:rsidP="004618CD">
      <w:pPr>
        <w:jc w:val="both"/>
        <w:rPr>
          <w:sz w:val="22"/>
          <w:szCs w:val="22"/>
        </w:rPr>
      </w:pPr>
      <w:r w:rsidRPr="00133ED4">
        <w:rPr>
          <w:sz w:val="22"/>
          <w:szCs w:val="22"/>
        </w:rPr>
        <w:t>Στην εποπτεία του Υπουργείου περιλαμβάνονται τόσο νομικά πρόσωπα δημοσίου δικαίου (ΑΕΙ, ΑΣΠΑΙΤΕ,  βιβλιοθήκες,  κ.λπ.), όσο και νομικά πρόσωπα ιδιωτικού δικαίου (Ειδικοί Λογαριασμοί Κονδυλίων Έρευνας, το Ίδρυμα Νεολαίας και Δια Βίου Μάθησης (ΙΝΕΔΙΒΙΜ), το Ινστιτούτο Τεχν</w:t>
      </w:r>
      <w:r w:rsidRPr="00133ED4">
        <w:rPr>
          <w:sz w:val="22"/>
          <w:szCs w:val="22"/>
        </w:rPr>
        <w:t>ο</w:t>
      </w:r>
      <w:r w:rsidRPr="00133ED4">
        <w:rPr>
          <w:sz w:val="22"/>
          <w:szCs w:val="22"/>
        </w:rPr>
        <w:t>λογίας Υπολογιστών και Εκδόσεων «ΔΙΟΦΑΝΤΟΣ» κ.λπ.), το σύνολο των οποίων προβλέπεται για το 2021 να παρουσιάσει πλεόνασμα ύψους 59,4 εκατ. ευρώ.</w:t>
      </w:r>
    </w:p>
    <w:p w:rsidR="004618CD" w:rsidRPr="00133ED4" w:rsidRDefault="004618CD" w:rsidP="004618CD">
      <w:pPr>
        <w:jc w:val="both"/>
        <w:rPr>
          <w:sz w:val="22"/>
          <w:szCs w:val="22"/>
        </w:rPr>
      </w:pPr>
    </w:p>
    <w:p w:rsidR="004618CD" w:rsidRPr="00133ED4" w:rsidRDefault="004618CD" w:rsidP="004618CD">
      <w:pPr>
        <w:jc w:val="both"/>
        <w:rPr>
          <w:sz w:val="22"/>
          <w:szCs w:val="22"/>
        </w:rPr>
      </w:pPr>
      <w:r w:rsidRPr="00133ED4">
        <w:rPr>
          <w:sz w:val="22"/>
          <w:szCs w:val="22"/>
        </w:rPr>
        <w:t>Επισημαίνεται ότι κύρια πηγή εσόδων των εποπτευόμενων</w:t>
      </w:r>
      <w:r w:rsidRPr="00133ED4">
        <w:rPr>
          <w:color w:val="4F81BD"/>
          <w:sz w:val="22"/>
          <w:szCs w:val="22"/>
        </w:rPr>
        <w:t xml:space="preserve"> </w:t>
      </w:r>
      <w:r w:rsidRPr="00133ED4">
        <w:rPr>
          <w:sz w:val="22"/>
          <w:szCs w:val="22"/>
        </w:rPr>
        <w:t>φορέων αποτελούν οι μεταβιβάσεις από τον κρατικό προϋπολογισμό, καθώς και οι πόροι από χρηματοδοτούμενα προγράμματα από την Ε</w:t>
      </w:r>
      <w:r w:rsidRPr="00133ED4">
        <w:rPr>
          <w:sz w:val="22"/>
          <w:szCs w:val="22"/>
        </w:rPr>
        <w:t>υ</w:t>
      </w:r>
      <w:r w:rsidRPr="00133ED4">
        <w:rPr>
          <w:sz w:val="22"/>
          <w:szCs w:val="22"/>
        </w:rPr>
        <w:t>ρωπαϊκή Ένωση.</w:t>
      </w:r>
    </w:p>
    <w:p w:rsidR="004618CD" w:rsidRPr="00133ED4" w:rsidRDefault="004618CD" w:rsidP="004618CD">
      <w:pPr>
        <w:jc w:val="both"/>
        <w:rPr>
          <w:sz w:val="22"/>
          <w:szCs w:val="22"/>
        </w:rPr>
      </w:pPr>
    </w:p>
    <w:p w:rsidR="004618CD" w:rsidRPr="00133ED4" w:rsidRDefault="004618CD" w:rsidP="004618CD">
      <w:pPr>
        <w:contextualSpacing/>
        <w:jc w:val="both"/>
        <w:rPr>
          <w:rFonts w:ascii="Arial Narrow" w:hAnsi="Arial Narrow"/>
          <w:b/>
          <w:i/>
          <w:sz w:val="22"/>
          <w:szCs w:val="22"/>
        </w:rPr>
      </w:pPr>
      <w:r w:rsidRPr="00133ED4">
        <w:rPr>
          <w:rFonts w:ascii="Arial Narrow" w:hAnsi="Arial Narrow"/>
          <w:b/>
          <w:i/>
          <w:sz w:val="22"/>
          <w:szCs w:val="22"/>
        </w:rPr>
        <w:t>Υπουργείο Πολιτισμού και Αθλητισμού</w:t>
      </w:r>
    </w:p>
    <w:p w:rsidR="004618CD" w:rsidRPr="00133ED4" w:rsidRDefault="004618CD" w:rsidP="004618CD">
      <w:pPr>
        <w:contextualSpacing/>
        <w:jc w:val="both"/>
        <w:rPr>
          <w:b/>
          <w:sz w:val="22"/>
          <w:szCs w:val="22"/>
        </w:rPr>
      </w:pPr>
    </w:p>
    <w:p w:rsidR="004618CD" w:rsidRPr="00133ED4" w:rsidRDefault="004618CD" w:rsidP="004618CD">
      <w:pPr>
        <w:jc w:val="both"/>
        <w:rPr>
          <w:sz w:val="22"/>
          <w:szCs w:val="22"/>
        </w:rPr>
      </w:pPr>
      <w:r w:rsidRPr="00133ED4">
        <w:rPr>
          <w:sz w:val="22"/>
          <w:szCs w:val="22"/>
        </w:rPr>
        <w:t>Από τη δραστηριότητα των νομικών προσώπων που εποπτεύονται από το εν λόγω Υπουργείο, πρ</w:t>
      </w:r>
      <w:r w:rsidRPr="00133ED4">
        <w:rPr>
          <w:sz w:val="22"/>
          <w:szCs w:val="22"/>
        </w:rPr>
        <w:t>ο</w:t>
      </w:r>
      <w:r w:rsidRPr="00133ED4">
        <w:rPr>
          <w:sz w:val="22"/>
          <w:szCs w:val="22"/>
        </w:rPr>
        <w:t>βλέπεται ότι το 2021 θα προκύψει θετικό αποτέλεσμα ύψους 2 εκατ. ευρώ</w:t>
      </w:r>
      <w:r w:rsidR="00985591">
        <w:rPr>
          <w:sz w:val="22"/>
          <w:szCs w:val="22"/>
        </w:rPr>
        <w:t>,</w:t>
      </w:r>
      <w:r w:rsidRPr="006C6B60">
        <w:rPr>
          <w:sz w:val="22"/>
          <w:szCs w:val="22"/>
        </w:rPr>
        <w:t xml:space="preserve"> </w:t>
      </w:r>
      <w:r w:rsidRPr="00133ED4">
        <w:rPr>
          <w:sz w:val="22"/>
          <w:szCs w:val="22"/>
        </w:rPr>
        <w:t>το οποίο θα προέλθει από το Ταμείο Αρχαιολογικών Πόρων και Απαλλοτριώσεων (ΤΑΠΑ)</w:t>
      </w:r>
      <w:r w:rsidR="00985591">
        <w:rPr>
          <w:sz w:val="22"/>
          <w:szCs w:val="22"/>
        </w:rPr>
        <w:t>,</w:t>
      </w:r>
      <w:r w:rsidRPr="00133ED4">
        <w:rPr>
          <w:sz w:val="22"/>
          <w:szCs w:val="22"/>
        </w:rPr>
        <w:t xml:space="preserve"> παρόλο που</w:t>
      </w:r>
      <w:r w:rsidRPr="00B343CD">
        <w:rPr>
          <w:sz w:val="22"/>
          <w:szCs w:val="22"/>
        </w:rPr>
        <w:t xml:space="preserve"> </w:t>
      </w:r>
      <w:r w:rsidRPr="00133ED4">
        <w:rPr>
          <w:sz w:val="22"/>
          <w:szCs w:val="22"/>
        </w:rPr>
        <w:t>τα</w:t>
      </w:r>
      <w:r w:rsidRPr="00B343CD">
        <w:rPr>
          <w:sz w:val="22"/>
          <w:szCs w:val="22"/>
        </w:rPr>
        <w:t xml:space="preserve"> </w:t>
      </w:r>
      <w:r w:rsidRPr="00133ED4">
        <w:rPr>
          <w:sz w:val="22"/>
          <w:szCs w:val="22"/>
        </w:rPr>
        <w:t>έσοδά του</w:t>
      </w:r>
      <w:r w:rsidRPr="00B343CD">
        <w:rPr>
          <w:sz w:val="22"/>
          <w:szCs w:val="22"/>
        </w:rPr>
        <w:t xml:space="preserve"> </w:t>
      </w:r>
      <w:r w:rsidRPr="00133ED4">
        <w:rPr>
          <w:sz w:val="22"/>
          <w:szCs w:val="22"/>
        </w:rPr>
        <w:t>θα επ</w:t>
      </w:r>
      <w:r w:rsidRPr="00133ED4">
        <w:rPr>
          <w:sz w:val="22"/>
          <w:szCs w:val="22"/>
        </w:rPr>
        <w:t>η</w:t>
      </w:r>
      <w:r w:rsidRPr="00133ED4">
        <w:rPr>
          <w:sz w:val="22"/>
          <w:szCs w:val="22"/>
        </w:rPr>
        <w:t xml:space="preserve">ρεασθούν από τις επιπτώσεις της πανδημίας του </w:t>
      </w:r>
      <w:r w:rsidR="00985591" w:rsidRPr="00133ED4">
        <w:rPr>
          <w:sz w:val="22"/>
          <w:szCs w:val="22"/>
          <w:lang w:val="en-US"/>
        </w:rPr>
        <w:t>Covid</w:t>
      </w:r>
      <w:r w:rsidRPr="00133ED4">
        <w:rPr>
          <w:sz w:val="22"/>
          <w:szCs w:val="22"/>
        </w:rPr>
        <w:t xml:space="preserve">-19. </w:t>
      </w:r>
    </w:p>
    <w:p w:rsidR="004618CD" w:rsidRPr="00133ED4" w:rsidRDefault="004618CD" w:rsidP="004618CD">
      <w:pPr>
        <w:contextualSpacing/>
        <w:jc w:val="both"/>
        <w:rPr>
          <w:sz w:val="22"/>
          <w:szCs w:val="22"/>
        </w:rPr>
      </w:pPr>
    </w:p>
    <w:p w:rsidR="004618CD" w:rsidRPr="00133ED4" w:rsidRDefault="004618CD" w:rsidP="004618CD">
      <w:pPr>
        <w:jc w:val="both"/>
        <w:rPr>
          <w:rFonts w:ascii="Arial Narrow" w:hAnsi="Arial Narrow"/>
          <w:b/>
          <w:bCs/>
          <w:i/>
          <w:iCs/>
          <w:sz w:val="22"/>
          <w:szCs w:val="22"/>
        </w:rPr>
      </w:pPr>
      <w:r w:rsidRPr="00133ED4">
        <w:rPr>
          <w:rFonts w:ascii="Arial Narrow" w:hAnsi="Arial Narrow"/>
          <w:b/>
          <w:bCs/>
          <w:i/>
          <w:iCs/>
          <w:sz w:val="22"/>
          <w:szCs w:val="22"/>
        </w:rPr>
        <w:t>Υπουργείο Οικονομικών</w:t>
      </w:r>
    </w:p>
    <w:p w:rsidR="004618CD" w:rsidRPr="00133ED4" w:rsidRDefault="004618CD" w:rsidP="004618CD">
      <w:pPr>
        <w:jc w:val="both"/>
        <w:rPr>
          <w:sz w:val="22"/>
          <w:szCs w:val="22"/>
        </w:rPr>
      </w:pPr>
    </w:p>
    <w:p w:rsidR="004618CD" w:rsidRPr="00133ED4" w:rsidRDefault="004618CD" w:rsidP="004618CD">
      <w:pPr>
        <w:jc w:val="both"/>
        <w:rPr>
          <w:sz w:val="22"/>
          <w:szCs w:val="22"/>
        </w:rPr>
      </w:pPr>
      <w:r w:rsidRPr="00133ED4">
        <w:rPr>
          <w:sz w:val="22"/>
          <w:szCs w:val="22"/>
        </w:rPr>
        <w:t>Στα εποπτευόμενα νομικά πρόσωπα του Υπουργείου περιλαμβάνονται, μεταξύ άλλων, το Ταμείο Π</w:t>
      </w:r>
      <w:r w:rsidRPr="00133ED4">
        <w:rPr>
          <w:sz w:val="22"/>
          <w:szCs w:val="22"/>
        </w:rPr>
        <w:t>α</w:t>
      </w:r>
      <w:r w:rsidRPr="00133ED4">
        <w:rPr>
          <w:sz w:val="22"/>
          <w:szCs w:val="22"/>
        </w:rPr>
        <w:t xml:space="preserve">ρακαταθηκών και Δανείων (ΤΠΔ), η Ελληνική Εταιρεία Συμμετοχών και Περιουσίας (ΕΕΣΥΠ) ΑΕ, το Ταμείο Χρηματοπιστωτικής Σταθερότητας (ΤΧΣ), το Ταμείο Αξιοποίησης Ιδιωτικής Περιουσίας του Δημοσίου (ΤΑΙΠΕΔ) ΑΕ, η Εταιρεία Ακινήτων Δημοσίου (ΕΤΑΔ) ΑΕ και το Ταμείο Εγγύησης Καταθέσεων και Επενδύσεων (ΤΕΚΕ). </w:t>
      </w:r>
    </w:p>
    <w:p w:rsidR="004618CD" w:rsidRPr="00133ED4" w:rsidRDefault="004618CD" w:rsidP="004618CD">
      <w:pPr>
        <w:jc w:val="both"/>
        <w:rPr>
          <w:sz w:val="22"/>
          <w:szCs w:val="22"/>
        </w:rPr>
      </w:pPr>
    </w:p>
    <w:p w:rsidR="004618CD" w:rsidRDefault="004618CD" w:rsidP="004618CD">
      <w:pPr>
        <w:jc w:val="both"/>
        <w:rPr>
          <w:sz w:val="22"/>
          <w:szCs w:val="22"/>
        </w:rPr>
      </w:pPr>
      <w:r w:rsidRPr="00133ED4">
        <w:rPr>
          <w:sz w:val="22"/>
          <w:szCs w:val="22"/>
        </w:rPr>
        <w:t>Οι φορείς του εν λόγω Υπουργείου προβλέπεται να εμφανίσουν για το έτος 2021 πλεόνασμα ύψους 287,7 εκατ. ευρώ, το οποίο θα προέλθει κυρίως από το ΤΕΚΕ, το ΤΠΔ και την ΕΤΑΔ ΑΕ.</w:t>
      </w:r>
    </w:p>
    <w:p w:rsidR="00985591" w:rsidRDefault="00985591" w:rsidP="004618CD">
      <w:pPr>
        <w:contextualSpacing/>
        <w:jc w:val="both"/>
        <w:rPr>
          <w:rFonts w:ascii="Arial Narrow" w:hAnsi="Arial Narrow"/>
          <w:b/>
          <w:i/>
          <w:sz w:val="22"/>
          <w:szCs w:val="22"/>
        </w:rPr>
      </w:pPr>
    </w:p>
    <w:p w:rsidR="004618CD" w:rsidRPr="00133ED4" w:rsidRDefault="004618CD" w:rsidP="004618CD">
      <w:pPr>
        <w:contextualSpacing/>
        <w:jc w:val="both"/>
        <w:rPr>
          <w:rFonts w:ascii="Arial Narrow" w:hAnsi="Arial Narrow"/>
          <w:b/>
          <w:i/>
          <w:sz w:val="22"/>
          <w:szCs w:val="22"/>
        </w:rPr>
      </w:pPr>
      <w:r w:rsidRPr="00133ED4">
        <w:rPr>
          <w:rFonts w:ascii="Arial Narrow" w:hAnsi="Arial Narrow"/>
          <w:b/>
          <w:i/>
          <w:sz w:val="22"/>
          <w:szCs w:val="22"/>
        </w:rPr>
        <w:t xml:space="preserve">Υπουργείο Αγροτικής Ανάπτυξης και Τροφίμων </w:t>
      </w:r>
    </w:p>
    <w:p w:rsidR="004618CD" w:rsidRPr="00133ED4" w:rsidRDefault="004618CD" w:rsidP="004618CD">
      <w:pPr>
        <w:contextualSpacing/>
        <w:jc w:val="both"/>
        <w:rPr>
          <w:rFonts w:ascii="Arial Narrow" w:hAnsi="Arial Narrow"/>
          <w:b/>
          <w:i/>
          <w:sz w:val="22"/>
          <w:szCs w:val="22"/>
        </w:rPr>
      </w:pPr>
    </w:p>
    <w:p w:rsidR="004618CD" w:rsidRPr="00133ED4" w:rsidRDefault="004618CD" w:rsidP="004618CD">
      <w:pPr>
        <w:contextualSpacing/>
        <w:jc w:val="both"/>
        <w:rPr>
          <w:sz w:val="22"/>
          <w:szCs w:val="22"/>
        </w:rPr>
      </w:pPr>
      <w:r w:rsidRPr="00133ED4">
        <w:rPr>
          <w:sz w:val="22"/>
          <w:szCs w:val="22"/>
        </w:rPr>
        <w:t>Το Υπουργείο έχει υπό την εποπτεία του, μεταξύ άλλων νομικών προσώπων, το Ταμείο Γεωργίας και Κτηνοτροφίας (ΤΓΚ), το οποίο διαχειρίζεται και διαθέτει τους πόρους και τα περιουσιακά του στο</w:t>
      </w:r>
      <w:r w:rsidRPr="00133ED4">
        <w:rPr>
          <w:sz w:val="22"/>
          <w:szCs w:val="22"/>
        </w:rPr>
        <w:t>ι</w:t>
      </w:r>
      <w:r w:rsidRPr="00133ED4">
        <w:rPr>
          <w:sz w:val="22"/>
          <w:szCs w:val="22"/>
        </w:rPr>
        <w:t>χεία με σκοπό τη γεωργική ανάπτυξη της χώρας, και τον Ενιαίο Φορέα Ελέγχου Τροφίμων (ΕΦΕΤ) με βασική αποστολή του τη διασφάλιση της εισαγωγής, παραγωγής και διακίνησης υγιεινών τροφίμων. Στους εποπτευόμενους φορείς του Υπουργείου περιλαμβάνεται και ο Ελληνικός Γεωργικός Οργαν</w:t>
      </w:r>
      <w:r w:rsidRPr="00133ED4">
        <w:rPr>
          <w:sz w:val="22"/>
          <w:szCs w:val="22"/>
        </w:rPr>
        <w:t>ι</w:t>
      </w:r>
      <w:r w:rsidRPr="00133ED4">
        <w:rPr>
          <w:sz w:val="22"/>
          <w:szCs w:val="22"/>
        </w:rPr>
        <w:t>σμός «ΔΗΜΗΤΡΑ» (ΕΛΓΟ-ΔΗΜΗΤΡΑ), ο οποίος διασφαλίζει την ποιότητα του γάλακτος και μερ</w:t>
      </w:r>
      <w:r w:rsidRPr="00133ED4">
        <w:rPr>
          <w:sz w:val="22"/>
          <w:szCs w:val="22"/>
        </w:rPr>
        <w:t>ι</w:t>
      </w:r>
      <w:r w:rsidRPr="00133ED4">
        <w:rPr>
          <w:sz w:val="22"/>
          <w:szCs w:val="22"/>
        </w:rPr>
        <w:t>μνά για την πιστοποίηση των αγροτικών προϊόντων, καθώς και για την προαγωγή της έρευνας και της επαγγελματικής κατάρτισης στον τομέα της γεωργίας.</w:t>
      </w:r>
    </w:p>
    <w:p w:rsidR="004618CD" w:rsidRPr="00133ED4" w:rsidRDefault="004618CD" w:rsidP="004618CD">
      <w:pPr>
        <w:contextualSpacing/>
        <w:jc w:val="both"/>
        <w:rPr>
          <w:sz w:val="22"/>
          <w:szCs w:val="22"/>
        </w:rPr>
      </w:pPr>
    </w:p>
    <w:p w:rsidR="004618CD" w:rsidRPr="00133ED4" w:rsidRDefault="004618CD" w:rsidP="004618CD">
      <w:pPr>
        <w:contextualSpacing/>
        <w:jc w:val="both"/>
        <w:rPr>
          <w:sz w:val="22"/>
          <w:szCs w:val="22"/>
        </w:rPr>
      </w:pPr>
      <w:r w:rsidRPr="00133ED4">
        <w:rPr>
          <w:sz w:val="22"/>
          <w:szCs w:val="22"/>
        </w:rPr>
        <w:t>Τα νομικά πρόσωπα του εν λόγω Υπουργείου προβλέπεται να εμφανίσουν το 2021 πλεόνασμα ύψους 10,1 εκατ. ευρώ, το οποίο προέρχεται κυρίως από το ΤΓΚ και τον ΕΛΓΟ-ΔΗΜΗΤΡΑ.</w:t>
      </w:r>
    </w:p>
    <w:p w:rsidR="004618CD" w:rsidRPr="00133ED4" w:rsidRDefault="004618CD" w:rsidP="004618CD">
      <w:pPr>
        <w:contextualSpacing/>
        <w:jc w:val="both"/>
        <w:rPr>
          <w:rFonts w:ascii="Arial Narrow" w:hAnsi="Arial Narrow"/>
          <w:b/>
          <w:i/>
          <w:sz w:val="22"/>
          <w:szCs w:val="22"/>
        </w:rPr>
      </w:pPr>
    </w:p>
    <w:p w:rsidR="004618CD" w:rsidRPr="00133ED4" w:rsidRDefault="004618CD" w:rsidP="004618CD">
      <w:pPr>
        <w:contextualSpacing/>
        <w:jc w:val="both"/>
        <w:rPr>
          <w:rFonts w:ascii="Arial Narrow" w:hAnsi="Arial Narrow"/>
          <w:b/>
          <w:i/>
          <w:sz w:val="22"/>
          <w:szCs w:val="22"/>
        </w:rPr>
      </w:pPr>
      <w:r w:rsidRPr="00133ED4">
        <w:rPr>
          <w:rFonts w:ascii="Arial Narrow" w:hAnsi="Arial Narrow"/>
          <w:b/>
          <w:i/>
          <w:sz w:val="22"/>
          <w:szCs w:val="22"/>
        </w:rPr>
        <w:t xml:space="preserve">Υπουργείο Περιβάλλοντος και  Ενέργειας   </w:t>
      </w:r>
    </w:p>
    <w:p w:rsidR="004618CD" w:rsidRPr="00133ED4" w:rsidRDefault="004618CD" w:rsidP="004618CD">
      <w:pPr>
        <w:contextualSpacing/>
        <w:jc w:val="both"/>
        <w:rPr>
          <w:rFonts w:ascii="Arial Narrow" w:hAnsi="Arial Narrow"/>
          <w:b/>
          <w:i/>
          <w:sz w:val="22"/>
          <w:szCs w:val="22"/>
        </w:rPr>
      </w:pPr>
    </w:p>
    <w:p w:rsidR="004618CD" w:rsidRPr="00133ED4" w:rsidRDefault="004618CD" w:rsidP="004618CD">
      <w:pPr>
        <w:contextualSpacing/>
        <w:jc w:val="both"/>
        <w:rPr>
          <w:sz w:val="22"/>
          <w:szCs w:val="22"/>
        </w:rPr>
      </w:pPr>
      <w:r w:rsidRPr="00133ED4">
        <w:rPr>
          <w:sz w:val="22"/>
          <w:szCs w:val="22"/>
        </w:rPr>
        <w:t>Τα νομικά πρόσωπα εποπτείας του Υπουργείου για το έτος 2020 εκτιμάται ότι θα εμφανίσουν αρνητ</w:t>
      </w:r>
      <w:r w:rsidRPr="00133ED4">
        <w:rPr>
          <w:sz w:val="22"/>
          <w:szCs w:val="22"/>
        </w:rPr>
        <w:t>ι</w:t>
      </w:r>
      <w:r w:rsidRPr="00133ED4">
        <w:rPr>
          <w:sz w:val="22"/>
          <w:szCs w:val="22"/>
        </w:rPr>
        <w:t>κό αποτέλεσμα ύψους 277,7 εκατ. ευρώ, το οποίο προέρχεται κυρίως από τον Ειδικό Λογαριασμό Ανανεώσιμων Πηγών Ενέργειας</w:t>
      </w:r>
      <w:r w:rsidRPr="00A0082B">
        <w:rPr>
          <w:sz w:val="22"/>
          <w:szCs w:val="22"/>
        </w:rPr>
        <w:t xml:space="preserve"> </w:t>
      </w:r>
      <w:r w:rsidRPr="00133ED4">
        <w:rPr>
          <w:sz w:val="22"/>
          <w:szCs w:val="22"/>
        </w:rPr>
        <w:t>και</w:t>
      </w:r>
      <w:r w:rsidRPr="00A0082B">
        <w:rPr>
          <w:sz w:val="22"/>
          <w:szCs w:val="22"/>
        </w:rPr>
        <w:t xml:space="preserve"> </w:t>
      </w:r>
      <w:r w:rsidRPr="00133ED4">
        <w:rPr>
          <w:sz w:val="22"/>
          <w:szCs w:val="22"/>
        </w:rPr>
        <w:t>Συμπαραγωγής</w:t>
      </w:r>
      <w:r w:rsidRPr="00A0082B">
        <w:rPr>
          <w:sz w:val="22"/>
          <w:szCs w:val="22"/>
        </w:rPr>
        <w:t xml:space="preserve"> </w:t>
      </w:r>
      <w:r w:rsidRPr="00133ED4">
        <w:rPr>
          <w:sz w:val="22"/>
          <w:szCs w:val="22"/>
        </w:rPr>
        <w:t>Ηλεκτρι</w:t>
      </w:r>
      <w:r w:rsidR="001C7C5D">
        <w:rPr>
          <w:sz w:val="22"/>
          <w:szCs w:val="22"/>
        </w:rPr>
        <w:t>σμού</w:t>
      </w:r>
      <w:r w:rsidRPr="00133ED4">
        <w:rPr>
          <w:sz w:val="22"/>
          <w:szCs w:val="22"/>
        </w:rPr>
        <w:t xml:space="preserve"> Θερμότητας Υψηλής Απόδοσης (ΑΠΕ και ΣΗΘΥΑ), τα έσοδα του οποίου επηρεάστηκαν από την πανδημία του </w:t>
      </w:r>
      <w:r w:rsidR="00985591" w:rsidRPr="00133ED4">
        <w:rPr>
          <w:sz w:val="22"/>
          <w:szCs w:val="22"/>
          <w:lang w:val="en-US"/>
        </w:rPr>
        <w:t>Covid</w:t>
      </w:r>
      <w:r w:rsidRPr="00133ED4">
        <w:rPr>
          <w:sz w:val="22"/>
          <w:szCs w:val="22"/>
        </w:rPr>
        <w:t>-</w:t>
      </w:r>
      <w:r w:rsidRPr="00AD0350">
        <w:rPr>
          <w:sz w:val="22"/>
          <w:szCs w:val="22"/>
        </w:rPr>
        <w:t>1</w:t>
      </w:r>
      <w:r w:rsidRPr="00133ED4">
        <w:rPr>
          <w:sz w:val="22"/>
          <w:szCs w:val="22"/>
        </w:rPr>
        <w:t>9.</w:t>
      </w:r>
      <w:r w:rsidRPr="00133ED4" w:rsidDel="00AB6882">
        <w:rPr>
          <w:sz w:val="22"/>
          <w:szCs w:val="22"/>
        </w:rPr>
        <w:t xml:space="preserve"> </w:t>
      </w:r>
      <w:r w:rsidRPr="00133ED4">
        <w:rPr>
          <w:sz w:val="22"/>
          <w:szCs w:val="22"/>
        </w:rPr>
        <w:t>Για το έτος 2021 προβλέπεται πλεόνασμα ύψους 154,5 εκατ. ευρώ, που προέρχεται κυρίως από τον Ειδικό Λογ</w:t>
      </w:r>
      <w:r w:rsidRPr="00133ED4">
        <w:rPr>
          <w:sz w:val="22"/>
          <w:szCs w:val="22"/>
        </w:rPr>
        <w:t>α</w:t>
      </w:r>
      <w:r w:rsidRPr="00133ED4">
        <w:rPr>
          <w:sz w:val="22"/>
          <w:szCs w:val="22"/>
        </w:rPr>
        <w:t xml:space="preserve">ριασμό ΑΠΕ και ΣΗΘΥΑ. </w:t>
      </w:r>
    </w:p>
    <w:p w:rsidR="004618CD" w:rsidRPr="00133ED4" w:rsidRDefault="004618CD" w:rsidP="004618CD">
      <w:pPr>
        <w:contextualSpacing/>
        <w:jc w:val="both"/>
        <w:rPr>
          <w:sz w:val="22"/>
          <w:szCs w:val="22"/>
        </w:rPr>
      </w:pPr>
      <w:r w:rsidRPr="00133ED4">
        <w:rPr>
          <w:sz w:val="22"/>
          <w:szCs w:val="22"/>
        </w:rPr>
        <w:t>Στους εποπτευόμενους φορείς του εν λόγω Υπουργείου περιλαμβάνονται επίσης, μεταξύ άλλων,  η Ελληνική Αρχή Γεωλογικών και Μεταλλευτικών Ερευνών (ΕΑΓΜΕ), το Κέντρο Ανανεώσιμων Π</w:t>
      </w:r>
      <w:r w:rsidRPr="00133ED4">
        <w:rPr>
          <w:sz w:val="22"/>
          <w:szCs w:val="22"/>
        </w:rPr>
        <w:t>η</w:t>
      </w:r>
      <w:r w:rsidRPr="00133ED4">
        <w:rPr>
          <w:sz w:val="22"/>
          <w:szCs w:val="22"/>
        </w:rPr>
        <w:t>γών και Εξοικονόμησης Ενέργειας (ΚΑΠΕ), ο Ελληνικός Οργανισμός Ανακύκλωσης (ΕΟΑΝ), η Ε</w:t>
      </w:r>
      <w:r w:rsidRPr="00133ED4">
        <w:rPr>
          <w:sz w:val="22"/>
          <w:szCs w:val="22"/>
        </w:rPr>
        <w:t>λ</w:t>
      </w:r>
      <w:r w:rsidRPr="00133ED4">
        <w:rPr>
          <w:sz w:val="22"/>
          <w:szCs w:val="22"/>
        </w:rPr>
        <w:lastRenderedPageBreak/>
        <w:t>ληνική Διαχειριστική Εταιρεία Υδρογονανθράκων (ΕΔΕΥ) ΑΕ, καθώς και η Δημόσια Εταιρεία Συ</w:t>
      </w:r>
      <w:r w:rsidRPr="00133ED4">
        <w:rPr>
          <w:sz w:val="22"/>
          <w:szCs w:val="22"/>
        </w:rPr>
        <w:t>μ</w:t>
      </w:r>
      <w:r w:rsidRPr="00133ED4">
        <w:rPr>
          <w:sz w:val="22"/>
          <w:szCs w:val="22"/>
        </w:rPr>
        <w:t xml:space="preserve">μετοχών Ανεξάρτητου Διαχειριστή Μεταφοράς Ηλεκτρικής Ενέργειας (ΔΕΣ ΑΔΜΗΕ) ΑΕ. </w:t>
      </w:r>
    </w:p>
    <w:p w:rsidR="004618CD" w:rsidRPr="00133ED4" w:rsidRDefault="004618CD" w:rsidP="004618CD">
      <w:pPr>
        <w:contextualSpacing/>
        <w:jc w:val="both"/>
        <w:rPr>
          <w:rFonts w:ascii="Arial Narrow" w:hAnsi="Arial Narrow"/>
          <w:b/>
          <w:i/>
          <w:sz w:val="22"/>
          <w:szCs w:val="22"/>
        </w:rPr>
      </w:pPr>
    </w:p>
    <w:p w:rsidR="004618CD" w:rsidRPr="00133ED4" w:rsidRDefault="004618CD" w:rsidP="004618CD">
      <w:pPr>
        <w:contextualSpacing/>
        <w:jc w:val="both"/>
        <w:rPr>
          <w:rFonts w:ascii="Arial Narrow" w:hAnsi="Arial Narrow"/>
          <w:b/>
          <w:i/>
          <w:sz w:val="22"/>
          <w:szCs w:val="22"/>
        </w:rPr>
      </w:pPr>
      <w:r w:rsidRPr="00133ED4">
        <w:rPr>
          <w:rFonts w:ascii="Arial Narrow" w:hAnsi="Arial Narrow"/>
          <w:b/>
          <w:i/>
          <w:sz w:val="22"/>
          <w:szCs w:val="22"/>
        </w:rPr>
        <w:t>Υπουργείο Εργασίας και Κοινωνικών Υποθέσεων</w:t>
      </w:r>
    </w:p>
    <w:p w:rsidR="004618CD" w:rsidRPr="00133ED4" w:rsidRDefault="004618CD" w:rsidP="004618CD">
      <w:pPr>
        <w:contextualSpacing/>
        <w:jc w:val="both"/>
      </w:pPr>
    </w:p>
    <w:p w:rsidR="004618CD" w:rsidRPr="00133ED4" w:rsidRDefault="004618CD" w:rsidP="004618CD">
      <w:pPr>
        <w:contextualSpacing/>
        <w:jc w:val="both"/>
        <w:rPr>
          <w:sz w:val="22"/>
          <w:szCs w:val="22"/>
        </w:rPr>
      </w:pPr>
      <w:r w:rsidRPr="00133ED4">
        <w:rPr>
          <w:sz w:val="22"/>
          <w:szCs w:val="22"/>
        </w:rPr>
        <w:t xml:space="preserve">Στους εποπτευόμενους φορείς του Υπουργείου περιλαμβάνονται τα Κέντρα Κοινωνικής Πρόνοιας Περιφερειών (ΚΚΠΠ), το Κέντρο Εκπαίδευσης και Αποκατάστασης Τυφλών (ΚΕΑΤ), το Εθνικό </w:t>
      </w:r>
      <w:r w:rsidRPr="00133ED4">
        <w:rPr>
          <w:sz w:val="22"/>
          <w:szCs w:val="22"/>
        </w:rPr>
        <w:t>Ί</w:t>
      </w:r>
      <w:r w:rsidRPr="00133ED4">
        <w:rPr>
          <w:sz w:val="22"/>
          <w:szCs w:val="22"/>
        </w:rPr>
        <w:t>δρυμα Κωφών (ΕΙΚ), το Εθνικό Κέντρο Κοινωνικής Αλληλεγγύης (ΕΚΚΑ), το Εθνικό Ινστιτούτο Εργασίας και Ανθρώπινου Δυναμικού (ΕΙΕΑΔ), καθώς επίσης και το Κέντρο Ερευνών για Θέματα Ισότητας (ΚΕΘΙ).</w:t>
      </w:r>
    </w:p>
    <w:p w:rsidR="004618CD" w:rsidRPr="00133ED4" w:rsidRDefault="004618CD" w:rsidP="004618CD">
      <w:pPr>
        <w:contextualSpacing/>
        <w:jc w:val="both"/>
        <w:rPr>
          <w:sz w:val="22"/>
          <w:szCs w:val="22"/>
        </w:rPr>
      </w:pPr>
    </w:p>
    <w:p w:rsidR="004618CD" w:rsidRPr="00133ED4" w:rsidRDefault="004618CD" w:rsidP="004618CD">
      <w:pPr>
        <w:contextualSpacing/>
        <w:jc w:val="both"/>
        <w:rPr>
          <w:sz w:val="22"/>
          <w:szCs w:val="22"/>
        </w:rPr>
      </w:pPr>
      <w:r w:rsidRPr="00133ED4">
        <w:rPr>
          <w:sz w:val="22"/>
          <w:szCs w:val="22"/>
        </w:rPr>
        <w:t>Για το έτος 2021 οι ανωτέρω φορείς προβλέπεται να παρουσιάσουν πλεόνασμα ύψους 3 εκατ. ευρώ.</w:t>
      </w:r>
    </w:p>
    <w:p w:rsidR="004618CD" w:rsidRPr="00133ED4" w:rsidRDefault="004618CD" w:rsidP="004618CD">
      <w:pPr>
        <w:contextualSpacing/>
        <w:jc w:val="both"/>
        <w:rPr>
          <w:sz w:val="22"/>
          <w:szCs w:val="22"/>
        </w:rPr>
      </w:pPr>
    </w:p>
    <w:p w:rsidR="004618CD" w:rsidRPr="00133ED4" w:rsidRDefault="004618CD" w:rsidP="004618CD">
      <w:pPr>
        <w:jc w:val="both"/>
        <w:rPr>
          <w:rFonts w:ascii="Arial Narrow" w:hAnsi="Arial Narrow"/>
          <w:b/>
          <w:i/>
          <w:sz w:val="22"/>
          <w:szCs w:val="22"/>
        </w:rPr>
      </w:pPr>
      <w:r w:rsidRPr="00133ED4">
        <w:rPr>
          <w:rFonts w:ascii="Arial Narrow" w:hAnsi="Arial Narrow"/>
          <w:b/>
          <w:i/>
          <w:sz w:val="22"/>
          <w:szCs w:val="22"/>
        </w:rPr>
        <w:t>Υπουργείο Ανάπτυξης και Επενδύσεων</w:t>
      </w:r>
    </w:p>
    <w:p w:rsidR="004618CD" w:rsidRPr="00133ED4" w:rsidRDefault="004618CD" w:rsidP="004618CD">
      <w:pPr>
        <w:autoSpaceDE w:val="0"/>
        <w:autoSpaceDN w:val="0"/>
        <w:adjustRightInd w:val="0"/>
        <w:jc w:val="both"/>
        <w:rPr>
          <w:rFonts w:eastAsia="Calibri"/>
          <w:b/>
          <w:bCs/>
          <w:i/>
          <w:iCs/>
          <w:sz w:val="22"/>
          <w:szCs w:val="22"/>
        </w:rPr>
      </w:pPr>
    </w:p>
    <w:p w:rsidR="004618CD" w:rsidRPr="00133ED4" w:rsidRDefault="004618CD" w:rsidP="004618CD">
      <w:pPr>
        <w:jc w:val="both"/>
        <w:rPr>
          <w:sz w:val="22"/>
          <w:szCs w:val="22"/>
        </w:rPr>
      </w:pPr>
      <w:r w:rsidRPr="00133ED4">
        <w:rPr>
          <w:sz w:val="22"/>
          <w:szCs w:val="22"/>
        </w:rPr>
        <w:t>Στα νομικά πρόσωπα εποπτείας του Υπουργείου, μεταξύ άλλων, περιλαμβάνονται η Ελληνική Αν</w:t>
      </w:r>
      <w:r w:rsidRPr="00133ED4">
        <w:rPr>
          <w:sz w:val="22"/>
          <w:szCs w:val="22"/>
        </w:rPr>
        <w:t>α</w:t>
      </w:r>
      <w:r w:rsidRPr="00133ED4">
        <w:rPr>
          <w:sz w:val="22"/>
          <w:szCs w:val="22"/>
        </w:rPr>
        <w:t>πτυξιακή Τράπεζα ΑΕ, που έχει ως βασικό σκοπό την ενίσχυση της επιχειρηματικότητας, της καιν</w:t>
      </w:r>
      <w:r w:rsidRPr="00133ED4">
        <w:rPr>
          <w:sz w:val="22"/>
          <w:szCs w:val="22"/>
        </w:rPr>
        <w:t>ο</w:t>
      </w:r>
      <w:r w:rsidRPr="00133ED4">
        <w:rPr>
          <w:sz w:val="22"/>
          <w:szCs w:val="22"/>
        </w:rPr>
        <w:t>τομίας και της ανταγωνιστικότητας των επιχειρήσεων και τη διευκόλυνση της πρόσβασης των επιχε</w:t>
      </w:r>
      <w:r w:rsidRPr="00133ED4">
        <w:rPr>
          <w:sz w:val="22"/>
          <w:szCs w:val="22"/>
        </w:rPr>
        <w:t>ι</w:t>
      </w:r>
      <w:r w:rsidRPr="00133ED4">
        <w:rPr>
          <w:sz w:val="22"/>
          <w:szCs w:val="22"/>
        </w:rPr>
        <w:t>ρήσεων σε πηγές χρηματοδότησης, καθώς και η Ελληνική Αναπτυξιακή Τράπεζα Επενδύσεων ΑΕ, με κύριο στόχο την ανάπτυξη της οικονομίας μέσω της συμμετοχής σε επενδυτικά σχήματα, τα οποία θα πρέπει να επενδύουν αποκλειστικά σε μικρές και μικρομεσαίες επιχειρήσεις στην Ελλάδα.</w:t>
      </w:r>
    </w:p>
    <w:p w:rsidR="004618CD" w:rsidRPr="00133ED4" w:rsidRDefault="004618CD" w:rsidP="004618CD">
      <w:pPr>
        <w:jc w:val="both"/>
        <w:rPr>
          <w:sz w:val="22"/>
          <w:szCs w:val="22"/>
        </w:rPr>
      </w:pPr>
    </w:p>
    <w:p w:rsidR="004618CD" w:rsidRPr="00133ED4" w:rsidRDefault="004618CD" w:rsidP="004618CD">
      <w:pPr>
        <w:jc w:val="both"/>
        <w:rPr>
          <w:sz w:val="22"/>
          <w:szCs w:val="22"/>
        </w:rPr>
      </w:pPr>
      <w:r w:rsidRPr="00133ED4">
        <w:rPr>
          <w:sz w:val="22"/>
          <w:szCs w:val="22"/>
        </w:rPr>
        <w:t>Επίσης, στους εποπτευόμενους φορείς του Υπουργείου περιλαμβάνονται ερευνητικοί, τεχνολογικοί φορείς και ειδικοί λογαριασμοί κονδυλίων έρευνας, με βασική αποστολή την ανάπτυξη της έρευνας, την προαγωγή της τεχνολογίας, της καινοτομίας, την ανάπτυξη του ανθρώπινου ερευνητικού δυναμ</w:t>
      </w:r>
      <w:r w:rsidRPr="00133ED4">
        <w:rPr>
          <w:sz w:val="22"/>
          <w:szCs w:val="22"/>
        </w:rPr>
        <w:t>ι</w:t>
      </w:r>
      <w:r w:rsidRPr="00133ED4">
        <w:rPr>
          <w:sz w:val="22"/>
          <w:szCs w:val="22"/>
        </w:rPr>
        <w:t xml:space="preserve">κού και την ενίσχυση των εθνικών υποδομών έρευνας και καινοτομίας. </w:t>
      </w:r>
    </w:p>
    <w:p w:rsidR="004618CD" w:rsidRPr="00133ED4" w:rsidRDefault="004618CD" w:rsidP="004618CD">
      <w:pPr>
        <w:contextualSpacing/>
        <w:jc w:val="both"/>
        <w:rPr>
          <w:sz w:val="22"/>
          <w:szCs w:val="22"/>
        </w:rPr>
      </w:pPr>
    </w:p>
    <w:p w:rsidR="004618CD" w:rsidRPr="00FF133A" w:rsidRDefault="004618CD" w:rsidP="004618CD">
      <w:pPr>
        <w:contextualSpacing/>
        <w:jc w:val="both"/>
        <w:rPr>
          <w:sz w:val="22"/>
          <w:szCs w:val="22"/>
        </w:rPr>
      </w:pPr>
      <w:r w:rsidRPr="00133ED4">
        <w:rPr>
          <w:sz w:val="22"/>
          <w:szCs w:val="22"/>
        </w:rPr>
        <w:t xml:space="preserve">Τα νομικά πρόσωπα του Υπουργείου προβλέπεται να εμφανίσουν το 2021 πλεόνασμα ύψους 51,9 </w:t>
      </w:r>
      <w:r w:rsidRPr="00133ED4">
        <w:rPr>
          <w:sz w:val="22"/>
          <w:szCs w:val="22"/>
        </w:rPr>
        <w:t>ε</w:t>
      </w:r>
      <w:r w:rsidRPr="00133ED4">
        <w:rPr>
          <w:sz w:val="22"/>
          <w:szCs w:val="22"/>
        </w:rPr>
        <w:t>κατ. ευρώ.</w:t>
      </w:r>
    </w:p>
    <w:p w:rsidR="004618CD" w:rsidRDefault="004618CD" w:rsidP="004618CD">
      <w:pPr>
        <w:contextualSpacing/>
        <w:jc w:val="both"/>
        <w:rPr>
          <w:sz w:val="22"/>
          <w:szCs w:val="22"/>
        </w:rPr>
      </w:pPr>
    </w:p>
    <w:p w:rsidR="004618CD" w:rsidRPr="00934877" w:rsidRDefault="004618CD" w:rsidP="004618CD">
      <w:pPr>
        <w:jc w:val="both"/>
        <w:rPr>
          <w:rFonts w:ascii="Arial Narrow" w:hAnsi="Arial Narrow"/>
          <w:b/>
          <w:bCs/>
          <w:i/>
          <w:iCs/>
          <w:sz w:val="22"/>
          <w:szCs w:val="22"/>
        </w:rPr>
      </w:pPr>
      <w:r w:rsidRPr="00934877">
        <w:rPr>
          <w:rFonts w:ascii="Arial Narrow" w:hAnsi="Arial Narrow"/>
          <w:b/>
          <w:bCs/>
          <w:i/>
          <w:iCs/>
          <w:sz w:val="22"/>
          <w:szCs w:val="22"/>
        </w:rPr>
        <w:t>Υπουργείο Υποδομών και Μεταφορών</w:t>
      </w:r>
    </w:p>
    <w:p w:rsidR="004618CD" w:rsidRPr="00934877" w:rsidRDefault="004618CD" w:rsidP="004618CD">
      <w:pPr>
        <w:jc w:val="both"/>
        <w:rPr>
          <w:sz w:val="22"/>
          <w:szCs w:val="22"/>
        </w:rPr>
      </w:pPr>
    </w:p>
    <w:p w:rsidR="004618CD" w:rsidRPr="00934877" w:rsidRDefault="004618CD" w:rsidP="004618CD">
      <w:pPr>
        <w:jc w:val="both"/>
        <w:rPr>
          <w:sz w:val="22"/>
          <w:szCs w:val="22"/>
        </w:rPr>
      </w:pPr>
      <w:r w:rsidRPr="00934877">
        <w:rPr>
          <w:sz w:val="22"/>
          <w:szCs w:val="22"/>
        </w:rPr>
        <w:t>Οι εποπτευόμενοι φορείς του Υπουργείου για το έτος 2021 προβλέπεται να εμφανίσουν πλεόνασμα, ύψους  49,7 εκατ. ευρώ, το οποίο προέρχεται κυρίως από την εταιρεία Κτιριακές Υποδομές (ΚΤΥΠ) ΑΕ, η οποία αποτελεί τον ενιαίο κατασκευαστικό φορέα του Ελληνικού Δημοσίου.</w:t>
      </w:r>
    </w:p>
    <w:p w:rsidR="004618CD" w:rsidRPr="00934877" w:rsidRDefault="004618CD" w:rsidP="004618CD">
      <w:pPr>
        <w:jc w:val="both"/>
        <w:rPr>
          <w:rFonts w:ascii="Arial Narrow" w:hAnsi="Arial Narrow"/>
          <w:b/>
          <w:i/>
          <w:sz w:val="22"/>
          <w:szCs w:val="22"/>
        </w:rPr>
      </w:pPr>
    </w:p>
    <w:p w:rsidR="004618CD" w:rsidRPr="00934877" w:rsidRDefault="004618CD" w:rsidP="004618CD">
      <w:pPr>
        <w:contextualSpacing/>
        <w:jc w:val="both"/>
        <w:rPr>
          <w:rFonts w:ascii="Arial Narrow" w:hAnsi="Arial Narrow"/>
          <w:b/>
          <w:i/>
          <w:sz w:val="22"/>
          <w:szCs w:val="22"/>
        </w:rPr>
      </w:pPr>
      <w:r w:rsidRPr="00934877">
        <w:rPr>
          <w:rFonts w:ascii="Arial Narrow" w:hAnsi="Arial Narrow"/>
          <w:b/>
          <w:i/>
          <w:sz w:val="22"/>
          <w:szCs w:val="22"/>
        </w:rPr>
        <w:t>Υπουργείο Ναυτιλίας και Νησιωτικής Πολιτικής</w:t>
      </w:r>
    </w:p>
    <w:p w:rsidR="004618CD" w:rsidRPr="00934877" w:rsidRDefault="004618CD" w:rsidP="004618CD">
      <w:pPr>
        <w:contextualSpacing/>
        <w:jc w:val="both"/>
        <w:rPr>
          <w:rFonts w:ascii="Arial Narrow" w:hAnsi="Arial Narrow"/>
          <w:b/>
          <w:i/>
          <w:sz w:val="22"/>
          <w:szCs w:val="22"/>
        </w:rPr>
      </w:pPr>
    </w:p>
    <w:p w:rsidR="004618CD" w:rsidRPr="00934877" w:rsidRDefault="004618CD" w:rsidP="004618CD">
      <w:pPr>
        <w:contextualSpacing/>
        <w:jc w:val="both"/>
        <w:rPr>
          <w:sz w:val="22"/>
          <w:szCs w:val="22"/>
        </w:rPr>
      </w:pPr>
      <w:r w:rsidRPr="00934877">
        <w:rPr>
          <w:sz w:val="22"/>
          <w:szCs w:val="22"/>
        </w:rPr>
        <w:t xml:space="preserve">Τα νομικά πρόσωπα εποπτείας του Υπουργείου, στα οποία περιλαμβάνονται Οργανισμοί Λιμένων και Λιμενικά Ταμεία, προβλέπεται να εμφανίσουν το 2021 πλεόνασμα ύψους 4,6 εκατ. ευρώ, το οποίο προέρχεται </w:t>
      </w:r>
      <w:r w:rsidR="001C7C5D">
        <w:rPr>
          <w:sz w:val="22"/>
          <w:szCs w:val="22"/>
        </w:rPr>
        <w:t xml:space="preserve">κυρίως </w:t>
      </w:r>
      <w:r w:rsidRPr="00934877">
        <w:rPr>
          <w:sz w:val="22"/>
          <w:szCs w:val="22"/>
        </w:rPr>
        <w:t>από τους Οργανισμούς Λιμένων. Οι φορείς αυτοί υλοποιούν σημαντικού ύψους επενδυτικά προγράμματα εκσυγχρονισμού και ασφάλειας των εγκαταστάσεών τους, τα οποία χρημ</w:t>
      </w:r>
      <w:r w:rsidRPr="00934877">
        <w:rPr>
          <w:sz w:val="22"/>
          <w:szCs w:val="22"/>
        </w:rPr>
        <w:t>α</w:t>
      </w:r>
      <w:r w:rsidRPr="00934877">
        <w:rPr>
          <w:sz w:val="22"/>
          <w:szCs w:val="22"/>
        </w:rPr>
        <w:t>τοδοτούνται από το πρόγραμμα δημοσίων επενδύσεων και από ίδιους πόρους.</w:t>
      </w:r>
    </w:p>
    <w:p w:rsidR="004618CD" w:rsidRPr="00934877" w:rsidRDefault="004618CD" w:rsidP="004618CD">
      <w:pPr>
        <w:autoSpaceDE w:val="0"/>
        <w:autoSpaceDN w:val="0"/>
        <w:adjustRightInd w:val="0"/>
        <w:jc w:val="both"/>
        <w:rPr>
          <w:sz w:val="22"/>
          <w:szCs w:val="22"/>
        </w:rPr>
      </w:pPr>
    </w:p>
    <w:p w:rsidR="004618CD" w:rsidRPr="00934877" w:rsidRDefault="004618CD" w:rsidP="004618CD">
      <w:pPr>
        <w:autoSpaceDE w:val="0"/>
        <w:autoSpaceDN w:val="0"/>
        <w:adjustRightInd w:val="0"/>
        <w:jc w:val="both"/>
        <w:rPr>
          <w:sz w:val="22"/>
          <w:szCs w:val="22"/>
        </w:rPr>
      </w:pPr>
      <w:r w:rsidRPr="00934877">
        <w:rPr>
          <w:sz w:val="22"/>
          <w:szCs w:val="22"/>
        </w:rPr>
        <w:t>Επίσης, περιλαμβάνεται και η αυτοτελής και ανεξάρτητη υπηρεσιακή μονάδα, Δημόσια Αρχή Λιμ</w:t>
      </w:r>
      <w:r w:rsidRPr="00934877">
        <w:rPr>
          <w:sz w:val="22"/>
          <w:szCs w:val="22"/>
        </w:rPr>
        <w:t>έ</w:t>
      </w:r>
      <w:r w:rsidRPr="00934877">
        <w:rPr>
          <w:sz w:val="22"/>
          <w:szCs w:val="22"/>
        </w:rPr>
        <w:t>νων, που έχει ως βασικό σκοπό την επίτευξη των προγραμματικών στόχων του ελληνικού λιμενικού συστήματος.</w:t>
      </w:r>
    </w:p>
    <w:p w:rsidR="004618CD" w:rsidRPr="00934877" w:rsidRDefault="004618CD" w:rsidP="004618CD">
      <w:pPr>
        <w:jc w:val="both"/>
        <w:rPr>
          <w:rFonts w:ascii="Arial Narrow" w:hAnsi="Arial Narrow"/>
          <w:b/>
          <w:bCs/>
          <w:i/>
          <w:iCs/>
          <w:sz w:val="22"/>
          <w:szCs w:val="22"/>
        </w:rPr>
      </w:pPr>
    </w:p>
    <w:p w:rsidR="004618CD" w:rsidRPr="00934877" w:rsidRDefault="004618CD" w:rsidP="004618CD">
      <w:pPr>
        <w:jc w:val="both"/>
        <w:rPr>
          <w:rFonts w:ascii="Arial Narrow" w:hAnsi="Arial Narrow"/>
          <w:b/>
          <w:bCs/>
          <w:i/>
          <w:iCs/>
          <w:sz w:val="22"/>
          <w:szCs w:val="22"/>
        </w:rPr>
      </w:pPr>
      <w:r w:rsidRPr="00934877">
        <w:rPr>
          <w:rFonts w:ascii="Arial Narrow" w:hAnsi="Arial Narrow"/>
          <w:b/>
          <w:bCs/>
          <w:i/>
          <w:iCs/>
          <w:sz w:val="22"/>
          <w:szCs w:val="22"/>
        </w:rPr>
        <w:t>Υπουργείο Προστασίας του Πολίτη</w:t>
      </w:r>
    </w:p>
    <w:p w:rsidR="004618CD" w:rsidRPr="00934877" w:rsidRDefault="004618CD" w:rsidP="004618CD">
      <w:pPr>
        <w:jc w:val="both"/>
        <w:rPr>
          <w:rFonts w:ascii="Arial Narrow" w:hAnsi="Arial Narrow"/>
          <w:sz w:val="22"/>
          <w:szCs w:val="22"/>
        </w:rPr>
      </w:pPr>
    </w:p>
    <w:p w:rsidR="004618CD" w:rsidRPr="00934877" w:rsidRDefault="004618CD" w:rsidP="004618CD">
      <w:pPr>
        <w:jc w:val="both"/>
        <w:rPr>
          <w:sz w:val="22"/>
          <w:szCs w:val="22"/>
        </w:rPr>
      </w:pPr>
      <w:r w:rsidRPr="00934877">
        <w:rPr>
          <w:sz w:val="22"/>
          <w:szCs w:val="22"/>
        </w:rPr>
        <w:t xml:space="preserve">Το Υπουργείο εποπτεύει το Κέντρο Μελετών Ασφάλειας (ΚΕΜΕΑ) και το Κέντρο Επανένταξης </w:t>
      </w:r>
      <w:r w:rsidRPr="00934877">
        <w:rPr>
          <w:sz w:val="22"/>
          <w:szCs w:val="22"/>
        </w:rPr>
        <w:t>Α</w:t>
      </w:r>
      <w:r w:rsidRPr="00934877">
        <w:rPr>
          <w:sz w:val="22"/>
          <w:szCs w:val="22"/>
        </w:rPr>
        <w:t>ποφυλακιζομένων «ΕΠΑΝΟΔΟΣ», τα οποία αναμένεται να παρουσιάσουν οριακά θετικό αποτέλεσμα το έτος 2021.</w:t>
      </w:r>
    </w:p>
    <w:p w:rsidR="004618CD" w:rsidRDefault="004618CD" w:rsidP="004618CD">
      <w:pPr>
        <w:jc w:val="both"/>
        <w:rPr>
          <w:rFonts w:ascii="Arial Narrow" w:hAnsi="Arial Narrow"/>
          <w:b/>
          <w:i/>
          <w:sz w:val="22"/>
          <w:szCs w:val="22"/>
        </w:rPr>
      </w:pPr>
    </w:p>
    <w:p w:rsidR="00741EF0" w:rsidRPr="00934877" w:rsidRDefault="00741EF0" w:rsidP="004618CD">
      <w:pPr>
        <w:jc w:val="both"/>
        <w:rPr>
          <w:rFonts w:ascii="Arial Narrow" w:hAnsi="Arial Narrow"/>
          <w:b/>
          <w:i/>
          <w:sz w:val="22"/>
          <w:szCs w:val="22"/>
        </w:rPr>
      </w:pPr>
    </w:p>
    <w:p w:rsidR="004618CD" w:rsidRPr="00934877" w:rsidRDefault="004618CD" w:rsidP="004618CD">
      <w:pPr>
        <w:jc w:val="both"/>
        <w:rPr>
          <w:rFonts w:ascii="Arial Narrow" w:hAnsi="Arial Narrow"/>
          <w:b/>
          <w:bCs/>
          <w:i/>
          <w:iCs/>
          <w:sz w:val="22"/>
          <w:szCs w:val="22"/>
        </w:rPr>
      </w:pPr>
      <w:r w:rsidRPr="00934877">
        <w:rPr>
          <w:rFonts w:ascii="Arial Narrow" w:hAnsi="Arial Narrow"/>
          <w:b/>
          <w:bCs/>
          <w:i/>
          <w:iCs/>
          <w:sz w:val="22"/>
          <w:szCs w:val="22"/>
        </w:rPr>
        <w:lastRenderedPageBreak/>
        <w:t>Υπουργείο Ψηφιακής Διακυβέρνησης</w:t>
      </w:r>
    </w:p>
    <w:p w:rsidR="004618CD" w:rsidRPr="00934877" w:rsidRDefault="004618CD" w:rsidP="004618CD">
      <w:pPr>
        <w:jc w:val="both"/>
        <w:rPr>
          <w:sz w:val="22"/>
          <w:szCs w:val="22"/>
        </w:rPr>
      </w:pPr>
    </w:p>
    <w:p w:rsidR="004618CD" w:rsidRPr="00956644" w:rsidRDefault="004618CD" w:rsidP="004618CD">
      <w:pPr>
        <w:jc w:val="both"/>
        <w:rPr>
          <w:sz w:val="22"/>
          <w:szCs w:val="22"/>
        </w:rPr>
      </w:pPr>
      <w:r w:rsidRPr="00934877">
        <w:rPr>
          <w:sz w:val="22"/>
          <w:szCs w:val="22"/>
        </w:rPr>
        <w:t>Το Υπουργείο εποπτεύει,</w:t>
      </w:r>
      <w:r w:rsidRPr="00E3030C">
        <w:rPr>
          <w:sz w:val="22"/>
          <w:szCs w:val="22"/>
        </w:rPr>
        <w:t xml:space="preserve"> </w:t>
      </w:r>
      <w:r w:rsidRPr="00934877">
        <w:rPr>
          <w:sz w:val="22"/>
          <w:szCs w:val="22"/>
        </w:rPr>
        <w:t>το Εθνικό Κέντρο Οπτικοακουστικών Μέσων και Ενημέρωσης (ΕΚΟΜΕ) ΑΕ, που λειτουργεί ως φορέας ανάπτυξης της βιομηχανίας των οπτικοακουστικών μέσων, της επιστ</w:t>
      </w:r>
      <w:r w:rsidRPr="00934877">
        <w:rPr>
          <w:sz w:val="22"/>
          <w:szCs w:val="22"/>
        </w:rPr>
        <w:t>η</w:t>
      </w:r>
      <w:r w:rsidRPr="00934877">
        <w:rPr>
          <w:sz w:val="22"/>
          <w:szCs w:val="22"/>
        </w:rPr>
        <w:t xml:space="preserve">μονικής έρευνας, μελέτης και προώθησης νέων τεχνολογιών, το Εθνικό Κέντρο Τεκμηρίωσης και </w:t>
      </w:r>
      <w:r w:rsidRPr="00934877">
        <w:rPr>
          <w:sz w:val="22"/>
          <w:szCs w:val="22"/>
        </w:rPr>
        <w:t>Η</w:t>
      </w:r>
      <w:r w:rsidRPr="00934877">
        <w:rPr>
          <w:sz w:val="22"/>
          <w:szCs w:val="22"/>
        </w:rPr>
        <w:t>λεκτρονικού Περιεχομένου (ΕΚΤ), με θεσμικό ρόλο τη συλλογή, συσσώρευση, οργάνωση, τεκμηρί</w:t>
      </w:r>
      <w:r w:rsidRPr="00934877">
        <w:rPr>
          <w:sz w:val="22"/>
          <w:szCs w:val="22"/>
        </w:rPr>
        <w:t>ω</w:t>
      </w:r>
      <w:r w:rsidRPr="00934877">
        <w:rPr>
          <w:sz w:val="22"/>
          <w:szCs w:val="22"/>
        </w:rPr>
        <w:t xml:space="preserve">ση, διάχυση εντός και εκτός της χώρας και την ψηφιακή διατήρηση της επιστημονικής, τεχνολογικής και πολιτιστικής πληροφορίας που παράγεται στην Ελλάδα, καθώς και το Εθνικό Δίκτυο Υποδομών Τεχνολογίας και Έρευνας (ΕΔΥΤΕ) ΑΕ, το οποίο παρέχει δικτυακές και υπολογιστικές υπηρεσίες σε ακαδημαϊκά και ερευνητικά ιδρύματα, σε φορείς της εκπαίδευσης όλων των βαθμίδων και σε φορείς του δημόσιου, ευρύτερου δημόσιου και ιδιωτικού τομέα.  </w:t>
      </w:r>
    </w:p>
    <w:p w:rsidR="004618CD" w:rsidRPr="00956644" w:rsidRDefault="004618CD" w:rsidP="004618CD">
      <w:pPr>
        <w:jc w:val="both"/>
        <w:rPr>
          <w:sz w:val="22"/>
          <w:szCs w:val="22"/>
        </w:rPr>
      </w:pPr>
    </w:p>
    <w:p w:rsidR="004618CD" w:rsidRPr="008B4564" w:rsidRDefault="004618CD" w:rsidP="004618CD">
      <w:pPr>
        <w:jc w:val="both"/>
        <w:rPr>
          <w:sz w:val="22"/>
          <w:szCs w:val="22"/>
        </w:rPr>
      </w:pPr>
      <w:r w:rsidRPr="00934877">
        <w:rPr>
          <w:sz w:val="22"/>
          <w:szCs w:val="22"/>
        </w:rPr>
        <w:t>Το έτος 2020 ταξινομήθηκε στη γενική κυβέρνηση η Ηλεκτρονική Διακυβέρνηση Κοινωνικής Ασφ</w:t>
      </w:r>
      <w:r w:rsidRPr="00934877">
        <w:rPr>
          <w:sz w:val="22"/>
          <w:szCs w:val="22"/>
        </w:rPr>
        <w:t>ά</w:t>
      </w:r>
      <w:r w:rsidRPr="00934877">
        <w:rPr>
          <w:sz w:val="22"/>
          <w:szCs w:val="22"/>
        </w:rPr>
        <w:t>λισης (ΗΔΙΚΑ) ΑΕ, η οποία υποστηρίζει την αποτελεσματική λειτουργία των φορέων κοινωνικής ασφάλισης και παροχής υγείας και την εξυπηρέτηση των πολιτών, μέσω της παροχής σύγχρονων ηλ</w:t>
      </w:r>
      <w:r w:rsidRPr="00934877">
        <w:rPr>
          <w:sz w:val="22"/>
          <w:szCs w:val="22"/>
        </w:rPr>
        <w:t>ε</w:t>
      </w:r>
      <w:r w:rsidRPr="00934877">
        <w:rPr>
          <w:sz w:val="22"/>
          <w:szCs w:val="22"/>
        </w:rPr>
        <w:t>κτρονικών υπηρεσιών</w:t>
      </w:r>
      <w:r w:rsidR="00003F8A">
        <w:rPr>
          <w:sz w:val="22"/>
          <w:szCs w:val="22"/>
        </w:rPr>
        <w:t>,</w:t>
      </w:r>
      <w:r w:rsidRPr="00934877">
        <w:rPr>
          <w:sz w:val="22"/>
          <w:szCs w:val="22"/>
        </w:rPr>
        <w:t xml:space="preserve"> καθώς και το Ελληνικό Κέντρο Διαστήματος (ΕΛΚΕΔ), με βασικό σκοπό</w:t>
      </w:r>
      <w:r w:rsidRPr="000415D9">
        <w:rPr>
          <w:sz w:val="22"/>
          <w:szCs w:val="22"/>
        </w:rPr>
        <w:t xml:space="preserve"> </w:t>
      </w:r>
      <w:r w:rsidRPr="00934877">
        <w:rPr>
          <w:sz w:val="22"/>
          <w:szCs w:val="22"/>
        </w:rPr>
        <w:t xml:space="preserve">τη διαμόρφωση στρατηγικής στον τομέα του διαστήματος. </w:t>
      </w:r>
    </w:p>
    <w:p w:rsidR="004618CD" w:rsidRPr="008B4564" w:rsidRDefault="004618CD" w:rsidP="004618CD">
      <w:pPr>
        <w:jc w:val="both"/>
        <w:rPr>
          <w:sz w:val="22"/>
          <w:szCs w:val="22"/>
        </w:rPr>
      </w:pPr>
    </w:p>
    <w:p w:rsidR="004618CD" w:rsidRPr="00934877" w:rsidRDefault="004618CD" w:rsidP="004618CD">
      <w:pPr>
        <w:jc w:val="both"/>
        <w:rPr>
          <w:sz w:val="22"/>
          <w:szCs w:val="22"/>
        </w:rPr>
      </w:pPr>
      <w:r w:rsidRPr="00934877">
        <w:rPr>
          <w:sz w:val="22"/>
          <w:szCs w:val="22"/>
        </w:rPr>
        <w:t xml:space="preserve">Οι </w:t>
      </w:r>
      <w:r w:rsidR="00985591">
        <w:rPr>
          <w:sz w:val="22"/>
          <w:szCs w:val="22"/>
        </w:rPr>
        <w:t xml:space="preserve">εποπτευόμενοι </w:t>
      </w:r>
      <w:r w:rsidRPr="00934877">
        <w:rPr>
          <w:sz w:val="22"/>
          <w:szCs w:val="22"/>
        </w:rPr>
        <w:t xml:space="preserve">φορείς </w:t>
      </w:r>
      <w:r w:rsidR="00985591">
        <w:rPr>
          <w:sz w:val="22"/>
          <w:szCs w:val="22"/>
        </w:rPr>
        <w:t>τ</w:t>
      </w:r>
      <w:r w:rsidR="008D2719">
        <w:rPr>
          <w:sz w:val="22"/>
          <w:szCs w:val="22"/>
        </w:rPr>
        <w:t>ου</w:t>
      </w:r>
      <w:r w:rsidR="00985591">
        <w:rPr>
          <w:sz w:val="22"/>
          <w:szCs w:val="22"/>
        </w:rPr>
        <w:t xml:space="preserve"> εν λόγω Υπουργεί</w:t>
      </w:r>
      <w:r w:rsidR="008D2719">
        <w:rPr>
          <w:sz w:val="22"/>
          <w:szCs w:val="22"/>
        </w:rPr>
        <w:t>ου</w:t>
      </w:r>
      <w:r w:rsidR="00985591">
        <w:rPr>
          <w:sz w:val="22"/>
          <w:szCs w:val="22"/>
        </w:rPr>
        <w:t xml:space="preserve"> </w:t>
      </w:r>
      <w:r w:rsidRPr="00934877">
        <w:rPr>
          <w:sz w:val="22"/>
          <w:szCs w:val="22"/>
        </w:rPr>
        <w:t>προβλέπεται να εμφανίσουν το 2021 πλεόνασμα ύψους 0,4 εκατ. ευρώ.</w:t>
      </w:r>
    </w:p>
    <w:p w:rsidR="00CD41E5" w:rsidRPr="00003AAC" w:rsidRDefault="00CD41E5" w:rsidP="00CD41E5">
      <w:pPr>
        <w:jc w:val="both"/>
        <w:rPr>
          <w:sz w:val="22"/>
          <w:szCs w:val="22"/>
        </w:rPr>
      </w:pPr>
    </w:p>
    <w:p w:rsidR="00CD41E5" w:rsidRPr="00DC4825" w:rsidRDefault="00CD41E5" w:rsidP="00CD41E5">
      <w:pPr>
        <w:keepNext/>
        <w:jc w:val="both"/>
        <w:outlineLvl w:val="4"/>
        <w:rPr>
          <w:rFonts w:ascii="Arial Narrow" w:hAnsi="Arial Narrow"/>
          <w:b/>
          <w:bCs/>
          <w:color w:val="000080"/>
          <w:szCs w:val="22"/>
        </w:rPr>
      </w:pPr>
      <w:r w:rsidRPr="00DC4825">
        <w:rPr>
          <w:rFonts w:ascii="Arial Narrow" w:hAnsi="Arial Narrow"/>
          <w:b/>
          <w:bCs/>
          <w:color w:val="000080"/>
          <w:szCs w:val="22"/>
        </w:rPr>
        <w:t>Ανεξάρτητες Διοικητικές Αρχές (ΑΔΑ)</w:t>
      </w:r>
    </w:p>
    <w:p w:rsidR="00CD41E5" w:rsidRDefault="00CD41E5" w:rsidP="00CD41E5">
      <w:pPr>
        <w:jc w:val="both"/>
        <w:rPr>
          <w:sz w:val="22"/>
          <w:szCs w:val="22"/>
        </w:rPr>
      </w:pPr>
    </w:p>
    <w:p w:rsidR="00CD41E5" w:rsidRPr="00DC4825" w:rsidRDefault="00CD41E5" w:rsidP="00FD0022">
      <w:pPr>
        <w:jc w:val="both"/>
        <w:rPr>
          <w:sz w:val="22"/>
          <w:szCs w:val="22"/>
        </w:rPr>
      </w:pPr>
      <w:r w:rsidRPr="00DC4825">
        <w:rPr>
          <w:sz w:val="22"/>
          <w:szCs w:val="22"/>
        </w:rPr>
        <w:t>Στο ισοζύγιο των νομικών προσώπων</w:t>
      </w:r>
      <w:r w:rsidRPr="005F5DB0">
        <w:rPr>
          <w:sz w:val="22"/>
          <w:szCs w:val="22"/>
        </w:rPr>
        <w:t xml:space="preserve"> </w:t>
      </w:r>
      <w:r w:rsidRPr="00D56DCA">
        <w:rPr>
          <w:sz w:val="22"/>
          <w:szCs w:val="22"/>
        </w:rPr>
        <w:t xml:space="preserve">της </w:t>
      </w:r>
      <w:r>
        <w:rPr>
          <w:sz w:val="22"/>
          <w:szCs w:val="22"/>
        </w:rPr>
        <w:t>Κεντρικής</w:t>
      </w:r>
      <w:r w:rsidRPr="00D56DCA">
        <w:rPr>
          <w:sz w:val="22"/>
          <w:szCs w:val="22"/>
        </w:rPr>
        <w:t xml:space="preserve"> Κυβέρνησης</w:t>
      </w:r>
      <w:r w:rsidRPr="00DC4825">
        <w:rPr>
          <w:sz w:val="22"/>
          <w:szCs w:val="22"/>
        </w:rPr>
        <w:t xml:space="preserve"> συμπεριλαμβάνεται και το αποτ</w:t>
      </w:r>
      <w:r w:rsidRPr="00DC4825">
        <w:rPr>
          <w:sz w:val="22"/>
          <w:szCs w:val="22"/>
        </w:rPr>
        <w:t>έ</w:t>
      </w:r>
      <w:r w:rsidRPr="00DC4825">
        <w:rPr>
          <w:sz w:val="22"/>
          <w:szCs w:val="22"/>
        </w:rPr>
        <w:t>λεσμα των Ανεξ</w:t>
      </w:r>
      <w:r>
        <w:rPr>
          <w:sz w:val="22"/>
          <w:szCs w:val="22"/>
        </w:rPr>
        <w:t>άρτητων Διοικητικών Αρχών (ΑΔΑ)</w:t>
      </w:r>
      <w:r w:rsidRPr="00DC4825">
        <w:rPr>
          <w:sz w:val="22"/>
          <w:szCs w:val="22"/>
        </w:rPr>
        <w:t xml:space="preserve"> που έχουν νομική προσωπικότητα και είναι οι ακόλουθες:</w:t>
      </w:r>
    </w:p>
    <w:p w:rsidR="00CD41E5" w:rsidRDefault="00CD41E5" w:rsidP="00FD0022">
      <w:pPr>
        <w:jc w:val="both"/>
        <w:rPr>
          <w:sz w:val="22"/>
          <w:szCs w:val="22"/>
        </w:rPr>
      </w:pPr>
    </w:p>
    <w:p w:rsidR="002C719D" w:rsidRPr="00440447" w:rsidRDefault="002C719D" w:rsidP="002C719D">
      <w:pPr>
        <w:contextualSpacing/>
        <w:jc w:val="both"/>
        <w:rPr>
          <w:rFonts w:ascii="Arial Narrow" w:hAnsi="Arial Narrow"/>
          <w:b/>
          <w:i/>
          <w:sz w:val="22"/>
          <w:szCs w:val="22"/>
        </w:rPr>
      </w:pPr>
      <w:r w:rsidRPr="00440447">
        <w:rPr>
          <w:rFonts w:ascii="Arial Narrow" w:hAnsi="Arial Narrow"/>
          <w:b/>
          <w:i/>
          <w:sz w:val="22"/>
          <w:szCs w:val="22"/>
        </w:rPr>
        <w:t xml:space="preserve">Αρχή </w:t>
      </w:r>
      <w:r>
        <w:rPr>
          <w:rFonts w:ascii="Arial Narrow" w:hAnsi="Arial Narrow"/>
          <w:b/>
          <w:i/>
          <w:sz w:val="22"/>
          <w:szCs w:val="22"/>
        </w:rPr>
        <w:t>Εξέτασης Προδικαστικών Προσφυγών</w:t>
      </w:r>
      <w:r w:rsidRPr="00440447">
        <w:rPr>
          <w:rFonts w:ascii="Arial Narrow" w:hAnsi="Arial Narrow"/>
          <w:b/>
          <w:i/>
          <w:sz w:val="22"/>
          <w:szCs w:val="22"/>
        </w:rPr>
        <w:t xml:space="preserve"> (</w:t>
      </w:r>
      <w:r>
        <w:rPr>
          <w:rFonts w:ascii="Arial Narrow" w:hAnsi="Arial Narrow"/>
          <w:b/>
          <w:i/>
          <w:sz w:val="22"/>
          <w:szCs w:val="22"/>
        </w:rPr>
        <w:t>ΑΕΠΠ</w:t>
      </w:r>
      <w:r w:rsidRPr="00440447">
        <w:rPr>
          <w:rFonts w:ascii="Arial Narrow" w:hAnsi="Arial Narrow"/>
          <w:b/>
          <w:i/>
          <w:sz w:val="22"/>
          <w:szCs w:val="22"/>
        </w:rPr>
        <w:t>)</w:t>
      </w:r>
    </w:p>
    <w:p w:rsidR="002C719D" w:rsidRPr="00E01F3C" w:rsidRDefault="002C719D" w:rsidP="002C719D">
      <w:pPr>
        <w:jc w:val="both"/>
        <w:rPr>
          <w:sz w:val="22"/>
          <w:szCs w:val="22"/>
        </w:rPr>
      </w:pPr>
    </w:p>
    <w:p w:rsidR="002C719D" w:rsidRDefault="002C719D" w:rsidP="002C719D">
      <w:pPr>
        <w:contextualSpacing/>
        <w:jc w:val="both"/>
        <w:rPr>
          <w:sz w:val="22"/>
          <w:szCs w:val="22"/>
        </w:rPr>
      </w:pPr>
      <w:r w:rsidRPr="002C719D">
        <w:rPr>
          <w:sz w:val="22"/>
          <w:szCs w:val="22"/>
        </w:rPr>
        <w:t xml:space="preserve">Η </w:t>
      </w:r>
      <w:r>
        <w:rPr>
          <w:sz w:val="22"/>
          <w:szCs w:val="22"/>
        </w:rPr>
        <w:t xml:space="preserve">Αρχή Εξέτασης Προδικαστικών Προσφυγών έχει ως αποστολή την επίλυση των διαφορών που </w:t>
      </w:r>
      <w:r>
        <w:rPr>
          <w:sz w:val="22"/>
          <w:szCs w:val="22"/>
        </w:rPr>
        <w:t>α</w:t>
      </w:r>
      <w:r>
        <w:rPr>
          <w:sz w:val="22"/>
          <w:szCs w:val="22"/>
        </w:rPr>
        <w:t>νακύπτουν κατά το στάδιο που προηγείται της σύναψης των συμβάσεων δημοσίων έργων, προμ</w:t>
      </w:r>
      <w:r>
        <w:rPr>
          <w:sz w:val="22"/>
          <w:szCs w:val="22"/>
        </w:rPr>
        <w:t>η</w:t>
      </w:r>
      <w:r>
        <w:rPr>
          <w:sz w:val="22"/>
          <w:szCs w:val="22"/>
        </w:rPr>
        <w:t>θειών και υπηρεσιών ύστερα από την άσκηση προδικαστικής προσφυγής.</w:t>
      </w:r>
    </w:p>
    <w:p w:rsidR="002C719D" w:rsidRPr="002C719D" w:rsidRDefault="002C719D" w:rsidP="002C719D">
      <w:pPr>
        <w:contextualSpacing/>
        <w:jc w:val="both"/>
        <w:rPr>
          <w:sz w:val="22"/>
          <w:szCs w:val="22"/>
        </w:rPr>
      </w:pPr>
      <w:r>
        <w:rPr>
          <w:sz w:val="22"/>
          <w:szCs w:val="22"/>
        </w:rPr>
        <w:t>Ο προϋπολογισμός της Αρχ</w:t>
      </w:r>
      <w:r w:rsidR="00DB264B">
        <w:rPr>
          <w:sz w:val="22"/>
          <w:szCs w:val="22"/>
        </w:rPr>
        <w:t>ής για το 2021</w:t>
      </w:r>
      <w:r>
        <w:rPr>
          <w:sz w:val="22"/>
          <w:szCs w:val="22"/>
        </w:rPr>
        <w:t xml:space="preserve"> προβλέπεται να είναι ισοσκελισμένος.</w:t>
      </w:r>
    </w:p>
    <w:p w:rsidR="002C719D" w:rsidRDefault="002C719D" w:rsidP="00FD0022">
      <w:pPr>
        <w:jc w:val="both"/>
        <w:rPr>
          <w:sz w:val="22"/>
          <w:szCs w:val="22"/>
        </w:rPr>
      </w:pPr>
    </w:p>
    <w:p w:rsidR="00CD41E5" w:rsidRPr="00440447" w:rsidRDefault="00CD41E5" w:rsidP="00FD0022">
      <w:pPr>
        <w:contextualSpacing/>
        <w:jc w:val="both"/>
        <w:rPr>
          <w:rFonts w:ascii="Arial Narrow" w:hAnsi="Arial Narrow"/>
          <w:b/>
          <w:i/>
          <w:sz w:val="22"/>
          <w:szCs w:val="22"/>
        </w:rPr>
      </w:pPr>
      <w:r w:rsidRPr="00440447">
        <w:rPr>
          <w:rFonts w:ascii="Arial Narrow" w:hAnsi="Arial Narrow"/>
          <w:b/>
          <w:i/>
          <w:sz w:val="22"/>
          <w:szCs w:val="22"/>
        </w:rPr>
        <w:t>Εθνική Αναλογιστική Αρχή (ΕΑΑ)</w:t>
      </w:r>
    </w:p>
    <w:p w:rsidR="00CD41E5" w:rsidRPr="00440447" w:rsidRDefault="00CD41E5" w:rsidP="00FD0022">
      <w:pPr>
        <w:jc w:val="both"/>
      </w:pPr>
    </w:p>
    <w:p w:rsidR="00CD41E5" w:rsidRPr="00440447" w:rsidRDefault="00CD41E5" w:rsidP="00FD0022">
      <w:pPr>
        <w:jc w:val="both"/>
        <w:rPr>
          <w:sz w:val="22"/>
          <w:szCs w:val="22"/>
        </w:rPr>
      </w:pPr>
      <w:r w:rsidRPr="00440447">
        <w:rPr>
          <w:sz w:val="22"/>
          <w:szCs w:val="22"/>
        </w:rPr>
        <w:t>Η Εθνική Αναλογιστική Αρχή έχει ως βασική αποστολή την εξασφάλιση της βιωσιμότητας και της κοινωνικής ανταποδοτικότητας του Συστήματος Κοινωνικής Ασφάλισης. Στις αρμοδιότητές της σ</w:t>
      </w:r>
      <w:r w:rsidRPr="00440447">
        <w:rPr>
          <w:sz w:val="22"/>
          <w:szCs w:val="22"/>
        </w:rPr>
        <w:t>υ</w:t>
      </w:r>
      <w:r w:rsidRPr="00440447">
        <w:rPr>
          <w:sz w:val="22"/>
          <w:szCs w:val="22"/>
        </w:rPr>
        <w:t>γκαταλέγονται η σύνταξη αναλογιστικών εκθέσεων αναφορικά με τη βιωσιμότητα του ασφαλιστικού συστήματος, ο καθορισμός των προδιαγραφών των αναλογιστικών μελετών, ο έλεγχος της οικονομ</w:t>
      </w:r>
      <w:r w:rsidRPr="00440447">
        <w:rPr>
          <w:sz w:val="22"/>
          <w:szCs w:val="22"/>
        </w:rPr>
        <w:t>ι</w:t>
      </w:r>
      <w:r w:rsidRPr="00440447">
        <w:rPr>
          <w:sz w:val="22"/>
          <w:szCs w:val="22"/>
        </w:rPr>
        <w:t>κής λειτουργίας και βιωσιμότητας των ταμείων επαγγελματικής ασφάλισης αναφορικά με το πρ</w:t>
      </w:r>
      <w:r w:rsidRPr="00440447">
        <w:rPr>
          <w:sz w:val="22"/>
          <w:szCs w:val="22"/>
        </w:rPr>
        <w:t>ό</w:t>
      </w:r>
      <w:r w:rsidRPr="00440447">
        <w:rPr>
          <w:sz w:val="22"/>
          <w:szCs w:val="22"/>
        </w:rPr>
        <w:t xml:space="preserve">γραμμα παροχών και επενδύσεων, καθώς και η γνωμοδότηση για ειδικότερα θέματα αναλογιστικής αποτίμησης ασφαλιστικών οργανισμών. </w:t>
      </w:r>
    </w:p>
    <w:p w:rsidR="00CD41E5" w:rsidRPr="00440447" w:rsidRDefault="00CD41E5" w:rsidP="00FD0022">
      <w:pPr>
        <w:jc w:val="both"/>
        <w:rPr>
          <w:sz w:val="22"/>
          <w:szCs w:val="22"/>
        </w:rPr>
      </w:pPr>
      <w:r w:rsidRPr="00440447">
        <w:rPr>
          <w:sz w:val="22"/>
          <w:szCs w:val="22"/>
        </w:rPr>
        <w:t>Για το έτος 2021 η Αρχή προβλέπεται να παρουσιάσει πλεόνασμα ύψους 0,6 εκατ. ευρώ.</w:t>
      </w:r>
    </w:p>
    <w:p w:rsidR="00CD41E5" w:rsidRPr="00440447" w:rsidRDefault="00CD41E5" w:rsidP="00FD0022">
      <w:pPr>
        <w:jc w:val="both"/>
        <w:rPr>
          <w:sz w:val="22"/>
          <w:szCs w:val="22"/>
        </w:rPr>
      </w:pPr>
    </w:p>
    <w:p w:rsidR="00CD41E5" w:rsidRPr="00440447" w:rsidRDefault="00CD41E5" w:rsidP="00FD0022">
      <w:pPr>
        <w:contextualSpacing/>
        <w:jc w:val="both"/>
        <w:rPr>
          <w:rFonts w:ascii="Arial Narrow" w:hAnsi="Arial Narrow"/>
          <w:b/>
          <w:i/>
          <w:sz w:val="22"/>
          <w:szCs w:val="22"/>
        </w:rPr>
      </w:pPr>
      <w:r w:rsidRPr="00440447">
        <w:rPr>
          <w:rFonts w:ascii="Arial Narrow" w:hAnsi="Arial Narrow"/>
          <w:b/>
          <w:i/>
          <w:sz w:val="22"/>
          <w:szCs w:val="22"/>
        </w:rPr>
        <w:t xml:space="preserve">Εθνική Επιτροπή Τηλεπικοινωνιών και Ταχυδρομείων (EETT) </w:t>
      </w:r>
    </w:p>
    <w:p w:rsidR="00CD41E5" w:rsidRPr="00440447" w:rsidRDefault="00CD41E5" w:rsidP="00FD0022">
      <w:pPr>
        <w:jc w:val="both"/>
        <w:rPr>
          <w:sz w:val="22"/>
          <w:szCs w:val="22"/>
        </w:rPr>
      </w:pPr>
    </w:p>
    <w:p w:rsidR="00CD41E5" w:rsidRPr="00440447" w:rsidRDefault="00CD41E5" w:rsidP="00FD0022">
      <w:pPr>
        <w:jc w:val="both"/>
        <w:rPr>
          <w:sz w:val="22"/>
          <w:szCs w:val="22"/>
        </w:rPr>
      </w:pPr>
      <w:r w:rsidRPr="00440447">
        <w:rPr>
          <w:sz w:val="22"/>
          <w:szCs w:val="22"/>
        </w:rPr>
        <w:t>Η Εθνική Επιτροπή Τηλεπικοινωνιών και Ταχυδρομείων αποτελεί τον εθνικό ρυθμιστή που εποπτεύει και ελέγχει την αγορά ηλεκτρονικών επικοινωνιών, στην οποία δραστηριοποιούνται οι εταιρείες στ</w:t>
      </w:r>
      <w:r w:rsidRPr="00440447">
        <w:rPr>
          <w:sz w:val="22"/>
          <w:szCs w:val="22"/>
        </w:rPr>
        <w:t>α</w:t>
      </w:r>
      <w:r w:rsidRPr="00440447">
        <w:rPr>
          <w:sz w:val="22"/>
          <w:szCs w:val="22"/>
        </w:rPr>
        <w:t>θερής και κινητής τηλεφωνίας, ασύρματων επικοινωνιών και διαδικτύου, καθώς και την ταχυδρομική αγορά στην οποία δραστηριοποιούνται οι εταιρείες παροχής ταχυδρομικών υπηρεσιών και υπηρεσιών ταχυμεταφοράς. Επιπλέον, η Αρχή ασκεί αρμοδιότητες για τις συνθήκες ανταγωνισμού στις εν λόγω αγορές.</w:t>
      </w:r>
    </w:p>
    <w:p w:rsidR="00CD41E5" w:rsidRPr="00462B01" w:rsidRDefault="00CD41E5" w:rsidP="00FD0022">
      <w:pPr>
        <w:jc w:val="both"/>
        <w:rPr>
          <w:sz w:val="22"/>
          <w:szCs w:val="22"/>
        </w:rPr>
      </w:pPr>
      <w:r w:rsidRPr="006C132E">
        <w:rPr>
          <w:sz w:val="22"/>
          <w:szCs w:val="22"/>
        </w:rPr>
        <w:lastRenderedPageBreak/>
        <w:t>Για το έτος 2020 εκτιμάται ότι η Αρχή θα εμφανίσει έλλειμμα ύψους 11 εκατ. ευρώ</w:t>
      </w:r>
      <w:r w:rsidR="00003F8A">
        <w:rPr>
          <w:sz w:val="22"/>
          <w:szCs w:val="22"/>
        </w:rPr>
        <w:t>,</w:t>
      </w:r>
      <w:r w:rsidRPr="006C132E">
        <w:rPr>
          <w:sz w:val="22"/>
          <w:szCs w:val="22"/>
        </w:rPr>
        <w:t xml:space="preserve"> ενώ για το 2021 προβλέπεται θετικό αποτέλεσμα ύψους 1,7 εκατ. ευρώ. Η βελτίωση του αποτελέσματος της Αρχής οφείλεται κυρίως στην απόδοση χαμηλότερου μερίσματος στον κρατικό προϋπολογισμό.</w:t>
      </w:r>
    </w:p>
    <w:p w:rsidR="00741EF0" w:rsidRPr="00462B01" w:rsidRDefault="00741EF0" w:rsidP="00FD0022">
      <w:pPr>
        <w:jc w:val="both"/>
        <w:rPr>
          <w:sz w:val="22"/>
          <w:szCs w:val="22"/>
        </w:rPr>
      </w:pPr>
    </w:p>
    <w:p w:rsidR="00CD41E5" w:rsidRPr="00440447" w:rsidRDefault="00CD41E5" w:rsidP="00FD0022">
      <w:pPr>
        <w:contextualSpacing/>
        <w:jc w:val="both"/>
        <w:rPr>
          <w:rFonts w:ascii="Arial Narrow" w:hAnsi="Arial Narrow"/>
          <w:b/>
          <w:i/>
          <w:sz w:val="22"/>
          <w:szCs w:val="22"/>
        </w:rPr>
      </w:pPr>
      <w:r w:rsidRPr="00440447">
        <w:rPr>
          <w:rFonts w:ascii="Arial Narrow" w:hAnsi="Arial Narrow"/>
          <w:b/>
          <w:i/>
          <w:sz w:val="22"/>
          <w:szCs w:val="22"/>
        </w:rPr>
        <w:t>Ελληνική Στατιστική Αρχή (ΕΛΣΤΑΤ)</w:t>
      </w:r>
    </w:p>
    <w:p w:rsidR="00CD41E5" w:rsidRPr="00440447" w:rsidRDefault="00CD41E5" w:rsidP="00FD0022">
      <w:pPr>
        <w:jc w:val="both"/>
        <w:rPr>
          <w:sz w:val="22"/>
          <w:szCs w:val="22"/>
        </w:rPr>
      </w:pPr>
    </w:p>
    <w:p w:rsidR="00CD41E5" w:rsidRPr="00440447" w:rsidRDefault="00CD41E5" w:rsidP="00FD0022">
      <w:pPr>
        <w:jc w:val="both"/>
        <w:rPr>
          <w:sz w:val="22"/>
          <w:szCs w:val="22"/>
        </w:rPr>
      </w:pPr>
      <w:r w:rsidRPr="00440447">
        <w:rPr>
          <w:sz w:val="22"/>
          <w:szCs w:val="22"/>
        </w:rPr>
        <w:t>Η Ελληνική Στατιστική Αρχή έχει ως σκοπό τη συστηματική παραγωγή επίσημων στατιστικών, κ</w:t>
      </w:r>
      <w:r w:rsidRPr="00440447">
        <w:rPr>
          <w:sz w:val="22"/>
          <w:szCs w:val="22"/>
        </w:rPr>
        <w:t>α</w:t>
      </w:r>
      <w:r w:rsidRPr="00440447">
        <w:rPr>
          <w:sz w:val="22"/>
          <w:szCs w:val="22"/>
        </w:rPr>
        <w:t>θώς και τη διενέργεια επιστημονικών ερευνών και την κατάρτιση μελετών, οι οποίες αφορούν όλους τους τομείς της δραστηριότητας του δημόσιου και του ιδιωτικού τομέα, υποστηρίζουν τη διαδικασία λήψης αποφάσεων, χάραξης και αξιολόγησης πολιτικών της Κυβέρνησης και των φορέων του Δημ</w:t>
      </w:r>
      <w:r w:rsidRPr="00440447">
        <w:rPr>
          <w:sz w:val="22"/>
          <w:szCs w:val="22"/>
        </w:rPr>
        <w:t>ο</w:t>
      </w:r>
      <w:r w:rsidRPr="00440447">
        <w:rPr>
          <w:sz w:val="22"/>
          <w:szCs w:val="22"/>
        </w:rPr>
        <w:t>σίου, υποβάλλονται σε διεθνείς φορείς σύμφωνα με τις υποχρεώσεις της χώρας και αφορούν στο γεν</w:t>
      </w:r>
      <w:r w:rsidRPr="00440447">
        <w:rPr>
          <w:sz w:val="22"/>
          <w:szCs w:val="22"/>
        </w:rPr>
        <w:t>ι</w:t>
      </w:r>
      <w:r w:rsidRPr="00440447">
        <w:rPr>
          <w:sz w:val="22"/>
          <w:szCs w:val="22"/>
        </w:rPr>
        <w:t>κό κοινό ή σε κατηγορίες χρηστών στατιστικών στοιχείων στο εσωτερικό ή στο εξωτερικό.</w:t>
      </w:r>
    </w:p>
    <w:p w:rsidR="00CD41E5" w:rsidRPr="00440447" w:rsidRDefault="00CD41E5" w:rsidP="00FD0022">
      <w:pPr>
        <w:jc w:val="both"/>
        <w:rPr>
          <w:sz w:val="22"/>
          <w:szCs w:val="22"/>
        </w:rPr>
      </w:pPr>
      <w:r w:rsidRPr="006C132E">
        <w:rPr>
          <w:sz w:val="22"/>
          <w:szCs w:val="22"/>
        </w:rPr>
        <w:t>Ο προϋπολογισμός της Αρχής για το 2021 προβλέπεται να είναι ισοσκελισμένος.</w:t>
      </w:r>
    </w:p>
    <w:p w:rsidR="00FB60E3" w:rsidRPr="00440447" w:rsidRDefault="00FB60E3" w:rsidP="00FD0022">
      <w:pPr>
        <w:contextualSpacing/>
        <w:jc w:val="both"/>
        <w:rPr>
          <w:rFonts w:ascii="Arial Narrow" w:hAnsi="Arial Narrow"/>
          <w:b/>
          <w:i/>
          <w:sz w:val="22"/>
          <w:szCs w:val="22"/>
        </w:rPr>
      </w:pPr>
    </w:p>
    <w:p w:rsidR="00CD41E5" w:rsidRPr="00440447" w:rsidRDefault="00CD41E5" w:rsidP="00FD0022">
      <w:pPr>
        <w:contextualSpacing/>
        <w:jc w:val="both"/>
        <w:rPr>
          <w:rFonts w:ascii="Arial Narrow" w:hAnsi="Arial Narrow"/>
          <w:b/>
          <w:i/>
          <w:sz w:val="22"/>
          <w:szCs w:val="22"/>
        </w:rPr>
      </w:pPr>
      <w:r w:rsidRPr="00440447">
        <w:rPr>
          <w:rFonts w:ascii="Arial Narrow" w:hAnsi="Arial Narrow"/>
          <w:b/>
          <w:i/>
          <w:sz w:val="22"/>
          <w:szCs w:val="22"/>
        </w:rPr>
        <w:t>Ελληνικό Δημοσιονομικό Συμβούλιο (ΕΔΣ)</w:t>
      </w:r>
    </w:p>
    <w:p w:rsidR="00CD41E5" w:rsidRPr="00440447" w:rsidRDefault="00CD41E5" w:rsidP="00FD0022">
      <w:pPr>
        <w:jc w:val="both"/>
        <w:rPr>
          <w:sz w:val="22"/>
          <w:szCs w:val="22"/>
        </w:rPr>
      </w:pPr>
    </w:p>
    <w:p w:rsidR="00CD41E5" w:rsidRPr="00440447" w:rsidRDefault="00CD41E5" w:rsidP="00FD0022">
      <w:pPr>
        <w:jc w:val="both"/>
        <w:rPr>
          <w:sz w:val="22"/>
          <w:szCs w:val="22"/>
        </w:rPr>
      </w:pPr>
      <w:r w:rsidRPr="00440447">
        <w:rPr>
          <w:sz w:val="22"/>
          <w:szCs w:val="22"/>
          <w:lang w:val="en-US"/>
        </w:rPr>
        <w:t>T</w:t>
      </w:r>
      <w:r w:rsidRPr="00440447">
        <w:rPr>
          <w:sz w:val="22"/>
          <w:szCs w:val="22"/>
        </w:rPr>
        <w:t>ο Ελληνικό Δημοσιονομικό Συμβούλιο έχει ως κύριες αρμοδιότητες την αξιολόγηση των μακροο</w:t>
      </w:r>
      <w:r w:rsidRPr="00440447">
        <w:rPr>
          <w:sz w:val="22"/>
          <w:szCs w:val="22"/>
        </w:rPr>
        <w:t>ι</w:t>
      </w:r>
      <w:r w:rsidRPr="00440447">
        <w:rPr>
          <w:sz w:val="22"/>
          <w:szCs w:val="22"/>
        </w:rPr>
        <w:t>κονομικών προβλέψεων, στις οποίες βασίζονται το Μεσοπρόθεσμο Πλαίσιο Δημοσιονομικής Στρατ</w:t>
      </w:r>
      <w:r w:rsidRPr="00440447">
        <w:rPr>
          <w:sz w:val="22"/>
          <w:szCs w:val="22"/>
        </w:rPr>
        <w:t>η</w:t>
      </w:r>
      <w:r w:rsidRPr="00440447">
        <w:rPr>
          <w:sz w:val="22"/>
          <w:szCs w:val="22"/>
        </w:rPr>
        <w:t>γικής (ΜΠΔΣ) και ο ετήσιος Κρατικός Προϋπολογισμός, την αξιολόγηση της εφαρμογής των δημοσ</w:t>
      </w:r>
      <w:r w:rsidRPr="00440447">
        <w:rPr>
          <w:sz w:val="22"/>
          <w:szCs w:val="22"/>
        </w:rPr>
        <w:t>ι</w:t>
      </w:r>
      <w:r w:rsidRPr="00440447">
        <w:rPr>
          <w:sz w:val="22"/>
          <w:szCs w:val="22"/>
        </w:rPr>
        <w:t>ονομικών κανόνων που ενσωματώνονται στο εθνικό πλαίσιο δημοσιονομικής διαχείρισης, καθώς επ</w:t>
      </w:r>
      <w:r w:rsidRPr="00440447">
        <w:rPr>
          <w:sz w:val="22"/>
          <w:szCs w:val="22"/>
        </w:rPr>
        <w:t>ί</w:t>
      </w:r>
      <w:r w:rsidRPr="00440447">
        <w:rPr>
          <w:sz w:val="22"/>
          <w:szCs w:val="22"/>
        </w:rPr>
        <w:t>σης και την παρακολούθηση ως προς τη συμμόρφωση με τους αριθμητικούς δημοσιονομικούς καν</w:t>
      </w:r>
      <w:r w:rsidRPr="00440447">
        <w:rPr>
          <w:sz w:val="22"/>
          <w:szCs w:val="22"/>
        </w:rPr>
        <w:t>ό</w:t>
      </w:r>
      <w:r w:rsidRPr="00440447">
        <w:rPr>
          <w:sz w:val="22"/>
          <w:szCs w:val="22"/>
        </w:rPr>
        <w:t xml:space="preserve">νες. </w:t>
      </w:r>
    </w:p>
    <w:p w:rsidR="00CD41E5" w:rsidRPr="00440447" w:rsidRDefault="00CD41E5" w:rsidP="00FD0022">
      <w:pPr>
        <w:jc w:val="both"/>
        <w:rPr>
          <w:sz w:val="22"/>
          <w:szCs w:val="22"/>
        </w:rPr>
      </w:pPr>
      <w:r w:rsidRPr="00440447">
        <w:rPr>
          <w:sz w:val="22"/>
          <w:szCs w:val="22"/>
        </w:rPr>
        <w:t>Το 2021 προβλέπεται ισοσκελισμένος προϋπολογισμός για την Αρχή.</w:t>
      </w:r>
    </w:p>
    <w:p w:rsidR="00CD41E5" w:rsidRPr="00440447" w:rsidRDefault="00CD41E5" w:rsidP="00FD0022">
      <w:pPr>
        <w:jc w:val="both"/>
        <w:rPr>
          <w:rFonts w:ascii="Arial Narrow" w:hAnsi="Arial Narrow"/>
          <w:b/>
          <w:color w:val="000080"/>
          <w:sz w:val="22"/>
        </w:rPr>
      </w:pPr>
    </w:p>
    <w:p w:rsidR="00CD41E5" w:rsidRPr="00440447" w:rsidRDefault="00CD41E5" w:rsidP="00FD0022">
      <w:pPr>
        <w:contextualSpacing/>
        <w:jc w:val="both"/>
        <w:rPr>
          <w:rFonts w:ascii="Arial Narrow" w:hAnsi="Arial Narrow"/>
          <w:b/>
          <w:i/>
          <w:sz w:val="22"/>
          <w:szCs w:val="22"/>
        </w:rPr>
      </w:pPr>
      <w:r w:rsidRPr="00440447">
        <w:rPr>
          <w:rFonts w:ascii="Arial Narrow" w:hAnsi="Arial Narrow"/>
          <w:b/>
          <w:i/>
          <w:sz w:val="22"/>
          <w:szCs w:val="22"/>
        </w:rPr>
        <w:t>Ενιαία Ανεξάρτητη Αρχή Δημοσίων Συμβάσεων (ΕΑΑΔΗΣΥ)</w:t>
      </w:r>
    </w:p>
    <w:p w:rsidR="00CD41E5" w:rsidRPr="00440447" w:rsidRDefault="00CD41E5" w:rsidP="00FD0022">
      <w:pPr>
        <w:jc w:val="both"/>
        <w:rPr>
          <w:sz w:val="22"/>
          <w:szCs w:val="22"/>
        </w:rPr>
      </w:pPr>
    </w:p>
    <w:p w:rsidR="00CD41E5" w:rsidRPr="00440447" w:rsidRDefault="00CD41E5" w:rsidP="00FD0022">
      <w:pPr>
        <w:jc w:val="both"/>
        <w:rPr>
          <w:sz w:val="22"/>
          <w:szCs w:val="22"/>
        </w:rPr>
      </w:pPr>
      <w:r w:rsidRPr="00440447">
        <w:rPr>
          <w:sz w:val="22"/>
          <w:szCs w:val="22"/>
        </w:rPr>
        <w:t>Η Ενιαία Ανεξάρτητη Αρχή Δημοσίων Συμβάσεων έχει ως βασικό σκοπό τη διασφάλιση της διαφ</w:t>
      </w:r>
      <w:r w:rsidRPr="00440447">
        <w:rPr>
          <w:sz w:val="22"/>
          <w:szCs w:val="22"/>
        </w:rPr>
        <w:t>ά</w:t>
      </w:r>
      <w:r w:rsidRPr="00440447">
        <w:rPr>
          <w:sz w:val="22"/>
          <w:szCs w:val="22"/>
        </w:rPr>
        <w:t xml:space="preserve">νειας, της αποτελεσματικότητας, της συνοχής και της εναρμόνισης των διαδικασιών ανάθεσης και </w:t>
      </w:r>
      <w:r w:rsidRPr="00440447">
        <w:rPr>
          <w:sz w:val="22"/>
          <w:szCs w:val="22"/>
        </w:rPr>
        <w:t>ε</w:t>
      </w:r>
      <w:r w:rsidRPr="00440447">
        <w:rPr>
          <w:sz w:val="22"/>
          <w:szCs w:val="22"/>
        </w:rPr>
        <w:t xml:space="preserve">κτέλεσης των δημοσίων συμβάσεων με το εθνικό και το ευρωπαϊκό δίκαιο, τη διαρκή βελτίωση του νομικού πλαισίου των δημοσίων συμβάσεων, καθώς και τον έλεγχο της τήρησής του από το Δημόσιο και τις αναθέτουσες αρχές. </w:t>
      </w:r>
    </w:p>
    <w:p w:rsidR="00CD41E5" w:rsidRPr="00440447" w:rsidRDefault="00CD41E5" w:rsidP="00FD0022">
      <w:pPr>
        <w:jc w:val="both"/>
        <w:rPr>
          <w:sz w:val="22"/>
          <w:szCs w:val="22"/>
        </w:rPr>
      </w:pPr>
      <w:r w:rsidRPr="00440447">
        <w:rPr>
          <w:sz w:val="22"/>
          <w:szCs w:val="22"/>
        </w:rPr>
        <w:t>Ο προϋπολογισμός της Αρχής για το 2021 προβλέπεται να είναι ισοσκελισμένος.</w:t>
      </w:r>
    </w:p>
    <w:p w:rsidR="00CD41E5" w:rsidRPr="00440447" w:rsidRDefault="00CD41E5" w:rsidP="00FD0022">
      <w:pPr>
        <w:jc w:val="both"/>
        <w:rPr>
          <w:b/>
          <w:sz w:val="22"/>
          <w:szCs w:val="22"/>
        </w:rPr>
      </w:pPr>
    </w:p>
    <w:p w:rsidR="00CD41E5" w:rsidRPr="00440447" w:rsidRDefault="00CD41E5" w:rsidP="00FD0022">
      <w:pPr>
        <w:contextualSpacing/>
        <w:jc w:val="both"/>
        <w:rPr>
          <w:rFonts w:ascii="Arial Narrow" w:hAnsi="Arial Narrow"/>
          <w:b/>
          <w:i/>
          <w:sz w:val="22"/>
          <w:szCs w:val="22"/>
        </w:rPr>
      </w:pPr>
      <w:r w:rsidRPr="00440447">
        <w:rPr>
          <w:rFonts w:ascii="Arial Narrow" w:hAnsi="Arial Narrow"/>
          <w:b/>
          <w:i/>
          <w:sz w:val="22"/>
          <w:szCs w:val="22"/>
        </w:rPr>
        <w:t>Επιτροπή Ανταγωνισμού</w:t>
      </w:r>
    </w:p>
    <w:p w:rsidR="00CD41E5" w:rsidRPr="00440447" w:rsidRDefault="00CD41E5" w:rsidP="00FD0022">
      <w:pPr>
        <w:jc w:val="both"/>
        <w:rPr>
          <w:sz w:val="22"/>
          <w:szCs w:val="22"/>
        </w:rPr>
      </w:pPr>
    </w:p>
    <w:p w:rsidR="00CD41E5" w:rsidRPr="00440447" w:rsidRDefault="00CD41E5" w:rsidP="00FD0022">
      <w:pPr>
        <w:jc w:val="both"/>
        <w:rPr>
          <w:sz w:val="22"/>
          <w:szCs w:val="22"/>
        </w:rPr>
      </w:pPr>
      <w:r w:rsidRPr="00440447">
        <w:rPr>
          <w:sz w:val="22"/>
          <w:szCs w:val="22"/>
        </w:rPr>
        <w:t>Η Επιτροπή Ανταγωνισμού έχει ως βασική αποστολή τη διασφάλιση της εύρυθμης λειτουργίας της αγοράς και την εφαρμογή του δικαίου του ανταγωνισμού, που οδηγεί σε μείωση των τιμών, βελτίωση της ποιότητας και του εύρους των παρεχόμενων προϊόντων και υπηρεσιών, διεύρυνση των επιλογών για τους καταναλωτές και αύξηση της αγοραστικής τους δύναμης, καθώς και σε ενίσχυση της επιχε</w:t>
      </w:r>
      <w:r w:rsidRPr="00440447">
        <w:rPr>
          <w:sz w:val="22"/>
          <w:szCs w:val="22"/>
        </w:rPr>
        <w:t>ι</w:t>
      </w:r>
      <w:r w:rsidRPr="00440447">
        <w:rPr>
          <w:sz w:val="22"/>
          <w:szCs w:val="22"/>
        </w:rPr>
        <w:t>ρηματικότητας και σε ανάπτυξη της οικονομίας.</w:t>
      </w:r>
    </w:p>
    <w:p w:rsidR="00CD41E5" w:rsidRPr="00440447" w:rsidRDefault="00CD41E5" w:rsidP="00FD0022">
      <w:pPr>
        <w:jc w:val="both"/>
        <w:rPr>
          <w:sz w:val="22"/>
          <w:szCs w:val="22"/>
        </w:rPr>
      </w:pPr>
      <w:r w:rsidRPr="00440447">
        <w:rPr>
          <w:sz w:val="22"/>
          <w:szCs w:val="22"/>
        </w:rPr>
        <w:t>Για το 2021 η Αρχή προβλέπεται να εμφανίσει έλλειμμα ύψους 1 εκατ. ευρώ.</w:t>
      </w:r>
    </w:p>
    <w:p w:rsidR="00CD41E5" w:rsidRPr="00440447" w:rsidRDefault="00CD41E5" w:rsidP="00FD0022">
      <w:pPr>
        <w:jc w:val="both"/>
        <w:rPr>
          <w:rFonts w:ascii="Arial Narrow" w:hAnsi="Arial Narrow"/>
          <w:b/>
          <w:i/>
          <w:sz w:val="22"/>
          <w:szCs w:val="22"/>
        </w:rPr>
      </w:pPr>
      <w:r w:rsidRPr="00440447">
        <w:rPr>
          <w:b/>
          <w:sz w:val="22"/>
          <w:szCs w:val="22"/>
        </w:rPr>
        <w:t xml:space="preserve"> </w:t>
      </w:r>
    </w:p>
    <w:p w:rsidR="00CD41E5" w:rsidRPr="00440447" w:rsidRDefault="00CD41E5" w:rsidP="00FD0022">
      <w:pPr>
        <w:contextualSpacing/>
        <w:jc w:val="both"/>
        <w:rPr>
          <w:rFonts w:ascii="Arial Narrow" w:hAnsi="Arial Narrow"/>
          <w:b/>
          <w:i/>
          <w:sz w:val="22"/>
          <w:szCs w:val="22"/>
        </w:rPr>
      </w:pPr>
      <w:r w:rsidRPr="00440447">
        <w:rPr>
          <w:rFonts w:ascii="Arial Narrow" w:hAnsi="Arial Narrow"/>
          <w:b/>
          <w:i/>
          <w:sz w:val="22"/>
          <w:szCs w:val="22"/>
        </w:rPr>
        <w:t>Επιτροπή Εποπτείας και Ελέγχου Παιγνίων (ΕΕΕΠ)</w:t>
      </w:r>
    </w:p>
    <w:p w:rsidR="00CD41E5" w:rsidRPr="00440447" w:rsidRDefault="00CD41E5" w:rsidP="00FD0022">
      <w:pPr>
        <w:jc w:val="both"/>
        <w:rPr>
          <w:bCs/>
          <w:sz w:val="22"/>
          <w:szCs w:val="22"/>
        </w:rPr>
      </w:pPr>
    </w:p>
    <w:p w:rsidR="00CD41E5" w:rsidRPr="00440447" w:rsidRDefault="00CD41E5" w:rsidP="00FD0022">
      <w:pPr>
        <w:jc w:val="both"/>
        <w:rPr>
          <w:bCs/>
          <w:sz w:val="22"/>
          <w:szCs w:val="22"/>
        </w:rPr>
      </w:pPr>
      <w:r w:rsidRPr="00440447">
        <w:rPr>
          <w:bCs/>
          <w:sz w:val="22"/>
          <w:szCs w:val="22"/>
        </w:rPr>
        <w:t xml:space="preserve">Η Επιτροπή Εποπτείας και Ελέγχου Παιγνίων έχει ως αποστολή τη ρύθμιση, την εποπτεία και τον </w:t>
      </w:r>
      <w:r w:rsidRPr="00440447">
        <w:rPr>
          <w:bCs/>
          <w:sz w:val="22"/>
          <w:szCs w:val="22"/>
        </w:rPr>
        <w:t>έ</w:t>
      </w:r>
      <w:r w:rsidRPr="00440447">
        <w:rPr>
          <w:bCs/>
          <w:sz w:val="22"/>
          <w:szCs w:val="22"/>
        </w:rPr>
        <w:t>λεγχο των αγορών παροχής υπηρεσιών διεξαγωγής παιγνίων, τη μέριμνα για την προστασία των πα</w:t>
      </w:r>
      <w:r w:rsidRPr="00440447">
        <w:rPr>
          <w:bCs/>
          <w:sz w:val="22"/>
          <w:szCs w:val="22"/>
        </w:rPr>
        <w:t>ι</w:t>
      </w:r>
      <w:r w:rsidRPr="00440447">
        <w:rPr>
          <w:bCs/>
          <w:sz w:val="22"/>
          <w:szCs w:val="22"/>
        </w:rPr>
        <w:t>κτών και του κοινωνικού συνόλου, ειδικότερα δε των ανηλίκων και των ευάλωτων ομάδων του πλ</w:t>
      </w:r>
      <w:r w:rsidRPr="00440447">
        <w:rPr>
          <w:bCs/>
          <w:sz w:val="22"/>
          <w:szCs w:val="22"/>
        </w:rPr>
        <w:t>η</w:t>
      </w:r>
      <w:r w:rsidRPr="00440447">
        <w:rPr>
          <w:bCs/>
          <w:sz w:val="22"/>
          <w:szCs w:val="22"/>
        </w:rPr>
        <w:t>θυσμού, καθώς και τον έλεγχο της απόδοσης των δημόσιων εσόδων.</w:t>
      </w:r>
    </w:p>
    <w:p w:rsidR="00CD41E5" w:rsidRPr="00440447" w:rsidRDefault="00CD41E5" w:rsidP="00FD0022">
      <w:pPr>
        <w:jc w:val="both"/>
        <w:rPr>
          <w:sz w:val="22"/>
          <w:szCs w:val="22"/>
        </w:rPr>
      </w:pPr>
      <w:r w:rsidRPr="00440447">
        <w:rPr>
          <w:sz w:val="22"/>
          <w:szCs w:val="22"/>
        </w:rPr>
        <w:t xml:space="preserve">Για το έτος 2021 η Αρχή προβλέπεται </w:t>
      </w:r>
      <w:r w:rsidRPr="006C132E">
        <w:rPr>
          <w:sz w:val="22"/>
          <w:szCs w:val="22"/>
        </w:rPr>
        <w:t xml:space="preserve">να παρουσιάσει έλλειμμα </w:t>
      </w:r>
      <w:r w:rsidRPr="006C132E">
        <w:rPr>
          <w:bCs/>
          <w:sz w:val="22"/>
          <w:szCs w:val="22"/>
        </w:rPr>
        <w:t>ύψους 4 εκατ. ευρώ.</w:t>
      </w:r>
    </w:p>
    <w:p w:rsidR="00CD41E5" w:rsidRPr="00440447" w:rsidRDefault="00CD41E5" w:rsidP="00FD0022">
      <w:pPr>
        <w:jc w:val="both"/>
        <w:rPr>
          <w:b/>
          <w:sz w:val="22"/>
          <w:szCs w:val="22"/>
        </w:rPr>
      </w:pPr>
    </w:p>
    <w:p w:rsidR="00CD41E5" w:rsidRPr="00440447" w:rsidRDefault="00CD41E5" w:rsidP="00FD0022">
      <w:pPr>
        <w:contextualSpacing/>
        <w:jc w:val="both"/>
        <w:rPr>
          <w:rFonts w:ascii="Arial Narrow" w:hAnsi="Arial Narrow"/>
          <w:b/>
          <w:i/>
          <w:sz w:val="22"/>
          <w:szCs w:val="22"/>
        </w:rPr>
      </w:pPr>
      <w:r w:rsidRPr="00440447">
        <w:rPr>
          <w:rFonts w:ascii="Arial Narrow" w:hAnsi="Arial Narrow"/>
          <w:b/>
          <w:i/>
          <w:sz w:val="22"/>
          <w:szCs w:val="22"/>
        </w:rPr>
        <w:t>Ρυθμιστική Αρχή Ενέργειας (ΡΑΕ)</w:t>
      </w:r>
    </w:p>
    <w:p w:rsidR="00CD41E5" w:rsidRPr="00440447" w:rsidRDefault="00CD41E5" w:rsidP="00FD0022">
      <w:pPr>
        <w:rPr>
          <w:rFonts w:ascii="Arial" w:hAnsi="Arial" w:cs="Arial"/>
          <w:b/>
        </w:rPr>
      </w:pPr>
    </w:p>
    <w:p w:rsidR="00CD41E5" w:rsidRPr="00440447" w:rsidRDefault="00CD41E5" w:rsidP="00FD0022">
      <w:pPr>
        <w:jc w:val="both"/>
        <w:rPr>
          <w:sz w:val="22"/>
          <w:szCs w:val="22"/>
        </w:rPr>
      </w:pPr>
      <w:r w:rsidRPr="00440447">
        <w:rPr>
          <w:sz w:val="22"/>
          <w:szCs w:val="22"/>
        </w:rPr>
        <w:t xml:space="preserve">Η Ρυθμιστική Αρχή Ενέργειας παρακολουθεί και εποπτεύει τη λειτουργία της αγοράς ενέργειας και γνωμοδοτεί στον Υπουργό Περιβάλλοντος και Ενέργειας και στις αρμόδιες αρχές για τη χορήγηση </w:t>
      </w:r>
      <w:r w:rsidRPr="00440447">
        <w:rPr>
          <w:sz w:val="22"/>
          <w:szCs w:val="22"/>
        </w:rPr>
        <w:lastRenderedPageBreak/>
        <w:t xml:space="preserve">αδειών στον τομέα της ηλεκτρικής ενέργειας, καθώς και για τη λήψη των αναγκαίων μέτρων που </w:t>
      </w:r>
      <w:r w:rsidRPr="00440447">
        <w:rPr>
          <w:sz w:val="22"/>
          <w:szCs w:val="22"/>
        </w:rPr>
        <w:t>α</w:t>
      </w:r>
      <w:r w:rsidRPr="00440447">
        <w:rPr>
          <w:sz w:val="22"/>
          <w:szCs w:val="22"/>
        </w:rPr>
        <w:t>φορούν την τήρηση των κανόνων του ανταγωνισμού και την προστασία των καταναλωτών.</w:t>
      </w:r>
    </w:p>
    <w:p w:rsidR="00CD41E5" w:rsidRPr="00440447" w:rsidRDefault="00CD41E5" w:rsidP="00FD0022">
      <w:pPr>
        <w:jc w:val="both"/>
        <w:rPr>
          <w:sz w:val="22"/>
          <w:szCs w:val="22"/>
        </w:rPr>
      </w:pPr>
      <w:r w:rsidRPr="00440447">
        <w:rPr>
          <w:sz w:val="22"/>
          <w:szCs w:val="22"/>
        </w:rPr>
        <w:t>Για το 2021 η Αρχή προβλέπεται να εμφανίσει πλεόνασμα ύψους 2 εκατ. ευρώ.</w:t>
      </w:r>
    </w:p>
    <w:p w:rsidR="00CD41E5" w:rsidRPr="00440447" w:rsidRDefault="00CD41E5" w:rsidP="00FD0022">
      <w:pPr>
        <w:jc w:val="both"/>
        <w:rPr>
          <w:sz w:val="22"/>
          <w:szCs w:val="22"/>
        </w:rPr>
      </w:pPr>
    </w:p>
    <w:p w:rsidR="00CD41E5" w:rsidRPr="00440447" w:rsidRDefault="00CD41E5" w:rsidP="00FD0022">
      <w:pPr>
        <w:contextualSpacing/>
        <w:jc w:val="both"/>
        <w:rPr>
          <w:rFonts w:ascii="Arial Narrow" w:hAnsi="Arial Narrow"/>
          <w:b/>
          <w:i/>
          <w:sz w:val="22"/>
          <w:szCs w:val="22"/>
        </w:rPr>
      </w:pPr>
      <w:r w:rsidRPr="00440447">
        <w:rPr>
          <w:rFonts w:ascii="Arial Narrow" w:hAnsi="Arial Narrow"/>
          <w:b/>
          <w:i/>
          <w:sz w:val="22"/>
          <w:szCs w:val="22"/>
        </w:rPr>
        <w:t>Ρυθμιστική Αρχή Λιμένων (ΡΑΛ)</w:t>
      </w:r>
    </w:p>
    <w:p w:rsidR="00CD41E5" w:rsidRPr="00440447" w:rsidRDefault="00CD41E5" w:rsidP="00FD0022">
      <w:pPr>
        <w:contextualSpacing/>
        <w:jc w:val="both"/>
        <w:rPr>
          <w:rFonts w:ascii="Arial Narrow" w:hAnsi="Arial Narrow"/>
          <w:b/>
          <w:i/>
          <w:sz w:val="22"/>
          <w:szCs w:val="22"/>
        </w:rPr>
      </w:pPr>
    </w:p>
    <w:p w:rsidR="00CD41E5" w:rsidRPr="00440447" w:rsidRDefault="00CD41E5" w:rsidP="00FD0022">
      <w:pPr>
        <w:jc w:val="both"/>
        <w:rPr>
          <w:sz w:val="22"/>
          <w:szCs w:val="22"/>
        </w:rPr>
      </w:pPr>
      <w:r w:rsidRPr="00440447">
        <w:rPr>
          <w:sz w:val="22"/>
          <w:szCs w:val="22"/>
        </w:rPr>
        <w:t>Η Ρυθμιστική Αρχή Λιμένων έχει ως αποστολή την εποπτεία και τη διασφάλιση της νομιμότητας των σχέσεων μεταξύ δημόσιων και ιδιωτικών φορέων του εθνικού λιμενικού συστήματος</w:t>
      </w:r>
      <w:r w:rsidR="00CD55E6" w:rsidRPr="00CD55E6">
        <w:rPr>
          <w:sz w:val="22"/>
          <w:szCs w:val="22"/>
        </w:rPr>
        <w:t>,</w:t>
      </w:r>
      <w:r w:rsidRPr="00440447">
        <w:rPr>
          <w:sz w:val="22"/>
          <w:szCs w:val="22"/>
        </w:rPr>
        <w:t xml:space="preserve"> με έμφαση στην τήρηση της συμβατικής τάξης και την εφαρμογή της νομοθεσίας περί ελεύθερου ανταγωνισμού.</w:t>
      </w:r>
    </w:p>
    <w:p w:rsidR="00CD41E5" w:rsidRPr="00E01F3C" w:rsidRDefault="00CD41E5" w:rsidP="00FD0022">
      <w:pPr>
        <w:jc w:val="both"/>
        <w:rPr>
          <w:sz w:val="22"/>
          <w:szCs w:val="22"/>
        </w:rPr>
      </w:pPr>
      <w:r w:rsidRPr="00440447">
        <w:rPr>
          <w:sz w:val="22"/>
          <w:szCs w:val="22"/>
        </w:rPr>
        <w:t>Ο προϋπολογισμός της Αρχής για το 2021</w:t>
      </w:r>
      <w:r w:rsidRPr="00440447">
        <w:rPr>
          <w:sz w:val="22"/>
          <w:szCs w:val="22"/>
          <w:vertAlign w:val="superscript"/>
        </w:rPr>
        <w:t xml:space="preserve"> </w:t>
      </w:r>
      <w:r w:rsidRPr="00440447">
        <w:rPr>
          <w:sz w:val="22"/>
          <w:szCs w:val="22"/>
        </w:rPr>
        <w:t>προβλέπεται να είναι ισοσκελισμένος.</w:t>
      </w:r>
      <w:r>
        <w:rPr>
          <w:sz w:val="22"/>
          <w:szCs w:val="22"/>
        </w:rPr>
        <w:t xml:space="preserve"> </w:t>
      </w:r>
    </w:p>
    <w:p w:rsidR="00CD41E5" w:rsidRDefault="00CD41E5" w:rsidP="00CD41E5">
      <w:pPr>
        <w:contextualSpacing/>
        <w:jc w:val="both"/>
        <w:rPr>
          <w:rFonts w:ascii="Arial Narrow" w:hAnsi="Arial Narrow"/>
          <w:b/>
          <w:i/>
          <w:sz w:val="22"/>
          <w:szCs w:val="22"/>
        </w:rPr>
      </w:pPr>
    </w:p>
    <w:p w:rsidR="00CD41E5" w:rsidRDefault="00CD41E5" w:rsidP="00CD41E5">
      <w:pPr>
        <w:contextualSpacing/>
        <w:jc w:val="both"/>
        <w:rPr>
          <w:rFonts w:ascii="Arial Narrow" w:hAnsi="Arial Narrow"/>
          <w:b/>
          <w:i/>
          <w:sz w:val="22"/>
          <w:szCs w:val="22"/>
        </w:rPr>
      </w:pPr>
    </w:p>
    <w:tbl>
      <w:tblPr>
        <w:tblW w:w="7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843"/>
        <w:gridCol w:w="1701"/>
      </w:tblGrid>
      <w:tr w:rsidR="00CD41E5" w:rsidRPr="003E6D6E" w:rsidTr="0054537C">
        <w:trPr>
          <w:trHeight w:val="20"/>
          <w:jc w:val="center"/>
        </w:trPr>
        <w:tc>
          <w:tcPr>
            <w:tcW w:w="7054" w:type="dxa"/>
            <w:gridSpan w:val="3"/>
            <w:tcBorders>
              <w:bottom w:val="nil"/>
            </w:tcBorders>
            <w:shd w:val="clear" w:color="auto" w:fill="404040"/>
          </w:tcPr>
          <w:p w:rsidR="00CD41E5" w:rsidRPr="003E6D6E" w:rsidRDefault="006D58F6" w:rsidP="0054537C">
            <w:pPr>
              <w:tabs>
                <w:tab w:val="left" w:pos="567"/>
                <w:tab w:val="num" w:pos="720"/>
              </w:tabs>
              <w:jc w:val="center"/>
              <w:rPr>
                <w:rFonts w:ascii="Arial Narrow" w:hAnsi="Arial Narrow"/>
                <w:b/>
                <w:color w:val="FFFFFF"/>
                <w:sz w:val="22"/>
                <w:szCs w:val="16"/>
              </w:rPr>
            </w:pPr>
            <w:r>
              <w:rPr>
                <w:rFonts w:ascii="Arial Narrow" w:hAnsi="Arial Narrow"/>
                <w:b/>
                <w:color w:val="FFFFFF"/>
                <w:sz w:val="22"/>
                <w:szCs w:val="16"/>
              </w:rPr>
              <w:t>Πίνακας 3.19</w:t>
            </w:r>
            <w:r w:rsidR="00CD41E5" w:rsidRPr="003E6D6E">
              <w:rPr>
                <w:rFonts w:ascii="Arial Narrow" w:hAnsi="Arial Narrow"/>
                <w:b/>
                <w:color w:val="FFFFFF"/>
                <w:sz w:val="22"/>
                <w:szCs w:val="16"/>
              </w:rPr>
              <w:t xml:space="preserve">  </w:t>
            </w:r>
            <w:r w:rsidR="00CD41E5">
              <w:rPr>
                <w:rFonts w:ascii="Arial Narrow" w:hAnsi="Arial Narrow"/>
                <w:b/>
                <w:color w:val="FFFFFF"/>
                <w:sz w:val="22"/>
                <w:szCs w:val="16"/>
              </w:rPr>
              <w:t>Ισοζύγιο Ανεξάρτητων Διοικητικών Αρχών (ΑΔΑ)</w:t>
            </w:r>
          </w:p>
          <w:p w:rsidR="00CD41E5" w:rsidRPr="003E6D6E" w:rsidRDefault="00CD41E5" w:rsidP="0054537C">
            <w:pPr>
              <w:tabs>
                <w:tab w:val="left" w:pos="567"/>
                <w:tab w:val="num" w:pos="720"/>
              </w:tabs>
              <w:jc w:val="center"/>
              <w:rPr>
                <w:rFonts w:ascii="Arial Narrow" w:hAnsi="Arial Narrow"/>
                <w:b/>
                <w:color w:val="FFFFFF"/>
                <w:sz w:val="22"/>
                <w:szCs w:val="16"/>
              </w:rPr>
            </w:pPr>
            <w:r w:rsidRPr="003E6D6E">
              <w:rPr>
                <w:rFonts w:ascii="Arial Narrow" w:hAnsi="Arial Narrow"/>
                <w:b/>
                <w:color w:val="FFFFFF"/>
                <w:sz w:val="22"/>
                <w:szCs w:val="16"/>
              </w:rPr>
              <w:t>(σε εκατ. ευρώ)</w:t>
            </w:r>
          </w:p>
        </w:tc>
      </w:tr>
      <w:tr w:rsidR="00CD41E5" w:rsidRPr="003E6D6E" w:rsidTr="0054537C">
        <w:trPr>
          <w:trHeight w:val="20"/>
          <w:jc w:val="center"/>
        </w:trPr>
        <w:tc>
          <w:tcPr>
            <w:tcW w:w="7054" w:type="dxa"/>
            <w:gridSpan w:val="3"/>
            <w:tcBorders>
              <w:top w:val="nil"/>
            </w:tcBorders>
          </w:tcPr>
          <w:p w:rsidR="00CD41E5" w:rsidRPr="003E6D6E" w:rsidRDefault="00CD41E5" w:rsidP="0054537C">
            <w:pPr>
              <w:tabs>
                <w:tab w:val="left" w:pos="567"/>
                <w:tab w:val="num" w:pos="720"/>
              </w:tabs>
              <w:jc w:val="center"/>
              <w:rPr>
                <w:rFonts w:ascii="Arial Narrow" w:hAnsi="Arial Narrow"/>
                <w:b/>
                <w:sz w:val="16"/>
                <w:szCs w:val="16"/>
              </w:rPr>
            </w:pPr>
          </w:p>
        </w:tc>
      </w:tr>
      <w:tr w:rsidR="00CD41E5" w:rsidRPr="003E6D6E" w:rsidTr="0054537C">
        <w:trPr>
          <w:trHeight w:val="20"/>
          <w:jc w:val="center"/>
        </w:trPr>
        <w:tc>
          <w:tcPr>
            <w:tcW w:w="3510" w:type="dxa"/>
            <w:tcBorders>
              <w:bottom w:val="single" w:sz="4" w:space="0" w:color="auto"/>
            </w:tcBorders>
          </w:tcPr>
          <w:p w:rsidR="00CD41E5" w:rsidRPr="003E6D6E" w:rsidRDefault="00CD41E5" w:rsidP="0054537C">
            <w:pPr>
              <w:tabs>
                <w:tab w:val="left" w:pos="567"/>
                <w:tab w:val="num" w:pos="720"/>
              </w:tabs>
              <w:jc w:val="center"/>
              <w:rPr>
                <w:rFonts w:ascii="Arial Narrow" w:hAnsi="Arial Narrow"/>
                <w:b/>
                <w:sz w:val="16"/>
                <w:szCs w:val="16"/>
              </w:rPr>
            </w:pPr>
          </w:p>
        </w:tc>
        <w:tc>
          <w:tcPr>
            <w:tcW w:w="1843" w:type="dxa"/>
            <w:tcBorders>
              <w:bottom w:val="single" w:sz="4" w:space="0" w:color="auto"/>
            </w:tcBorders>
          </w:tcPr>
          <w:p w:rsidR="00CD41E5" w:rsidRDefault="00CD41E5" w:rsidP="0054537C">
            <w:pPr>
              <w:tabs>
                <w:tab w:val="left" w:pos="567"/>
              </w:tabs>
              <w:jc w:val="center"/>
              <w:rPr>
                <w:rFonts w:ascii="Arial Narrow" w:hAnsi="Arial Narrow"/>
                <w:b/>
                <w:sz w:val="16"/>
                <w:szCs w:val="16"/>
              </w:rPr>
            </w:pPr>
            <w:r w:rsidRPr="003E6D6E">
              <w:rPr>
                <w:rFonts w:ascii="Arial Narrow" w:hAnsi="Arial Narrow"/>
                <w:b/>
                <w:sz w:val="16"/>
                <w:szCs w:val="16"/>
              </w:rPr>
              <w:t>20</w:t>
            </w:r>
            <w:r>
              <w:rPr>
                <w:rFonts w:ascii="Arial Narrow" w:hAnsi="Arial Narrow"/>
                <w:b/>
                <w:sz w:val="16"/>
                <w:szCs w:val="16"/>
              </w:rPr>
              <w:t>20</w:t>
            </w:r>
          </w:p>
          <w:p w:rsidR="00CD41E5" w:rsidRPr="003E6D6E" w:rsidRDefault="00CD41E5" w:rsidP="0054537C">
            <w:pPr>
              <w:tabs>
                <w:tab w:val="left" w:pos="567"/>
              </w:tabs>
              <w:jc w:val="center"/>
              <w:rPr>
                <w:rFonts w:ascii="Arial Narrow" w:hAnsi="Arial Narrow"/>
                <w:b/>
                <w:sz w:val="16"/>
                <w:szCs w:val="16"/>
              </w:rPr>
            </w:pPr>
            <w:r>
              <w:rPr>
                <w:rFonts w:ascii="Arial Narrow" w:hAnsi="Arial Narrow"/>
                <w:b/>
                <w:sz w:val="16"/>
                <w:szCs w:val="16"/>
              </w:rPr>
              <w:t>Εκτιμήσεις</w:t>
            </w:r>
          </w:p>
        </w:tc>
        <w:tc>
          <w:tcPr>
            <w:tcW w:w="1701" w:type="dxa"/>
            <w:tcBorders>
              <w:bottom w:val="single" w:sz="4" w:space="0" w:color="auto"/>
            </w:tcBorders>
          </w:tcPr>
          <w:p w:rsidR="00CD41E5" w:rsidRDefault="00CD41E5" w:rsidP="0054537C">
            <w:pPr>
              <w:tabs>
                <w:tab w:val="left" w:pos="567"/>
              </w:tabs>
              <w:jc w:val="center"/>
              <w:rPr>
                <w:rFonts w:ascii="Arial Narrow" w:hAnsi="Arial Narrow"/>
                <w:b/>
                <w:sz w:val="16"/>
                <w:szCs w:val="16"/>
              </w:rPr>
            </w:pPr>
            <w:r>
              <w:rPr>
                <w:rFonts w:ascii="Arial Narrow" w:hAnsi="Arial Narrow"/>
                <w:b/>
                <w:sz w:val="16"/>
                <w:szCs w:val="16"/>
              </w:rPr>
              <w:t>2021</w:t>
            </w:r>
          </w:p>
          <w:p w:rsidR="00CD41E5" w:rsidRPr="003E6D6E" w:rsidRDefault="00CD41E5" w:rsidP="0054537C">
            <w:pPr>
              <w:tabs>
                <w:tab w:val="left" w:pos="567"/>
              </w:tabs>
              <w:jc w:val="center"/>
              <w:rPr>
                <w:rFonts w:ascii="Arial Narrow" w:hAnsi="Arial Narrow"/>
                <w:b/>
                <w:sz w:val="16"/>
                <w:szCs w:val="16"/>
              </w:rPr>
            </w:pPr>
            <w:r>
              <w:rPr>
                <w:rFonts w:ascii="Arial Narrow" w:hAnsi="Arial Narrow"/>
                <w:b/>
                <w:sz w:val="16"/>
                <w:szCs w:val="16"/>
              </w:rPr>
              <w:t>Προβλέψεις</w:t>
            </w:r>
          </w:p>
        </w:tc>
      </w:tr>
      <w:tr w:rsidR="00E41504" w:rsidRPr="00117933" w:rsidTr="0054537C">
        <w:trPr>
          <w:trHeight w:val="20"/>
          <w:jc w:val="center"/>
        </w:trPr>
        <w:tc>
          <w:tcPr>
            <w:tcW w:w="3510" w:type="dxa"/>
            <w:tcBorders>
              <w:top w:val="nil"/>
              <w:bottom w:val="nil"/>
              <w:right w:val="nil"/>
            </w:tcBorders>
          </w:tcPr>
          <w:p w:rsidR="00E41504" w:rsidRDefault="00E41504" w:rsidP="0054537C">
            <w:pPr>
              <w:tabs>
                <w:tab w:val="left" w:pos="567"/>
                <w:tab w:val="num" w:pos="720"/>
              </w:tabs>
              <w:spacing w:before="40" w:after="40"/>
              <w:jc w:val="both"/>
              <w:rPr>
                <w:rFonts w:ascii="Arial Narrow" w:hAnsi="Arial Narrow"/>
                <w:sz w:val="16"/>
                <w:szCs w:val="16"/>
              </w:rPr>
            </w:pPr>
            <w:r>
              <w:rPr>
                <w:rFonts w:ascii="Arial Narrow" w:hAnsi="Arial Narrow"/>
                <w:sz w:val="16"/>
                <w:szCs w:val="16"/>
              </w:rPr>
              <w:t>Αρχή Εξέτασης Προδικαστικών Προσφυγών</w:t>
            </w:r>
          </w:p>
        </w:tc>
        <w:tc>
          <w:tcPr>
            <w:tcW w:w="1843" w:type="dxa"/>
            <w:tcBorders>
              <w:top w:val="nil"/>
              <w:left w:val="nil"/>
              <w:bottom w:val="nil"/>
              <w:right w:val="nil"/>
            </w:tcBorders>
            <w:vAlign w:val="bottom"/>
          </w:tcPr>
          <w:p w:rsidR="00E41504" w:rsidRDefault="00E41504" w:rsidP="0054537C">
            <w:pPr>
              <w:tabs>
                <w:tab w:val="decimal" w:pos="903"/>
              </w:tabs>
              <w:spacing w:before="40" w:after="40"/>
              <w:jc w:val="both"/>
              <w:rPr>
                <w:rFonts w:ascii="Arial Narrow" w:hAnsi="Arial Narrow"/>
                <w:color w:val="000000"/>
                <w:sz w:val="16"/>
                <w:szCs w:val="16"/>
              </w:rPr>
            </w:pPr>
            <w:r>
              <w:rPr>
                <w:rFonts w:ascii="Arial Narrow" w:hAnsi="Arial Narrow"/>
                <w:color w:val="000000"/>
                <w:sz w:val="16"/>
                <w:szCs w:val="16"/>
              </w:rPr>
              <w:t>0</w:t>
            </w:r>
          </w:p>
        </w:tc>
        <w:tc>
          <w:tcPr>
            <w:tcW w:w="1701" w:type="dxa"/>
            <w:tcBorders>
              <w:top w:val="nil"/>
              <w:left w:val="nil"/>
              <w:bottom w:val="nil"/>
            </w:tcBorders>
            <w:vAlign w:val="bottom"/>
          </w:tcPr>
          <w:p w:rsidR="00E41504" w:rsidRDefault="00E41504" w:rsidP="0054537C">
            <w:pPr>
              <w:tabs>
                <w:tab w:val="decimal" w:pos="903"/>
              </w:tabs>
              <w:spacing w:before="40" w:after="40"/>
              <w:jc w:val="both"/>
              <w:rPr>
                <w:rFonts w:ascii="Arial Narrow" w:hAnsi="Arial Narrow"/>
                <w:color w:val="000000"/>
                <w:sz w:val="16"/>
                <w:szCs w:val="16"/>
              </w:rPr>
            </w:pPr>
            <w:r>
              <w:rPr>
                <w:rFonts w:ascii="Arial Narrow" w:hAnsi="Arial Narrow"/>
                <w:color w:val="000000"/>
                <w:sz w:val="16"/>
                <w:szCs w:val="16"/>
              </w:rPr>
              <w:t>0</w:t>
            </w:r>
          </w:p>
        </w:tc>
      </w:tr>
      <w:tr w:rsidR="00CD41E5" w:rsidRPr="00117933" w:rsidTr="0054537C">
        <w:trPr>
          <w:trHeight w:val="20"/>
          <w:jc w:val="center"/>
        </w:trPr>
        <w:tc>
          <w:tcPr>
            <w:tcW w:w="3510" w:type="dxa"/>
            <w:tcBorders>
              <w:top w:val="nil"/>
              <w:bottom w:val="nil"/>
              <w:right w:val="nil"/>
            </w:tcBorders>
          </w:tcPr>
          <w:p w:rsidR="00CD41E5" w:rsidRPr="003E6D6E" w:rsidRDefault="00CD41E5" w:rsidP="0054537C">
            <w:pPr>
              <w:tabs>
                <w:tab w:val="left" w:pos="567"/>
                <w:tab w:val="num" w:pos="720"/>
              </w:tabs>
              <w:spacing w:before="40" w:after="40"/>
              <w:jc w:val="both"/>
              <w:rPr>
                <w:rFonts w:ascii="Arial Narrow" w:hAnsi="Arial Narrow"/>
                <w:sz w:val="16"/>
                <w:szCs w:val="16"/>
              </w:rPr>
            </w:pPr>
            <w:r>
              <w:rPr>
                <w:rFonts w:ascii="Arial Narrow" w:hAnsi="Arial Narrow"/>
                <w:sz w:val="16"/>
                <w:szCs w:val="16"/>
              </w:rPr>
              <w:t>Εθνική Αναλογιστική Αρχή</w:t>
            </w:r>
          </w:p>
        </w:tc>
        <w:tc>
          <w:tcPr>
            <w:tcW w:w="1843" w:type="dxa"/>
            <w:tcBorders>
              <w:top w:val="nil"/>
              <w:left w:val="nil"/>
              <w:bottom w:val="nil"/>
              <w:right w:val="nil"/>
            </w:tcBorders>
            <w:vAlign w:val="bottom"/>
          </w:tcPr>
          <w:p w:rsidR="00CD41E5" w:rsidRDefault="00CD41E5" w:rsidP="0054537C">
            <w:pPr>
              <w:tabs>
                <w:tab w:val="decimal" w:pos="903"/>
              </w:tabs>
              <w:spacing w:before="40" w:after="40"/>
              <w:jc w:val="both"/>
              <w:rPr>
                <w:rFonts w:ascii="Arial Narrow" w:hAnsi="Arial Narrow"/>
                <w:color w:val="000000"/>
                <w:sz w:val="16"/>
                <w:szCs w:val="16"/>
              </w:rPr>
            </w:pPr>
            <w:r>
              <w:rPr>
                <w:rFonts w:ascii="Arial Narrow" w:hAnsi="Arial Narrow"/>
                <w:color w:val="000000"/>
                <w:sz w:val="16"/>
                <w:szCs w:val="16"/>
              </w:rPr>
              <w:t>1</w:t>
            </w:r>
          </w:p>
        </w:tc>
        <w:tc>
          <w:tcPr>
            <w:tcW w:w="1701" w:type="dxa"/>
            <w:tcBorders>
              <w:top w:val="nil"/>
              <w:left w:val="nil"/>
              <w:bottom w:val="nil"/>
            </w:tcBorders>
            <w:vAlign w:val="bottom"/>
          </w:tcPr>
          <w:p w:rsidR="00CD41E5" w:rsidRDefault="00CD41E5" w:rsidP="0054537C">
            <w:pPr>
              <w:tabs>
                <w:tab w:val="decimal" w:pos="903"/>
              </w:tabs>
              <w:spacing w:before="40" w:after="40"/>
              <w:jc w:val="both"/>
              <w:rPr>
                <w:rFonts w:ascii="Arial Narrow" w:hAnsi="Arial Narrow"/>
                <w:color w:val="000000"/>
                <w:sz w:val="16"/>
                <w:szCs w:val="16"/>
              </w:rPr>
            </w:pPr>
            <w:r>
              <w:rPr>
                <w:rFonts w:ascii="Arial Narrow" w:hAnsi="Arial Narrow"/>
                <w:color w:val="000000"/>
                <w:sz w:val="16"/>
                <w:szCs w:val="16"/>
              </w:rPr>
              <w:t>1</w:t>
            </w:r>
          </w:p>
        </w:tc>
      </w:tr>
      <w:tr w:rsidR="00CD41E5" w:rsidRPr="00117933" w:rsidTr="0054537C">
        <w:trPr>
          <w:trHeight w:val="20"/>
          <w:jc w:val="center"/>
        </w:trPr>
        <w:tc>
          <w:tcPr>
            <w:tcW w:w="3510" w:type="dxa"/>
            <w:tcBorders>
              <w:top w:val="nil"/>
              <w:bottom w:val="nil"/>
              <w:right w:val="nil"/>
            </w:tcBorders>
          </w:tcPr>
          <w:p w:rsidR="00CD41E5" w:rsidRPr="003E6D6E" w:rsidRDefault="00CD41E5" w:rsidP="0054537C">
            <w:pPr>
              <w:tabs>
                <w:tab w:val="left" w:pos="567"/>
                <w:tab w:val="num" w:pos="720"/>
              </w:tabs>
              <w:spacing w:before="40" w:after="40"/>
              <w:jc w:val="both"/>
              <w:rPr>
                <w:rFonts w:ascii="Arial Narrow" w:hAnsi="Arial Narrow"/>
                <w:sz w:val="16"/>
                <w:szCs w:val="16"/>
              </w:rPr>
            </w:pPr>
            <w:r>
              <w:rPr>
                <w:rFonts w:ascii="Arial Narrow" w:hAnsi="Arial Narrow"/>
                <w:sz w:val="16"/>
                <w:szCs w:val="16"/>
              </w:rPr>
              <w:t>Εθνική Επιτροπή Τηλεπικοινωνιών και Ταχυδρομείων</w:t>
            </w:r>
          </w:p>
        </w:tc>
        <w:tc>
          <w:tcPr>
            <w:tcW w:w="1843" w:type="dxa"/>
            <w:tcBorders>
              <w:top w:val="nil"/>
              <w:left w:val="nil"/>
              <w:bottom w:val="nil"/>
              <w:right w:val="nil"/>
            </w:tcBorders>
            <w:vAlign w:val="bottom"/>
          </w:tcPr>
          <w:p w:rsidR="00CD41E5" w:rsidRPr="00547973" w:rsidRDefault="005C2384" w:rsidP="0054537C">
            <w:pPr>
              <w:tabs>
                <w:tab w:val="decimal" w:pos="903"/>
              </w:tabs>
              <w:spacing w:before="40" w:after="40"/>
              <w:jc w:val="both"/>
              <w:rPr>
                <w:rFonts w:ascii="Arial Narrow" w:hAnsi="Arial Narrow"/>
                <w:color w:val="000000"/>
                <w:sz w:val="16"/>
                <w:szCs w:val="16"/>
              </w:rPr>
            </w:pPr>
            <w:r>
              <w:rPr>
                <w:rFonts w:ascii="Arial Narrow" w:hAnsi="Arial Narrow"/>
                <w:color w:val="000000"/>
                <w:sz w:val="16"/>
                <w:szCs w:val="16"/>
              </w:rPr>
              <w:t>-11</w:t>
            </w:r>
          </w:p>
        </w:tc>
        <w:tc>
          <w:tcPr>
            <w:tcW w:w="1701" w:type="dxa"/>
            <w:tcBorders>
              <w:top w:val="nil"/>
              <w:left w:val="nil"/>
              <w:bottom w:val="nil"/>
            </w:tcBorders>
            <w:vAlign w:val="bottom"/>
          </w:tcPr>
          <w:p w:rsidR="00CD41E5" w:rsidRDefault="00CD41E5" w:rsidP="0054537C">
            <w:pPr>
              <w:tabs>
                <w:tab w:val="decimal" w:pos="903"/>
              </w:tabs>
              <w:spacing w:before="40" w:after="40"/>
              <w:jc w:val="both"/>
              <w:rPr>
                <w:rFonts w:ascii="Arial Narrow" w:hAnsi="Arial Narrow"/>
                <w:color w:val="000000"/>
                <w:sz w:val="16"/>
                <w:szCs w:val="16"/>
              </w:rPr>
            </w:pPr>
            <w:r>
              <w:rPr>
                <w:rFonts w:ascii="Arial Narrow" w:hAnsi="Arial Narrow"/>
                <w:color w:val="000000"/>
                <w:sz w:val="16"/>
                <w:szCs w:val="16"/>
              </w:rPr>
              <w:t>2</w:t>
            </w:r>
          </w:p>
        </w:tc>
      </w:tr>
      <w:tr w:rsidR="00CD41E5" w:rsidRPr="00117933" w:rsidTr="0054537C">
        <w:trPr>
          <w:trHeight w:val="20"/>
          <w:jc w:val="center"/>
        </w:trPr>
        <w:tc>
          <w:tcPr>
            <w:tcW w:w="3510" w:type="dxa"/>
            <w:tcBorders>
              <w:top w:val="nil"/>
              <w:bottom w:val="nil"/>
              <w:right w:val="nil"/>
            </w:tcBorders>
          </w:tcPr>
          <w:p w:rsidR="00CD41E5" w:rsidRDefault="00CD41E5" w:rsidP="0054537C">
            <w:pPr>
              <w:tabs>
                <w:tab w:val="left" w:pos="567"/>
                <w:tab w:val="num" w:pos="720"/>
              </w:tabs>
              <w:spacing w:before="40" w:after="40"/>
              <w:jc w:val="both"/>
              <w:rPr>
                <w:rFonts w:ascii="Arial Narrow" w:hAnsi="Arial Narrow"/>
                <w:sz w:val="16"/>
                <w:szCs w:val="16"/>
              </w:rPr>
            </w:pPr>
            <w:r>
              <w:rPr>
                <w:rFonts w:ascii="Arial Narrow" w:hAnsi="Arial Narrow"/>
                <w:sz w:val="16"/>
                <w:szCs w:val="16"/>
              </w:rPr>
              <w:t>Ελληνική Στατιστική Αρχή</w:t>
            </w:r>
          </w:p>
        </w:tc>
        <w:tc>
          <w:tcPr>
            <w:tcW w:w="1843" w:type="dxa"/>
            <w:tcBorders>
              <w:top w:val="nil"/>
              <w:left w:val="nil"/>
              <w:bottom w:val="nil"/>
              <w:right w:val="nil"/>
            </w:tcBorders>
            <w:vAlign w:val="bottom"/>
          </w:tcPr>
          <w:p w:rsidR="00CD41E5" w:rsidRPr="00547973" w:rsidRDefault="005C2384" w:rsidP="0054537C">
            <w:pPr>
              <w:tabs>
                <w:tab w:val="decimal" w:pos="903"/>
              </w:tabs>
              <w:spacing w:before="40" w:after="40"/>
              <w:jc w:val="both"/>
              <w:rPr>
                <w:rFonts w:ascii="Arial Narrow" w:hAnsi="Arial Narrow"/>
                <w:color w:val="000000"/>
                <w:sz w:val="16"/>
                <w:szCs w:val="16"/>
              </w:rPr>
            </w:pPr>
            <w:r>
              <w:rPr>
                <w:rFonts w:ascii="Arial Narrow" w:hAnsi="Arial Narrow"/>
                <w:color w:val="000000"/>
                <w:sz w:val="16"/>
                <w:szCs w:val="16"/>
              </w:rPr>
              <w:t>22</w:t>
            </w:r>
            <w:r w:rsidR="00CD41E5" w:rsidRPr="00547973">
              <w:rPr>
                <w:rFonts w:ascii="Arial Narrow" w:hAnsi="Arial Narrow"/>
                <w:color w:val="000000"/>
                <w:sz w:val="16"/>
                <w:szCs w:val="16"/>
              </w:rPr>
              <w:t xml:space="preserve"> </w:t>
            </w:r>
          </w:p>
        </w:tc>
        <w:tc>
          <w:tcPr>
            <w:tcW w:w="1701" w:type="dxa"/>
            <w:tcBorders>
              <w:top w:val="nil"/>
              <w:left w:val="nil"/>
              <w:bottom w:val="nil"/>
            </w:tcBorders>
            <w:vAlign w:val="bottom"/>
          </w:tcPr>
          <w:p w:rsidR="00CD41E5" w:rsidRDefault="00CD41E5" w:rsidP="0054537C">
            <w:pPr>
              <w:tabs>
                <w:tab w:val="decimal" w:pos="903"/>
              </w:tabs>
              <w:spacing w:before="40" w:after="40"/>
              <w:jc w:val="both"/>
              <w:rPr>
                <w:rFonts w:ascii="Arial Narrow" w:hAnsi="Arial Narrow"/>
                <w:color w:val="000000"/>
                <w:sz w:val="16"/>
                <w:szCs w:val="16"/>
              </w:rPr>
            </w:pPr>
            <w:r>
              <w:rPr>
                <w:rFonts w:ascii="Arial Narrow" w:hAnsi="Arial Narrow"/>
                <w:color w:val="000000"/>
                <w:sz w:val="16"/>
                <w:szCs w:val="16"/>
              </w:rPr>
              <w:t xml:space="preserve">0 </w:t>
            </w:r>
          </w:p>
        </w:tc>
      </w:tr>
      <w:tr w:rsidR="00CD41E5" w:rsidRPr="00117933" w:rsidTr="0054537C">
        <w:trPr>
          <w:trHeight w:val="20"/>
          <w:jc w:val="center"/>
        </w:trPr>
        <w:tc>
          <w:tcPr>
            <w:tcW w:w="3510" w:type="dxa"/>
            <w:tcBorders>
              <w:top w:val="nil"/>
              <w:bottom w:val="nil"/>
              <w:right w:val="nil"/>
            </w:tcBorders>
          </w:tcPr>
          <w:p w:rsidR="00CD41E5" w:rsidRDefault="00CD41E5" w:rsidP="0054537C">
            <w:pPr>
              <w:tabs>
                <w:tab w:val="left" w:pos="567"/>
                <w:tab w:val="num" w:pos="720"/>
                <w:tab w:val="right" w:pos="3294"/>
              </w:tabs>
              <w:spacing w:before="40" w:after="40"/>
              <w:jc w:val="both"/>
              <w:rPr>
                <w:rFonts w:ascii="Arial Narrow" w:hAnsi="Arial Narrow"/>
                <w:sz w:val="16"/>
                <w:szCs w:val="16"/>
              </w:rPr>
            </w:pPr>
            <w:r>
              <w:rPr>
                <w:rFonts w:ascii="Arial Narrow" w:hAnsi="Arial Narrow"/>
                <w:sz w:val="16"/>
                <w:szCs w:val="16"/>
              </w:rPr>
              <w:t>Ελληνικό Δημοσιονομικό Συμβούλιο</w:t>
            </w:r>
          </w:p>
        </w:tc>
        <w:tc>
          <w:tcPr>
            <w:tcW w:w="1843" w:type="dxa"/>
            <w:tcBorders>
              <w:top w:val="nil"/>
              <w:left w:val="nil"/>
              <w:bottom w:val="nil"/>
              <w:right w:val="nil"/>
            </w:tcBorders>
            <w:vAlign w:val="bottom"/>
          </w:tcPr>
          <w:p w:rsidR="00CD41E5" w:rsidRPr="00547973" w:rsidRDefault="00CD41E5" w:rsidP="0054537C">
            <w:pPr>
              <w:tabs>
                <w:tab w:val="decimal" w:pos="903"/>
              </w:tabs>
              <w:spacing w:before="40" w:after="40"/>
              <w:jc w:val="both"/>
              <w:rPr>
                <w:rFonts w:ascii="Arial Narrow" w:hAnsi="Arial Narrow"/>
                <w:color w:val="000000"/>
                <w:sz w:val="16"/>
                <w:szCs w:val="16"/>
              </w:rPr>
            </w:pPr>
            <w:r w:rsidRPr="00547973">
              <w:rPr>
                <w:rFonts w:ascii="Arial Narrow" w:hAnsi="Arial Narrow"/>
                <w:color w:val="000000"/>
                <w:sz w:val="16"/>
                <w:szCs w:val="16"/>
              </w:rPr>
              <w:t xml:space="preserve">0 </w:t>
            </w:r>
          </w:p>
        </w:tc>
        <w:tc>
          <w:tcPr>
            <w:tcW w:w="1701" w:type="dxa"/>
            <w:tcBorders>
              <w:top w:val="nil"/>
              <w:left w:val="nil"/>
              <w:bottom w:val="nil"/>
            </w:tcBorders>
            <w:vAlign w:val="bottom"/>
          </w:tcPr>
          <w:p w:rsidR="00CD41E5" w:rsidRDefault="00CD41E5" w:rsidP="0054537C">
            <w:pPr>
              <w:tabs>
                <w:tab w:val="decimal" w:pos="903"/>
              </w:tabs>
              <w:spacing w:before="40" w:after="40"/>
              <w:jc w:val="both"/>
              <w:rPr>
                <w:rFonts w:ascii="Arial Narrow" w:hAnsi="Arial Narrow"/>
                <w:color w:val="000000"/>
                <w:sz w:val="16"/>
                <w:szCs w:val="16"/>
              </w:rPr>
            </w:pPr>
            <w:r>
              <w:rPr>
                <w:rFonts w:ascii="Arial Narrow" w:hAnsi="Arial Narrow"/>
                <w:color w:val="000000"/>
                <w:sz w:val="16"/>
                <w:szCs w:val="16"/>
              </w:rPr>
              <w:t>0</w:t>
            </w:r>
          </w:p>
        </w:tc>
      </w:tr>
      <w:tr w:rsidR="00CD41E5" w:rsidRPr="00117933" w:rsidTr="0054537C">
        <w:trPr>
          <w:trHeight w:val="20"/>
          <w:jc w:val="center"/>
        </w:trPr>
        <w:tc>
          <w:tcPr>
            <w:tcW w:w="3510" w:type="dxa"/>
            <w:tcBorders>
              <w:top w:val="nil"/>
              <w:bottom w:val="nil"/>
              <w:right w:val="nil"/>
            </w:tcBorders>
          </w:tcPr>
          <w:p w:rsidR="00CD41E5" w:rsidRDefault="00CD41E5" w:rsidP="0054537C">
            <w:pPr>
              <w:tabs>
                <w:tab w:val="left" w:pos="567"/>
                <w:tab w:val="num" w:pos="720"/>
              </w:tabs>
              <w:spacing w:before="40" w:after="40"/>
              <w:jc w:val="both"/>
              <w:rPr>
                <w:rFonts w:ascii="Arial Narrow" w:hAnsi="Arial Narrow"/>
                <w:sz w:val="16"/>
                <w:szCs w:val="16"/>
              </w:rPr>
            </w:pPr>
            <w:r>
              <w:rPr>
                <w:rFonts w:ascii="Arial Narrow" w:hAnsi="Arial Narrow"/>
                <w:sz w:val="16"/>
                <w:szCs w:val="16"/>
              </w:rPr>
              <w:t>Ενιαία Ανεξάρτητη Αρχή Δημοσίων Συμβάσεων</w:t>
            </w:r>
          </w:p>
        </w:tc>
        <w:tc>
          <w:tcPr>
            <w:tcW w:w="1843" w:type="dxa"/>
            <w:tcBorders>
              <w:top w:val="nil"/>
              <w:left w:val="nil"/>
              <w:bottom w:val="nil"/>
              <w:right w:val="nil"/>
            </w:tcBorders>
            <w:vAlign w:val="bottom"/>
          </w:tcPr>
          <w:p w:rsidR="00CD41E5" w:rsidRPr="00547973" w:rsidRDefault="005C2384" w:rsidP="0054537C">
            <w:pPr>
              <w:tabs>
                <w:tab w:val="decimal" w:pos="903"/>
              </w:tabs>
              <w:spacing w:before="40" w:after="40"/>
              <w:jc w:val="both"/>
              <w:rPr>
                <w:rFonts w:ascii="Arial Narrow" w:hAnsi="Arial Narrow"/>
                <w:color w:val="000000"/>
                <w:sz w:val="16"/>
                <w:szCs w:val="16"/>
              </w:rPr>
            </w:pPr>
            <w:r>
              <w:rPr>
                <w:rFonts w:ascii="Arial Narrow" w:hAnsi="Arial Narrow"/>
                <w:color w:val="000000"/>
                <w:sz w:val="16"/>
                <w:szCs w:val="16"/>
              </w:rPr>
              <w:t>0</w:t>
            </w:r>
            <w:r w:rsidR="00CD41E5" w:rsidRPr="00547973">
              <w:rPr>
                <w:rFonts w:ascii="Arial Narrow" w:hAnsi="Arial Narrow"/>
                <w:color w:val="000000"/>
                <w:sz w:val="16"/>
                <w:szCs w:val="16"/>
              </w:rPr>
              <w:t xml:space="preserve"> </w:t>
            </w:r>
          </w:p>
        </w:tc>
        <w:tc>
          <w:tcPr>
            <w:tcW w:w="1701" w:type="dxa"/>
            <w:tcBorders>
              <w:top w:val="nil"/>
              <w:left w:val="nil"/>
              <w:bottom w:val="nil"/>
            </w:tcBorders>
            <w:vAlign w:val="bottom"/>
          </w:tcPr>
          <w:p w:rsidR="00CD41E5" w:rsidRDefault="00CD41E5" w:rsidP="0054537C">
            <w:pPr>
              <w:tabs>
                <w:tab w:val="decimal" w:pos="903"/>
              </w:tabs>
              <w:spacing w:before="40" w:after="40"/>
              <w:jc w:val="both"/>
              <w:rPr>
                <w:rFonts w:ascii="Arial Narrow" w:hAnsi="Arial Narrow"/>
                <w:color w:val="000000"/>
                <w:sz w:val="16"/>
                <w:szCs w:val="16"/>
              </w:rPr>
            </w:pPr>
            <w:r>
              <w:rPr>
                <w:rFonts w:ascii="Arial Narrow" w:hAnsi="Arial Narrow"/>
                <w:color w:val="000000"/>
                <w:sz w:val="16"/>
                <w:szCs w:val="16"/>
              </w:rPr>
              <w:t xml:space="preserve">0 </w:t>
            </w:r>
          </w:p>
        </w:tc>
      </w:tr>
      <w:tr w:rsidR="00CD41E5" w:rsidRPr="003D7661" w:rsidTr="0054537C">
        <w:trPr>
          <w:trHeight w:val="20"/>
          <w:jc w:val="center"/>
        </w:trPr>
        <w:tc>
          <w:tcPr>
            <w:tcW w:w="3510" w:type="dxa"/>
            <w:tcBorders>
              <w:top w:val="nil"/>
              <w:bottom w:val="nil"/>
              <w:right w:val="nil"/>
            </w:tcBorders>
          </w:tcPr>
          <w:p w:rsidR="00CD41E5" w:rsidRPr="003E6D6E" w:rsidRDefault="00CD41E5" w:rsidP="0054537C">
            <w:pPr>
              <w:tabs>
                <w:tab w:val="left" w:pos="567"/>
                <w:tab w:val="num" w:pos="720"/>
              </w:tabs>
              <w:spacing w:before="40" w:after="40"/>
              <w:jc w:val="both"/>
              <w:rPr>
                <w:rFonts w:ascii="Arial Narrow" w:hAnsi="Arial Narrow"/>
                <w:sz w:val="16"/>
                <w:szCs w:val="16"/>
              </w:rPr>
            </w:pPr>
            <w:r>
              <w:rPr>
                <w:rFonts w:ascii="Arial Narrow" w:hAnsi="Arial Narrow"/>
                <w:sz w:val="16"/>
                <w:szCs w:val="16"/>
              </w:rPr>
              <w:t>Επιτροπή Ανταγωνισμού</w:t>
            </w:r>
          </w:p>
        </w:tc>
        <w:tc>
          <w:tcPr>
            <w:tcW w:w="1843" w:type="dxa"/>
            <w:tcBorders>
              <w:top w:val="nil"/>
              <w:left w:val="nil"/>
              <w:bottom w:val="nil"/>
              <w:right w:val="nil"/>
            </w:tcBorders>
            <w:vAlign w:val="bottom"/>
          </w:tcPr>
          <w:p w:rsidR="00CD41E5" w:rsidRPr="00547973" w:rsidRDefault="005C2384" w:rsidP="0054537C">
            <w:pPr>
              <w:tabs>
                <w:tab w:val="decimal" w:pos="903"/>
              </w:tabs>
              <w:spacing w:before="40" w:after="40"/>
              <w:jc w:val="both"/>
              <w:rPr>
                <w:rFonts w:ascii="Arial Narrow" w:hAnsi="Arial Narrow"/>
                <w:color w:val="000000"/>
                <w:sz w:val="16"/>
                <w:szCs w:val="16"/>
              </w:rPr>
            </w:pPr>
            <w:r>
              <w:rPr>
                <w:rFonts w:ascii="Arial Narrow" w:hAnsi="Arial Narrow"/>
                <w:color w:val="000000"/>
                <w:sz w:val="16"/>
                <w:szCs w:val="16"/>
              </w:rPr>
              <w:t>0</w:t>
            </w:r>
            <w:r w:rsidR="00CD41E5" w:rsidRPr="00547973">
              <w:rPr>
                <w:rFonts w:ascii="Arial Narrow" w:hAnsi="Arial Narrow"/>
                <w:color w:val="000000"/>
                <w:sz w:val="16"/>
                <w:szCs w:val="16"/>
              </w:rPr>
              <w:t xml:space="preserve"> </w:t>
            </w:r>
          </w:p>
        </w:tc>
        <w:tc>
          <w:tcPr>
            <w:tcW w:w="1701" w:type="dxa"/>
            <w:tcBorders>
              <w:top w:val="nil"/>
              <w:left w:val="nil"/>
              <w:bottom w:val="nil"/>
            </w:tcBorders>
            <w:vAlign w:val="bottom"/>
          </w:tcPr>
          <w:p w:rsidR="00CD41E5" w:rsidRDefault="005C2384" w:rsidP="0054537C">
            <w:pPr>
              <w:tabs>
                <w:tab w:val="decimal" w:pos="903"/>
              </w:tabs>
              <w:spacing w:before="40" w:after="40"/>
              <w:jc w:val="both"/>
              <w:rPr>
                <w:rFonts w:ascii="Arial Narrow" w:hAnsi="Arial Narrow"/>
                <w:color w:val="000000"/>
                <w:sz w:val="16"/>
                <w:szCs w:val="16"/>
              </w:rPr>
            </w:pPr>
            <w:r>
              <w:rPr>
                <w:rFonts w:ascii="Arial Narrow" w:hAnsi="Arial Narrow"/>
                <w:color w:val="000000"/>
                <w:sz w:val="16"/>
                <w:szCs w:val="16"/>
              </w:rPr>
              <w:t>-1</w:t>
            </w:r>
          </w:p>
        </w:tc>
      </w:tr>
      <w:tr w:rsidR="00CD41E5" w:rsidRPr="00117933" w:rsidTr="0054537C">
        <w:trPr>
          <w:trHeight w:val="20"/>
          <w:jc w:val="center"/>
        </w:trPr>
        <w:tc>
          <w:tcPr>
            <w:tcW w:w="3510" w:type="dxa"/>
            <w:tcBorders>
              <w:top w:val="nil"/>
              <w:bottom w:val="nil"/>
              <w:right w:val="nil"/>
            </w:tcBorders>
          </w:tcPr>
          <w:p w:rsidR="00CD41E5" w:rsidRPr="003E6D6E" w:rsidRDefault="00CD41E5" w:rsidP="0054537C">
            <w:pPr>
              <w:tabs>
                <w:tab w:val="left" w:pos="567"/>
                <w:tab w:val="num" w:pos="720"/>
                <w:tab w:val="right" w:pos="3294"/>
              </w:tabs>
              <w:spacing w:before="40" w:after="40"/>
              <w:jc w:val="both"/>
              <w:rPr>
                <w:rFonts w:ascii="Arial Narrow" w:hAnsi="Arial Narrow"/>
                <w:sz w:val="16"/>
                <w:szCs w:val="16"/>
              </w:rPr>
            </w:pPr>
            <w:r>
              <w:rPr>
                <w:rFonts w:ascii="Arial Narrow" w:hAnsi="Arial Narrow"/>
                <w:sz w:val="16"/>
                <w:szCs w:val="16"/>
              </w:rPr>
              <w:t>Επιτροπή Εποπτείας και Ελέγχου Παιγνίων</w:t>
            </w:r>
          </w:p>
        </w:tc>
        <w:tc>
          <w:tcPr>
            <w:tcW w:w="1843" w:type="dxa"/>
            <w:tcBorders>
              <w:top w:val="nil"/>
              <w:left w:val="nil"/>
              <w:bottom w:val="nil"/>
              <w:right w:val="nil"/>
            </w:tcBorders>
            <w:vAlign w:val="bottom"/>
          </w:tcPr>
          <w:p w:rsidR="00CD41E5" w:rsidRPr="00547973" w:rsidRDefault="005C2384" w:rsidP="0054537C">
            <w:pPr>
              <w:tabs>
                <w:tab w:val="decimal" w:pos="903"/>
              </w:tabs>
              <w:spacing w:before="40" w:after="40"/>
              <w:jc w:val="both"/>
              <w:rPr>
                <w:rFonts w:ascii="Arial Narrow" w:hAnsi="Arial Narrow"/>
                <w:color w:val="000000"/>
                <w:sz w:val="16"/>
                <w:szCs w:val="16"/>
              </w:rPr>
            </w:pPr>
            <w:r>
              <w:rPr>
                <w:rFonts w:ascii="Arial Narrow" w:hAnsi="Arial Narrow"/>
                <w:color w:val="000000"/>
                <w:sz w:val="16"/>
                <w:szCs w:val="16"/>
              </w:rPr>
              <w:t>-4</w:t>
            </w:r>
            <w:r w:rsidR="00CD41E5" w:rsidRPr="00547973">
              <w:rPr>
                <w:rFonts w:ascii="Arial Narrow" w:hAnsi="Arial Narrow"/>
                <w:color w:val="000000"/>
                <w:sz w:val="16"/>
                <w:szCs w:val="16"/>
              </w:rPr>
              <w:t xml:space="preserve"> </w:t>
            </w:r>
          </w:p>
        </w:tc>
        <w:tc>
          <w:tcPr>
            <w:tcW w:w="1701" w:type="dxa"/>
            <w:tcBorders>
              <w:top w:val="nil"/>
              <w:left w:val="nil"/>
              <w:bottom w:val="nil"/>
            </w:tcBorders>
            <w:vAlign w:val="bottom"/>
          </w:tcPr>
          <w:p w:rsidR="00CD41E5" w:rsidRDefault="00CD41E5" w:rsidP="0054537C">
            <w:pPr>
              <w:tabs>
                <w:tab w:val="decimal" w:pos="903"/>
              </w:tabs>
              <w:spacing w:before="40" w:after="40"/>
              <w:jc w:val="both"/>
              <w:rPr>
                <w:rFonts w:ascii="Arial Narrow" w:hAnsi="Arial Narrow"/>
                <w:color w:val="000000"/>
                <w:sz w:val="16"/>
                <w:szCs w:val="16"/>
              </w:rPr>
            </w:pPr>
            <w:r>
              <w:rPr>
                <w:rFonts w:ascii="Arial Narrow" w:hAnsi="Arial Narrow"/>
                <w:color w:val="000000"/>
                <w:sz w:val="16"/>
                <w:szCs w:val="16"/>
              </w:rPr>
              <w:t>-4</w:t>
            </w:r>
          </w:p>
        </w:tc>
      </w:tr>
      <w:tr w:rsidR="00CD41E5" w:rsidRPr="00117933" w:rsidTr="0054537C">
        <w:trPr>
          <w:trHeight w:val="20"/>
          <w:jc w:val="center"/>
        </w:trPr>
        <w:tc>
          <w:tcPr>
            <w:tcW w:w="3510" w:type="dxa"/>
            <w:tcBorders>
              <w:top w:val="nil"/>
              <w:bottom w:val="nil"/>
              <w:right w:val="nil"/>
            </w:tcBorders>
          </w:tcPr>
          <w:p w:rsidR="00CD41E5" w:rsidRPr="003E6D6E" w:rsidRDefault="00CD41E5" w:rsidP="0054537C">
            <w:pPr>
              <w:tabs>
                <w:tab w:val="left" w:pos="567"/>
                <w:tab w:val="num" w:pos="720"/>
              </w:tabs>
              <w:spacing w:before="40" w:after="40"/>
              <w:jc w:val="both"/>
              <w:rPr>
                <w:rFonts w:ascii="Arial Narrow" w:hAnsi="Arial Narrow"/>
                <w:sz w:val="16"/>
                <w:szCs w:val="16"/>
              </w:rPr>
            </w:pPr>
            <w:r>
              <w:rPr>
                <w:rFonts w:ascii="Arial Narrow" w:hAnsi="Arial Narrow"/>
                <w:sz w:val="16"/>
                <w:szCs w:val="16"/>
              </w:rPr>
              <w:t>Ρυθμιστική Αρχή Ενέργειας</w:t>
            </w:r>
          </w:p>
        </w:tc>
        <w:tc>
          <w:tcPr>
            <w:tcW w:w="1843" w:type="dxa"/>
            <w:tcBorders>
              <w:top w:val="nil"/>
              <w:left w:val="nil"/>
              <w:bottom w:val="nil"/>
              <w:right w:val="nil"/>
            </w:tcBorders>
            <w:vAlign w:val="bottom"/>
          </w:tcPr>
          <w:p w:rsidR="00CD41E5" w:rsidRPr="00547973" w:rsidRDefault="00CD41E5" w:rsidP="0054537C">
            <w:pPr>
              <w:tabs>
                <w:tab w:val="decimal" w:pos="903"/>
              </w:tabs>
              <w:spacing w:before="40" w:after="40"/>
              <w:jc w:val="both"/>
              <w:rPr>
                <w:rFonts w:ascii="Arial Narrow" w:hAnsi="Arial Narrow"/>
                <w:color w:val="000000"/>
                <w:sz w:val="16"/>
                <w:szCs w:val="16"/>
              </w:rPr>
            </w:pPr>
            <w:r w:rsidRPr="00547973">
              <w:rPr>
                <w:rFonts w:ascii="Arial Narrow" w:hAnsi="Arial Narrow"/>
                <w:color w:val="000000"/>
                <w:sz w:val="16"/>
                <w:szCs w:val="16"/>
              </w:rPr>
              <w:t xml:space="preserve">2 </w:t>
            </w:r>
          </w:p>
        </w:tc>
        <w:tc>
          <w:tcPr>
            <w:tcW w:w="1701" w:type="dxa"/>
            <w:tcBorders>
              <w:top w:val="nil"/>
              <w:left w:val="nil"/>
              <w:bottom w:val="nil"/>
            </w:tcBorders>
            <w:vAlign w:val="bottom"/>
          </w:tcPr>
          <w:p w:rsidR="00CD41E5" w:rsidRDefault="00CD41E5" w:rsidP="0054537C">
            <w:pPr>
              <w:tabs>
                <w:tab w:val="decimal" w:pos="903"/>
              </w:tabs>
              <w:spacing w:before="40" w:after="40"/>
              <w:jc w:val="both"/>
              <w:rPr>
                <w:rFonts w:ascii="Arial Narrow" w:hAnsi="Arial Narrow"/>
                <w:color w:val="000000"/>
                <w:sz w:val="16"/>
                <w:szCs w:val="16"/>
              </w:rPr>
            </w:pPr>
            <w:r>
              <w:rPr>
                <w:rFonts w:ascii="Arial Narrow" w:hAnsi="Arial Narrow"/>
                <w:color w:val="000000"/>
                <w:sz w:val="16"/>
                <w:szCs w:val="16"/>
              </w:rPr>
              <w:t>2</w:t>
            </w:r>
          </w:p>
        </w:tc>
      </w:tr>
      <w:tr w:rsidR="00CD41E5" w:rsidRPr="00117933" w:rsidTr="0054537C">
        <w:trPr>
          <w:trHeight w:val="20"/>
          <w:jc w:val="center"/>
        </w:trPr>
        <w:tc>
          <w:tcPr>
            <w:tcW w:w="3510" w:type="dxa"/>
            <w:tcBorders>
              <w:top w:val="nil"/>
              <w:bottom w:val="nil"/>
              <w:right w:val="nil"/>
            </w:tcBorders>
          </w:tcPr>
          <w:p w:rsidR="00CD41E5" w:rsidRDefault="00CD41E5" w:rsidP="0054537C">
            <w:pPr>
              <w:tabs>
                <w:tab w:val="left" w:pos="567"/>
                <w:tab w:val="num" w:pos="720"/>
              </w:tabs>
              <w:spacing w:before="40" w:after="40"/>
              <w:jc w:val="both"/>
              <w:rPr>
                <w:rFonts w:ascii="Arial Narrow" w:hAnsi="Arial Narrow"/>
                <w:sz w:val="16"/>
                <w:szCs w:val="16"/>
              </w:rPr>
            </w:pPr>
            <w:r>
              <w:rPr>
                <w:rFonts w:ascii="Arial Narrow" w:hAnsi="Arial Narrow"/>
                <w:sz w:val="16"/>
                <w:szCs w:val="16"/>
              </w:rPr>
              <w:t>Ρυθμιστική Αρχή Λιμένων</w:t>
            </w:r>
          </w:p>
        </w:tc>
        <w:tc>
          <w:tcPr>
            <w:tcW w:w="1843" w:type="dxa"/>
            <w:tcBorders>
              <w:top w:val="nil"/>
              <w:left w:val="nil"/>
              <w:bottom w:val="nil"/>
              <w:right w:val="nil"/>
            </w:tcBorders>
            <w:vAlign w:val="bottom"/>
          </w:tcPr>
          <w:p w:rsidR="00CD41E5" w:rsidRDefault="00CD41E5" w:rsidP="0054537C">
            <w:pPr>
              <w:tabs>
                <w:tab w:val="decimal" w:pos="903"/>
              </w:tabs>
              <w:spacing w:before="40" w:after="40"/>
              <w:jc w:val="both"/>
              <w:rPr>
                <w:rFonts w:ascii="Arial Narrow" w:hAnsi="Arial Narrow"/>
                <w:color w:val="000000"/>
                <w:sz w:val="16"/>
                <w:szCs w:val="16"/>
              </w:rPr>
            </w:pPr>
            <w:r>
              <w:rPr>
                <w:rFonts w:ascii="Arial Narrow" w:hAnsi="Arial Narrow"/>
                <w:color w:val="000000"/>
                <w:sz w:val="16"/>
                <w:szCs w:val="16"/>
              </w:rPr>
              <w:t>0</w:t>
            </w:r>
          </w:p>
        </w:tc>
        <w:tc>
          <w:tcPr>
            <w:tcW w:w="1701" w:type="dxa"/>
            <w:tcBorders>
              <w:top w:val="nil"/>
              <w:left w:val="nil"/>
              <w:bottom w:val="nil"/>
            </w:tcBorders>
            <w:vAlign w:val="bottom"/>
          </w:tcPr>
          <w:p w:rsidR="00CD41E5" w:rsidRDefault="00CD41E5" w:rsidP="0054537C">
            <w:pPr>
              <w:tabs>
                <w:tab w:val="decimal" w:pos="903"/>
              </w:tabs>
              <w:spacing w:before="40" w:after="40"/>
              <w:jc w:val="both"/>
              <w:rPr>
                <w:rFonts w:ascii="Arial Narrow" w:hAnsi="Arial Narrow"/>
                <w:color w:val="000000"/>
                <w:sz w:val="16"/>
                <w:szCs w:val="16"/>
              </w:rPr>
            </w:pPr>
            <w:r>
              <w:rPr>
                <w:rFonts w:ascii="Arial Narrow" w:hAnsi="Arial Narrow"/>
                <w:color w:val="000000"/>
                <w:sz w:val="16"/>
                <w:szCs w:val="16"/>
              </w:rPr>
              <w:t>0</w:t>
            </w:r>
          </w:p>
        </w:tc>
      </w:tr>
      <w:tr w:rsidR="00CD41E5" w:rsidRPr="00134459" w:rsidTr="0054537C">
        <w:trPr>
          <w:trHeight w:val="20"/>
          <w:jc w:val="center"/>
        </w:trPr>
        <w:tc>
          <w:tcPr>
            <w:tcW w:w="3510" w:type="dxa"/>
            <w:tcBorders>
              <w:top w:val="nil"/>
              <w:bottom w:val="single" w:sz="4" w:space="0" w:color="auto"/>
              <w:right w:val="nil"/>
            </w:tcBorders>
            <w:shd w:val="clear" w:color="auto" w:fill="BFBFBF" w:themeFill="background1" w:themeFillShade="BF"/>
          </w:tcPr>
          <w:p w:rsidR="00CD41E5" w:rsidRPr="005B1326" w:rsidRDefault="00CD41E5" w:rsidP="0054537C">
            <w:pPr>
              <w:tabs>
                <w:tab w:val="left" w:pos="567"/>
                <w:tab w:val="num" w:pos="720"/>
              </w:tabs>
              <w:spacing w:before="120" w:after="120"/>
              <w:jc w:val="both"/>
              <w:rPr>
                <w:rFonts w:ascii="Arial Narrow" w:hAnsi="Arial Narrow"/>
                <w:b/>
                <w:sz w:val="16"/>
                <w:szCs w:val="16"/>
                <w:lang w:val="en-US"/>
              </w:rPr>
            </w:pPr>
            <w:r w:rsidRPr="00134459">
              <w:rPr>
                <w:rFonts w:ascii="Arial Narrow" w:hAnsi="Arial Narrow"/>
                <w:b/>
                <w:sz w:val="16"/>
                <w:szCs w:val="16"/>
              </w:rPr>
              <w:t>Ισοζύγιο</w:t>
            </w:r>
            <w:r>
              <w:rPr>
                <w:rFonts w:ascii="Arial Narrow" w:hAnsi="Arial Narrow"/>
                <w:b/>
                <w:sz w:val="16"/>
                <w:szCs w:val="16"/>
              </w:rPr>
              <w:t xml:space="preserve"> κατά </w:t>
            </w:r>
            <w:r>
              <w:rPr>
                <w:rFonts w:ascii="Arial Narrow" w:hAnsi="Arial Narrow"/>
                <w:b/>
                <w:sz w:val="16"/>
                <w:szCs w:val="16"/>
                <w:lang w:val="en-US"/>
              </w:rPr>
              <w:t>ESA</w:t>
            </w:r>
          </w:p>
        </w:tc>
        <w:tc>
          <w:tcPr>
            <w:tcW w:w="1843" w:type="dxa"/>
            <w:tcBorders>
              <w:top w:val="nil"/>
              <w:left w:val="nil"/>
              <w:bottom w:val="single" w:sz="4" w:space="0" w:color="auto"/>
              <w:right w:val="nil"/>
            </w:tcBorders>
            <w:shd w:val="clear" w:color="auto" w:fill="BFBFBF" w:themeFill="background1" w:themeFillShade="BF"/>
            <w:vAlign w:val="bottom"/>
          </w:tcPr>
          <w:p w:rsidR="00CD41E5" w:rsidRPr="00134459" w:rsidRDefault="005C2384" w:rsidP="0054537C">
            <w:pPr>
              <w:tabs>
                <w:tab w:val="decimal" w:pos="903"/>
              </w:tabs>
              <w:spacing w:before="120" w:after="120"/>
              <w:jc w:val="both"/>
              <w:rPr>
                <w:rFonts w:ascii="Arial Narrow" w:hAnsi="Arial Narrow"/>
                <w:b/>
                <w:color w:val="000000"/>
                <w:sz w:val="16"/>
                <w:szCs w:val="16"/>
              </w:rPr>
            </w:pPr>
            <w:r>
              <w:rPr>
                <w:rFonts w:ascii="Arial Narrow" w:hAnsi="Arial Narrow"/>
                <w:b/>
                <w:color w:val="000000"/>
                <w:sz w:val="16"/>
                <w:szCs w:val="16"/>
              </w:rPr>
              <w:t>9</w:t>
            </w:r>
          </w:p>
        </w:tc>
        <w:tc>
          <w:tcPr>
            <w:tcW w:w="1701" w:type="dxa"/>
            <w:tcBorders>
              <w:top w:val="nil"/>
              <w:left w:val="nil"/>
              <w:bottom w:val="single" w:sz="4" w:space="0" w:color="auto"/>
            </w:tcBorders>
            <w:shd w:val="clear" w:color="auto" w:fill="BFBFBF" w:themeFill="background1" w:themeFillShade="BF"/>
            <w:vAlign w:val="bottom"/>
          </w:tcPr>
          <w:p w:rsidR="00CD41E5" w:rsidRPr="00134459" w:rsidRDefault="005C2384" w:rsidP="0054537C">
            <w:pPr>
              <w:tabs>
                <w:tab w:val="decimal" w:pos="903"/>
              </w:tabs>
              <w:spacing w:before="120" w:after="120"/>
              <w:jc w:val="both"/>
              <w:rPr>
                <w:rFonts w:ascii="Arial Narrow" w:hAnsi="Arial Narrow"/>
                <w:b/>
                <w:color w:val="000000"/>
                <w:sz w:val="16"/>
                <w:szCs w:val="16"/>
              </w:rPr>
            </w:pPr>
            <w:r>
              <w:rPr>
                <w:rFonts w:ascii="Arial Narrow" w:hAnsi="Arial Narrow"/>
                <w:b/>
                <w:color w:val="000000"/>
                <w:sz w:val="16"/>
                <w:szCs w:val="16"/>
              </w:rPr>
              <w:t>-1</w:t>
            </w:r>
          </w:p>
        </w:tc>
      </w:tr>
    </w:tbl>
    <w:p w:rsidR="00CD41E5" w:rsidRDefault="00CD41E5" w:rsidP="00CD41E5">
      <w:pPr>
        <w:jc w:val="both"/>
        <w:rPr>
          <w:rFonts w:ascii="Arial Narrow" w:hAnsi="Arial Narrow"/>
          <w:b/>
          <w:color w:val="000080"/>
          <w:sz w:val="22"/>
        </w:rPr>
      </w:pPr>
    </w:p>
    <w:p w:rsidR="00A85E0B" w:rsidRDefault="00A85E0B" w:rsidP="00A85E0B">
      <w:pPr>
        <w:keepNext/>
        <w:jc w:val="both"/>
        <w:outlineLvl w:val="4"/>
        <w:rPr>
          <w:rFonts w:ascii="Arial Narrow" w:hAnsi="Arial Narrow"/>
          <w:b/>
          <w:bCs/>
          <w:color w:val="000080"/>
        </w:rPr>
      </w:pPr>
    </w:p>
    <w:p w:rsidR="00497570" w:rsidRDefault="00497570" w:rsidP="00A85E0B">
      <w:pPr>
        <w:keepNext/>
        <w:jc w:val="both"/>
        <w:outlineLvl w:val="4"/>
        <w:rPr>
          <w:rFonts w:ascii="Arial Narrow" w:hAnsi="Arial Narrow"/>
          <w:b/>
          <w:bCs/>
          <w:color w:val="000080"/>
        </w:rPr>
      </w:pPr>
    </w:p>
    <w:p w:rsidR="00A85E0B" w:rsidRPr="00310A90" w:rsidRDefault="00A85E0B" w:rsidP="00A85E0B">
      <w:pPr>
        <w:keepNext/>
        <w:jc w:val="both"/>
        <w:outlineLvl w:val="4"/>
        <w:rPr>
          <w:rFonts w:ascii="Arial Narrow" w:hAnsi="Arial Narrow"/>
          <w:b/>
          <w:bCs/>
          <w:color w:val="000080"/>
        </w:rPr>
      </w:pPr>
      <w:r w:rsidRPr="00FF61A9">
        <w:rPr>
          <w:rFonts w:ascii="Arial Narrow" w:hAnsi="Arial Narrow"/>
          <w:b/>
          <w:bCs/>
          <w:color w:val="000080"/>
        </w:rPr>
        <w:t>Ασφαλιστικό Κεφάλαιο Αλληλεγγύης Γενεών (ΑΚΑΓΕ)</w:t>
      </w:r>
    </w:p>
    <w:p w:rsidR="00A85E0B" w:rsidRDefault="00A85E0B" w:rsidP="00A85E0B">
      <w:pPr>
        <w:pStyle w:val="af2"/>
        <w:spacing w:after="0" w:line="240" w:lineRule="auto"/>
        <w:ind w:left="0"/>
        <w:contextualSpacing w:val="0"/>
        <w:jc w:val="both"/>
        <w:rPr>
          <w:rFonts w:ascii="Times New Roman" w:eastAsia="Times New Roman" w:hAnsi="Times New Roman"/>
          <w:lang w:eastAsia="el-GR"/>
        </w:rPr>
      </w:pPr>
    </w:p>
    <w:p w:rsidR="00A85E0B" w:rsidRPr="00E55B03" w:rsidRDefault="00A85E0B" w:rsidP="00A85E0B">
      <w:pPr>
        <w:pStyle w:val="af2"/>
        <w:spacing w:after="0" w:line="240" w:lineRule="auto"/>
        <w:ind w:left="0"/>
        <w:contextualSpacing w:val="0"/>
        <w:jc w:val="both"/>
        <w:rPr>
          <w:rFonts w:ascii="Times New Roman" w:eastAsia="Times New Roman" w:hAnsi="Times New Roman"/>
          <w:lang w:eastAsia="el-GR"/>
        </w:rPr>
      </w:pPr>
      <w:r w:rsidRPr="00E55B03">
        <w:rPr>
          <w:rFonts w:ascii="Times New Roman" w:eastAsia="Times New Roman" w:hAnsi="Times New Roman"/>
          <w:lang w:eastAsia="el-GR"/>
        </w:rPr>
        <w:t>Το ΑΚΑΓΕ συστάθηκε με το άρθρο 149 του ν. 3655/2008 με βασικό σκοπό τη δημιουργία αποθεμ</w:t>
      </w:r>
      <w:r w:rsidRPr="00E55B03">
        <w:rPr>
          <w:rFonts w:ascii="Times New Roman" w:eastAsia="Times New Roman" w:hAnsi="Times New Roman"/>
          <w:lang w:eastAsia="el-GR"/>
        </w:rPr>
        <w:t>α</w:t>
      </w:r>
      <w:r w:rsidRPr="00E55B03">
        <w:rPr>
          <w:rFonts w:ascii="Times New Roman" w:eastAsia="Times New Roman" w:hAnsi="Times New Roman"/>
          <w:lang w:eastAsia="el-GR"/>
        </w:rPr>
        <w:t>τικών στο πλαίσιο της διασφάλισης των συντάξεων των νέων γενεών.</w:t>
      </w:r>
    </w:p>
    <w:p w:rsidR="00A85E0B" w:rsidRDefault="00A85E0B" w:rsidP="00A85E0B">
      <w:pPr>
        <w:pStyle w:val="af2"/>
        <w:spacing w:after="0" w:line="240" w:lineRule="auto"/>
        <w:ind w:left="0"/>
        <w:contextualSpacing w:val="0"/>
        <w:jc w:val="both"/>
        <w:rPr>
          <w:rFonts w:ascii="Times New Roman" w:eastAsia="Times New Roman" w:hAnsi="Times New Roman"/>
          <w:lang w:eastAsia="el-GR"/>
        </w:rPr>
      </w:pPr>
    </w:p>
    <w:p w:rsidR="00A85E0B" w:rsidRDefault="00A85E0B" w:rsidP="00A85E0B">
      <w:pPr>
        <w:pStyle w:val="af2"/>
        <w:spacing w:after="0" w:line="240" w:lineRule="auto"/>
        <w:ind w:left="0"/>
        <w:contextualSpacing w:val="0"/>
        <w:jc w:val="both"/>
        <w:rPr>
          <w:rFonts w:ascii="Times New Roman" w:eastAsia="Times New Roman" w:hAnsi="Times New Roman"/>
          <w:lang w:eastAsia="el-GR"/>
        </w:rPr>
      </w:pPr>
      <w:r w:rsidRPr="00E55B03">
        <w:rPr>
          <w:rFonts w:ascii="Times New Roman" w:eastAsia="Times New Roman" w:hAnsi="Times New Roman"/>
          <w:lang w:eastAsia="el-GR"/>
        </w:rPr>
        <w:t>Οι πηγές εσόδων του ΑΚΑΓΕ είναι:</w:t>
      </w:r>
    </w:p>
    <w:p w:rsidR="00A85E0B" w:rsidRPr="00E55B03" w:rsidRDefault="00A85E0B" w:rsidP="00A85E0B">
      <w:pPr>
        <w:pStyle w:val="af2"/>
        <w:spacing w:after="0" w:line="240" w:lineRule="auto"/>
        <w:ind w:left="0"/>
        <w:contextualSpacing w:val="0"/>
        <w:jc w:val="both"/>
        <w:rPr>
          <w:rFonts w:ascii="Times New Roman" w:eastAsia="Times New Roman" w:hAnsi="Times New Roman"/>
          <w:lang w:eastAsia="el-GR"/>
        </w:rPr>
      </w:pPr>
    </w:p>
    <w:p w:rsidR="00A85E0B" w:rsidRPr="001F5CED" w:rsidRDefault="00A85E0B" w:rsidP="00A85E0B">
      <w:pPr>
        <w:pStyle w:val="af2"/>
        <w:numPr>
          <w:ilvl w:val="0"/>
          <w:numId w:val="13"/>
        </w:numPr>
        <w:spacing w:after="0" w:line="240" w:lineRule="auto"/>
        <w:ind w:left="284" w:hanging="284"/>
        <w:contextualSpacing w:val="0"/>
        <w:jc w:val="both"/>
        <w:rPr>
          <w:rFonts w:ascii="Times New Roman" w:eastAsia="Times New Roman" w:hAnsi="Times New Roman"/>
          <w:lang w:eastAsia="el-GR"/>
        </w:rPr>
      </w:pPr>
      <w:r w:rsidRPr="001F5CED">
        <w:rPr>
          <w:rFonts w:ascii="Times New Roman" w:eastAsia="Times New Roman" w:hAnsi="Times New Roman"/>
          <w:lang w:eastAsia="el-GR"/>
        </w:rPr>
        <w:t xml:space="preserve">η επιχορήγηση από τον Κρατικό Προϋπολογισμό, </w:t>
      </w:r>
    </w:p>
    <w:p w:rsidR="00A85E0B" w:rsidRPr="00FE2966" w:rsidRDefault="00A85E0B" w:rsidP="00A85E0B">
      <w:pPr>
        <w:pStyle w:val="af2"/>
        <w:numPr>
          <w:ilvl w:val="0"/>
          <w:numId w:val="13"/>
        </w:numPr>
        <w:spacing w:after="0" w:line="240" w:lineRule="auto"/>
        <w:ind w:left="284" w:hanging="284"/>
        <w:contextualSpacing w:val="0"/>
        <w:jc w:val="both"/>
        <w:rPr>
          <w:rFonts w:ascii="Times New Roman" w:eastAsia="Times New Roman" w:hAnsi="Times New Roman"/>
          <w:lang w:eastAsia="el-GR"/>
        </w:rPr>
      </w:pPr>
      <w:r w:rsidRPr="001F5CED">
        <w:rPr>
          <w:rFonts w:ascii="Times New Roman" w:eastAsia="Times New Roman" w:hAnsi="Times New Roman"/>
          <w:lang w:eastAsia="el-GR"/>
        </w:rPr>
        <w:t xml:space="preserve">τα έσοδα από την Εισφορά Αλληλεγγύης Συνταξιούχων (ΕΑΣ) που προέρχονται από την </w:t>
      </w:r>
      <w:r w:rsidRPr="00FE2966">
        <w:rPr>
          <w:rFonts w:ascii="Times New Roman" w:eastAsia="Times New Roman" w:hAnsi="Times New Roman"/>
          <w:lang w:eastAsia="el-GR"/>
        </w:rPr>
        <w:t xml:space="preserve">κύρια και την επικουρική σύνταξη, </w:t>
      </w:r>
    </w:p>
    <w:p w:rsidR="00A85E0B" w:rsidRPr="00FE2966" w:rsidRDefault="00A85E0B" w:rsidP="00A85E0B">
      <w:pPr>
        <w:pStyle w:val="af2"/>
        <w:numPr>
          <w:ilvl w:val="0"/>
          <w:numId w:val="13"/>
        </w:numPr>
        <w:spacing w:after="0" w:line="240" w:lineRule="auto"/>
        <w:ind w:left="284" w:hanging="284"/>
        <w:contextualSpacing w:val="0"/>
        <w:jc w:val="both"/>
        <w:rPr>
          <w:rFonts w:ascii="Times New Roman" w:eastAsia="Times New Roman" w:hAnsi="Times New Roman"/>
          <w:lang w:eastAsia="el-GR"/>
        </w:rPr>
      </w:pPr>
      <w:r w:rsidRPr="00FE2966">
        <w:rPr>
          <w:rFonts w:ascii="Times New Roman" w:eastAsia="Times New Roman" w:hAnsi="Times New Roman"/>
          <w:lang w:eastAsia="el-GR"/>
        </w:rPr>
        <w:t>η μεταβίβαση ποσών από τον ΕΦΚΑ ως αντιστάθμισμα της μείωσης των εσόδων του από την α</w:t>
      </w:r>
      <w:r w:rsidRPr="00FE2966">
        <w:rPr>
          <w:rFonts w:ascii="Times New Roman" w:eastAsia="Times New Roman" w:hAnsi="Times New Roman"/>
          <w:lang w:eastAsia="el-GR"/>
        </w:rPr>
        <w:t>λ</w:t>
      </w:r>
      <w:r w:rsidRPr="00FE2966">
        <w:rPr>
          <w:rFonts w:ascii="Times New Roman" w:eastAsia="Times New Roman" w:hAnsi="Times New Roman"/>
          <w:lang w:eastAsia="el-GR"/>
        </w:rPr>
        <w:t>λαγή που επήλθε στον τρόπο υπολογισμού της Εισφοράς Αλληλεγγύης Συνταξιούχων με βάση τις διατάξεις</w:t>
      </w:r>
      <w:r>
        <w:rPr>
          <w:rFonts w:ascii="Times New Roman" w:eastAsia="Times New Roman" w:hAnsi="Times New Roman"/>
          <w:lang w:eastAsia="el-GR"/>
        </w:rPr>
        <w:t xml:space="preserve"> του άρθρου 27 του ν. 4585/2018 και </w:t>
      </w:r>
    </w:p>
    <w:p w:rsidR="00A85E0B" w:rsidRPr="006F51BD" w:rsidRDefault="00A85E0B" w:rsidP="00A85E0B">
      <w:pPr>
        <w:pStyle w:val="af2"/>
        <w:numPr>
          <w:ilvl w:val="0"/>
          <w:numId w:val="13"/>
        </w:numPr>
        <w:spacing w:after="0" w:line="240" w:lineRule="auto"/>
        <w:ind w:left="284" w:hanging="284"/>
        <w:contextualSpacing w:val="0"/>
        <w:jc w:val="both"/>
        <w:rPr>
          <w:rFonts w:ascii="Times New Roman" w:eastAsia="Times New Roman" w:hAnsi="Times New Roman"/>
          <w:lang w:eastAsia="el-GR"/>
        </w:rPr>
      </w:pPr>
      <w:r w:rsidRPr="006F51BD">
        <w:rPr>
          <w:rFonts w:ascii="Times New Roman" w:eastAsia="Times New Roman" w:hAnsi="Times New Roman"/>
          <w:lang w:eastAsia="el-GR"/>
        </w:rPr>
        <w:t>τα έσοδα από την απόδοση της περιουσίας του</w:t>
      </w:r>
      <w:r>
        <w:rPr>
          <w:rFonts w:ascii="Times New Roman" w:eastAsia="Times New Roman" w:hAnsi="Times New Roman"/>
          <w:lang w:eastAsia="el-GR"/>
        </w:rPr>
        <w:t>.</w:t>
      </w:r>
    </w:p>
    <w:p w:rsidR="00A85E0B" w:rsidRPr="00310A90" w:rsidRDefault="00A85E0B" w:rsidP="00A85E0B">
      <w:pPr>
        <w:pStyle w:val="af2"/>
        <w:spacing w:after="0" w:line="240" w:lineRule="auto"/>
        <w:contextualSpacing w:val="0"/>
        <w:jc w:val="both"/>
        <w:rPr>
          <w:highlight w:val="yellow"/>
        </w:rPr>
      </w:pPr>
    </w:p>
    <w:p w:rsidR="00A85E0B" w:rsidRPr="00A85E0B" w:rsidRDefault="00A85E0B" w:rsidP="00B20694">
      <w:pPr>
        <w:jc w:val="both"/>
        <w:rPr>
          <w:sz w:val="22"/>
          <w:szCs w:val="22"/>
        </w:rPr>
      </w:pPr>
      <w:r w:rsidRPr="00A85E0B">
        <w:rPr>
          <w:sz w:val="22"/>
          <w:szCs w:val="22"/>
        </w:rPr>
        <w:t xml:space="preserve">Το δημοσιονομικό αποτέλεσμα του ΑΚΑΓΕ για το 2021 προβλέπεται να διαμορφωθεί σε πλεόνασμα ύψους 1.539 εκατ. ευρώ, </w:t>
      </w:r>
      <w:r w:rsidR="00CD55E6">
        <w:rPr>
          <w:sz w:val="22"/>
          <w:szCs w:val="22"/>
        </w:rPr>
        <w:t xml:space="preserve">μειωμένο </w:t>
      </w:r>
      <w:r w:rsidRPr="00A85E0B">
        <w:rPr>
          <w:sz w:val="22"/>
          <w:szCs w:val="22"/>
        </w:rPr>
        <w:t>κατά 32 εκατ. ευρώ</w:t>
      </w:r>
      <w:r w:rsidR="00CD55E6">
        <w:rPr>
          <w:sz w:val="22"/>
          <w:szCs w:val="22"/>
        </w:rPr>
        <w:t xml:space="preserve"> </w:t>
      </w:r>
      <w:r w:rsidR="00CD55E6" w:rsidRPr="00A85E0B">
        <w:rPr>
          <w:sz w:val="22"/>
          <w:szCs w:val="22"/>
        </w:rPr>
        <w:t>έναντι των εκτιμήσεων για το 2020</w:t>
      </w:r>
      <w:r w:rsidRPr="00A85E0B">
        <w:rPr>
          <w:sz w:val="22"/>
          <w:szCs w:val="22"/>
        </w:rPr>
        <w:t>. Η μετ</w:t>
      </w:r>
      <w:r w:rsidRPr="00A85E0B">
        <w:rPr>
          <w:sz w:val="22"/>
          <w:szCs w:val="22"/>
        </w:rPr>
        <w:t>α</w:t>
      </w:r>
      <w:r w:rsidRPr="00A85E0B">
        <w:rPr>
          <w:sz w:val="22"/>
          <w:szCs w:val="22"/>
        </w:rPr>
        <w:t>βολή οφείλεται αφενός στη συνολική μείωση των εσόδων του κατά 68 εκατ. ευρώ και ειδικότερα:</w:t>
      </w:r>
    </w:p>
    <w:p w:rsidR="00A85E0B" w:rsidRPr="00A85E0B" w:rsidRDefault="00A85E0B" w:rsidP="00B20694">
      <w:pPr>
        <w:pStyle w:val="af2"/>
        <w:numPr>
          <w:ilvl w:val="0"/>
          <w:numId w:val="13"/>
        </w:numPr>
        <w:spacing w:after="0" w:line="240" w:lineRule="auto"/>
        <w:ind w:left="284" w:hanging="284"/>
        <w:contextualSpacing w:val="0"/>
        <w:jc w:val="both"/>
        <w:rPr>
          <w:rFonts w:ascii="Times New Roman" w:eastAsia="Times New Roman" w:hAnsi="Times New Roman"/>
          <w:lang w:eastAsia="el-GR"/>
        </w:rPr>
      </w:pPr>
      <w:r w:rsidRPr="00A85E0B">
        <w:rPr>
          <w:rFonts w:ascii="Times New Roman" w:eastAsia="Times New Roman" w:hAnsi="Times New Roman"/>
          <w:lang w:eastAsia="el-GR"/>
        </w:rPr>
        <w:t>στη μείωση κατά 20 εκατ. ευρώ της κρατικής επιχορήγησης, η οποία ισούται με ποσοστό 4% επί των ετησίων συνολικών εσόδων από το ΦΠΑ (ν. 4254/2014),</w:t>
      </w:r>
    </w:p>
    <w:p w:rsidR="00A85E0B" w:rsidRPr="00A85E0B" w:rsidRDefault="00A85E0B" w:rsidP="00B20694">
      <w:pPr>
        <w:pStyle w:val="af2"/>
        <w:numPr>
          <w:ilvl w:val="0"/>
          <w:numId w:val="13"/>
        </w:numPr>
        <w:spacing w:after="0" w:line="240" w:lineRule="auto"/>
        <w:ind w:left="284" w:hanging="284"/>
        <w:contextualSpacing w:val="0"/>
        <w:jc w:val="both"/>
        <w:rPr>
          <w:rFonts w:ascii="Times New Roman" w:eastAsia="Times New Roman" w:hAnsi="Times New Roman"/>
          <w:lang w:eastAsia="el-GR"/>
        </w:rPr>
      </w:pPr>
      <w:r w:rsidRPr="00A85E0B">
        <w:rPr>
          <w:rFonts w:ascii="Times New Roman" w:eastAsia="Times New Roman" w:hAnsi="Times New Roman"/>
          <w:lang w:eastAsia="el-GR"/>
        </w:rPr>
        <w:t xml:space="preserve">στη μείωση κατά 35 εκατ. ευρώ των εσόδων από τόκους και προσόδους κινητών αξιών και </w:t>
      </w:r>
    </w:p>
    <w:p w:rsidR="00A85E0B" w:rsidRPr="00A85E0B" w:rsidRDefault="00A85E0B" w:rsidP="00B20694">
      <w:pPr>
        <w:pStyle w:val="af2"/>
        <w:numPr>
          <w:ilvl w:val="0"/>
          <w:numId w:val="13"/>
        </w:numPr>
        <w:spacing w:after="0" w:line="240" w:lineRule="auto"/>
        <w:ind w:left="284" w:hanging="284"/>
        <w:contextualSpacing w:val="0"/>
        <w:jc w:val="both"/>
        <w:rPr>
          <w:rFonts w:ascii="Times New Roman" w:eastAsia="Times New Roman" w:hAnsi="Times New Roman"/>
          <w:lang w:eastAsia="el-GR"/>
        </w:rPr>
      </w:pPr>
      <w:r w:rsidRPr="00A85E0B">
        <w:rPr>
          <w:rFonts w:ascii="Times New Roman" w:eastAsia="Times New Roman" w:hAnsi="Times New Roman"/>
          <w:lang w:eastAsia="el-GR"/>
        </w:rPr>
        <w:t>στη μείωση κατά 13 εκατ. ευρώ τ</w:t>
      </w:r>
      <w:r w:rsidR="002A787B">
        <w:rPr>
          <w:rFonts w:ascii="Times New Roman" w:eastAsia="Times New Roman" w:hAnsi="Times New Roman"/>
          <w:lang w:eastAsia="el-GR"/>
        </w:rPr>
        <w:t>ων μεταβιβάσεων από ΟΚΑ (ν. 4585</w:t>
      </w:r>
      <w:r w:rsidRPr="00A85E0B">
        <w:rPr>
          <w:rFonts w:ascii="Times New Roman" w:eastAsia="Times New Roman" w:hAnsi="Times New Roman"/>
          <w:lang w:eastAsia="el-GR"/>
        </w:rPr>
        <w:t>/2018)</w:t>
      </w:r>
    </w:p>
    <w:p w:rsidR="00A85E0B" w:rsidRPr="00A85E0B" w:rsidRDefault="00A85E0B" w:rsidP="00A85E0B">
      <w:pPr>
        <w:pStyle w:val="af2"/>
        <w:spacing w:after="0" w:line="240" w:lineRule="auto"/>
        <w:ind w:left="0"/>
        <w:contextualSpacing w:val="0"/>
        <w:jc w:val="both"/>
        <w:rPr>
          <w:rFonts w:ascii="Times New Roman" w:eastAsia="Times New Roman" w:hAnsi="Times New Roman"/>
          <w:lang w:eastAsia="el-GR"/>
        </w:rPr>
      </w:pPr>
    </w:p>
    <w:p w:rsidR="00A85E0B" w:rsidRPr="00A85E0B" w:rsidRDefault="00A85E0B" w:rsidP="00A85E0B">
      <w:pPr>
        <w:pStyle w:val="af2"/>
        <w:spacing w:after="0" w:line="240" w:lineRule="auto"/>
        <w:ind w:left="0"/>
        <w:contextualSpacing w:val="0"/>
        <w:jc w:val="both"/>
        <w:rPr>
          <w:rFonts w:ascii="Times New Roman" w:eastAsia="Times New Roman" w:hAnsi="Times New Roman"/>
          <w:lang w:eastAsia="el-GR"/>
        </w:rPr>
      </w:pPr>
      <w:r w:rsidRPr="00A85E0B">
        <w:rPr>
          <w:rFonts w:ascii="Times New Roman" w:eastAsia="Times New Roman" w:hAnsi="Times New Roman"/>
          <w:lang w:eastAsia="el-GR"/>
        </w:rPr>
        <w:lastRenderedPageBreak/>
        <w:t>και αφετέρου στην αύξηση κατά 34 εκατ. ευρώ των εσόδων από την εισφορά αλληλεγγύης συντ</w:t>
      </w:r>
      <w:r w:rsidRPr="00A85E0B">
        <w:rPr>
          <w:rFonts w:ascii="Times New Roman" w:eastAsia="Times New Roman" w:hAnsi="Times New Roman"/>
          <w:lang w:eastAsia="el-GR"/>
        </w:rPr>
        <w:t>α</w:t>
      </w:r>
      <w:r w:rsidRPr="00A85E0B">
        <w:rPr>
          <w:rFonts w:ascii="Times New Roman" w:eastAsia="Times New Roman" w:hAnsi="Times New Roman"/>
          <w:lang w:eastAsia="el-GR"/>
        </w:rPr>
        <w:t>ξιούχων επί της κύριας και της επικουρικής σύνταξης.</w:t>
      </w:r>
    </w:p>
    <w:p w:rsidR="00497570" w:rsidRDefault="00497570">
      <w:pPr>
        <w:rPr>
          <w:sz w:val="22"/>
          <w:szCs w:val="22"/>
        </w:rPr>
      </w:pPr>
    </w:p>
    <w:p w:rsidR="00497570" w:rsidRDefault="00497570" w:rsidP="00497570">
      <w:pPr>
        <w:jc w:val="both"/>
        <w:rPr>
          <w:sz w:val="22"/>
          <w:szCs w:val="22"/>
        </w:rPr>
      </w:pPr>
    </w:p>
    <w:tbl>
      <w:tblPr>
        <w:tblW w:w="7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8"/>
        <w:gridCol w:w="1188"/>
        <w:gridCol w:w="1059"/>
      </w:tblGrid>
      <w:tr w:rsidR="00497570" w:rsidRPr="00DD28CB" w:rsidTr="001A440D">
        <w:trPr>
          <w:trHeight w:val="20"/>
          <w:jc w:val="center"/>
        </w:trPr>
        <w:tc>
          <w:tcPr>
            <w:tcW w:w="7195" w:type="dxa"/>
            <w:gridSpan w:val="3"/>
            <w:tcBorders>
              <w:top w:val="single" w:sz="4" w:space="0" w:color="auto"/>
              <w:left w:val="single" w:sz="4" w:space="0" w:color="auto"/>
              <w:bottom w:val="nil"/>
              <w:right w:val="single" w:sz="4" w:space="0" w:color="auto"/>
            </w:tcBorders>
            <w:shd w:val="clear" w:color="auto" w:fill="404040"/>
            <w:noWrap/>
            <w:tcMar>
              <w:left w:w="28" w:type="dxa"/>
              <w:right w:w="28" w:type="dxa"/>
            </w:tcMar>
            <w:hideMark/>
          </w:tcPr>
          <w:p w:rsidR="00497570" w:rsidRPr="00DD28CB" w:rsidRDefault="006D58F6" w:rsidP="001A440D">
            <w:pPr>
              <w:spacing w:before="120"/>
              <w:jc w:val="center"/>
              <w:rPr>
                <w:rFonts w:ascii="Arial Narrow" w:hAnsi="Arial Narrow"/>
                <w:b/>
                <w:color w:val="FFFFFF"/>
                <w:szCs w:val="16"/>
              </w:rPr>
            </w:pPr>
            <w:r>
              <w:rPr>
                <w:rFonts w:ascii="Arial Narrow" w:hAnsi="Arial Narrow"/>
                <w:b/>
                <w:color w:val="FFFFFF"/>
                <w:szCs w:val="16"/>
              </w:rPr>
              <w:t>Πίνακας 3.20</w:t>
            </w:r>
            <w:r w:rsidR="00497570" w:rsidRPr="00DD28CB">
              <w:rPr>
                <w:rFonts w:ascii="Arial Narrow" w:hAnsi="Arial Narrow"/>
                <w:b/>
                <w:color w:val="FFFFFF"/>
                <w:szCs w:val="16"/>
              </w:rPr>
              <w:t xml:space="preserve">  Προϋπολογισμός ΑΚΑΓΕ</w:t>
            </w:r>
          </w:p>
          <w:p w:rsidR="00497570" w:rsidRPr="00DD28CB" w:rsidRDefault="00497570" w:rsidP="001A440D">
            <w:pPr>
              <w:spacing w:after="120"/>
              <w:jc w:val="center"/>
              <w:rPr>
                <w:rFonts w:ascii="Arial Narrow" w:hAnsi="Arial Narrow"/>
                <w:b/>
                <w:color w:val="FFFFFF"/>
                <w:szCs w:val="16"/>
              </w:rPr>
            </w:pPr>
            <w:r w:rsidRPr="00DD28CB">
              <w:rPr>
                <w:rFonts w:ascii="Arial Narrow" w:hAnsi="Arial Narrow"/>
                <w:b/>
                <w:color w:val="FFFFFF"/>
                <w:szCs w:val="16"/>
              </w:rPr>
              <w:t>(σε εκατ. ευρώ)</w:t>
            </w:r>
          </w:p>
        </w:tc>
      </w:tr>
      <w:tr w:rsidR="00497570" w:rsidRPr="00DD28CB" w:rsidTr="001A440D">
        <w:trPr>
          <w:trHeight w:val="20"/>
          <w:jc w:val="center"/>
        </w:trPr>
        <w:tc>
          <w:tcPr>
            <w:tcW w:w="7195" w:type="dxa"/>
            <w:gridSpan w:val="3"/>
            <w:tcBorders>
              <w:top w:val="nil"/>
              <w:left w:val="single" w:sz="4" w:space="0" w:color="auto"/>
              <w:bottom w:val="nil"/>
              <w:right w:val="single" w:sz="4" w:space="0" w:color="auto"/>
            </w:tcBorders>
            <w:noWrap/>
            <w:tcMar>
              <w:left w:w="28" w:type="dxa"/>
              <w:right w:w="28" w:type="dxa"/>
            </w:tcMar>
          </w:tcPr>
          <w:p w:rsidR="00497570" w:rsidRPr="00DD28CB" w:rsidRDefault="00497570" w:rsidP="001A440D">
            <w:pPr>
              <w:ind w:right="907"/>
              <w:jc w:val="right"/>
              <w:rPr>
                <w:rFonts w:ascii="Arial Narrow" w:hAnsi="Arial Narrow"/>
                <w:sz w:val="16"/>
                <w:szCs w:val="16"/>
              </w:rPr>
            </w:pPr>
          </w:p>
        </w:tc>
      </w:tr>
      <w:tr w:rsidR="00497570" w:rsidRPr="00DD28CB" w:rsidTr="001A440D">
        <w:trPr>
          <w:trHeight w:val="20"/>
          <w:jc w:val="center"/>
        </w:trPr>
        <w:tc>
          <w:tcPr>
            <w:tcW w:w="4948" w:type="dxa"/>
            <w:tcBorders>
              <w:top w:val="single" w:sz="4" w:space="0" w:color="auto"/>
              <w:left w:val="single" w:sz="4" w:space="0" w:color="auto"/>
              <w:bottom w:val="single" w:sz="4" w:space="0" w:color="auto"/>
              <w:right w:val="single" w:sz="4" w:space="0" w:color="auto"/>
            </w:tcBorders>
            <w:noWrap/>
            <w:tcMar>
              <w:left w:w="28" w:type="dxa"/>
              <w:right w:w="28" w:type="dxa"/>
            </w:tcMar>
          </w:tcPr>
          <w:p w:rsidR="00497570" w:rsidRPr="00DD28CB" w:rsidRDefault="00497570" w:rsidP="001A440D">
            <w:pPr>
              <w:spacing w:before="60" w:after="60" w:line="360" w:lineRule="auto"/>
              <w:jc w:val="both"/>
              <w:rPr>
                <w:rFonts w:ascii="Arial Narrow" w:hAnsi="Arial Narrow"/>
                <w:b/>
                <w:bCs/>
                <w:sz w:val="16"/>
                <w:szCs w:val="16"/>
              </w:rPr>
            </w:pPr>
          </w:p>
        </w:tc>
        <w:tc>
          <w:tcPr>
            <w:tcW w:w="1188"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97570" w:rsidRPr="00875EE9" w:rsidRDefault="00497570" w:rsidP="001A440D">
            <w:pPr>
              <w:jc w:val="center"/>
              <w:rPr>
                <w:rFonts w:ascii="Arial Narrow" w:hAnsi="Arial Narrow"/>
                <w:b/>
                <w:bCs/>
                <w:sz w:val="16"/>
                <w:szCs w:val="16"/>
              </w:rPr>
            </w:pPr>
            <w:r>
              <w:rPr>
                <w:rFonts w:ascii="Arial Narrow" w:hAnsi="Arial Narrow"/>
                <w:b/>
                <w:bCs/>
                <w:sz w:val="16"/>
                <w:szCs w:val="16"/>
              </w:rPr>
              <w:t>2020</w:t>
            </w:r>
          </w:p>
          <w:p w:rsidR="00497570" w:rsidRPr="00DD28CB" w:rsidRDefault="00497570" w:rsidP="001A440D">
            <w:pPr>
              <w:jc w:val="center"/>
              <w:rPr>
                <w:rFonts w:ascii="Arial Narrow" w:hAnsi="Arial Narrow"/>
                <w:b/>
                <w:bCs/>
                <w:sz w:val="16"/>
                <w:szCs w:val="16"/>
              </w:rPr>
            </w:pPr>
            <w:r w:rsidRPr="00DD28CB">
              <w:rPr>
                <w:rFonts w:ascii="Arial Narrow" w:hAnsi="Arial Narrow"/>
                <w:b/>
                <w:bCs/>
                <w:sz w:val="16"/>
                <w:szCs w:val="16"/>
              </w:rPr>
              <w:t>Εκτιμήσεις</w:t>
            </w:r>
          </w:p>
        </w:tc>
        <w:tc>
          <w:tcPr>
            <w:tcW w:w="105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497570" w:rsidRPr="00875EE9" w:rsidRDefault="00497570" w:rsidP="001A440D">
            <w:pPr>
              <w:jc w:val="center"/>
              <w:rPr>
                <w:rFonts w:ascii="Arial Narrow" w:hAnsi="Arial Narrow"/>
                <w:b/>
                <w:bCs/>
                <w:sz w:val="16"/>
                <w:szCs w:val="16"/>
              </w:rPr>
            </w:pPr>
            <w:r>
              <w:rPr>
                <w:rFonts w:ascii="Arial Narrow" w:hAnsi="Arial Narrow"/>
                <w:b/>
                <w:bCs/>
                <w:sz w:val="16"/>
                <w:szCs w:val="16"/>
              </w:rPr>
              <w:t>2021</w:t>
            </w:r>
          </w:p>
          <w:p w:rsidR="00497570" w:rsidRPr="00DD28CB" w:rsidRDefault="00497570" w:rsidP="001A440D">
            <w:pPr>
              <w:jc w:val="center"/>
              <w:rPr>
                <w:rFonts w:ascii="Arial Narrow" w:hAnsi="Arial Narrow"/>
                <w:b/>
                <w:bCs/>
                <w:sz w:val="16"/>
                <w:szCs w:val="16"/>
              </w:rPr>
            </w:pPr>
            <w:r w:rsidRPr="00DD28CB">
              <w:rPr>
                <w:rFonts w:ascii="Arial Narrow" w:hAnsi="Arial Narrow"/>
                <w:b/>
                <w:bCs/>
                <w:sz w:val="16"/>
                <w:szCs w:val="16"/>
              </w:rPr>
              <w:t>Προβλέψεις</w:t>
            </w:r>
          </w:p>
        </w:tc>
      </w:tr>
      <w:tr w:rsidR="001B4ABD" w:rsidRPr="00DD28CB" w:rsidTr="001A440D">
        <w:trPr>
          <w:trHeight w:val="20"/>
          <w:jc w:val="center"/>
        </w:trPr>
        <w:tc>
          <w:tcPr>
            <w:tcW w:w="4948" w:type="dxa"/>
            <w:tcBorders>
              <w:top w:val="single" w:sz="4" w:space="0" w:color="auto"/>
              <w:left w:val="single" w:sz="4" w:space="0" w:color="auto"/>
              <w:bottom w:val="nil"/>
              <w:right w:val="nil"/>
            </w:tcBorders>
            <w:shd w:val="clear" w:color="auto" w:fill="D9D9D9" w:themeFill="background1" w:themeFillShade="D9"/>
            <w:noWrap/>
            <w:tcMar>
              <w:left w:w="28" w:type="dxa"/>
              <w:right w:w="28" w:type="dxa"/>
            </w:tcMar>
            <w:vAlign w:val="center"/>
            <w:hideMark/>
          </w:tcPr>
          <w:p w:rsidR="001B4ABD" w:rsidRPr="00DD28CB" w:rsidRDefault="001B4ABD" w:rsidP="001A440D">
            <w:pPr>
              <w:spacing w:before="60" w:after="60"/>
              <w:rPr>
                <w:rFonts w:ascii="Arial Narrow" w:hAnsi="Arial Narrow"/>
                <w:b/>
                <w:bCs/>
                <w:sz w:val="16"/>
                <w:szCs w:val="16"/>
              </w:rPr>
            </w:pPr>
            <w:r w:rsidRPr="00DD28CB">
              <w:rPr>
                <w:rFonts w:ascii="Arial Narrow" w:hAnsi="Arial Narrow"/>
                <w:b/>
                <w:bCs/>
                <w:sz w:val="16"/>
                <w:szCs w:val="16"/>
              </w:rPr>
              <w:t>Έσοδα</w:t>
            </w:r>
          </w:p>
        </w:tc>
        <w:tc>
          <w:tcPr>
            <w:tcW w:w="1188" w:type="dxa"/>
            <w:tcBorders>
              <w:top w:val="single" w:sz="4" w:space="0" w:color="auto"/>
              <w:left w:val="nil"/>
              <w:bottom w:val="nil"/>
              <w:right w:val="nil"/>
            </w:tcBorders>
            <w:shd w:val="clear" w:color="auto" w:fill="D9D9D9" w:themeFill="background1" w:themeFillShade="D9"/>
            <w:tcMar>
              <w:left w:w="28" w:type="dxa"/>
              <w:right w:w="28" w:type="dxa"/>
            </w:tcMar>
            <w:vAlign w:val="center"/>
            <w:hideMark/>
          </w:tcPr>
          <w:p w:rsidR="001B4ABD" w:rsidRPr="006D58F6" w:rsidRDefault="001B4ABD" w:rsidP="001A440D">
            <w:pPr>
              <w:spacing w:before="60" w:after="60"/>
              <w:ind w:right="340"/>
              <w:jc w:val="right"/>
              <w:rPr>
                <w:rFonts w:ascii="Arial Narrow" w:hAnsi="Arial Narrow"/>
                <w:b/>
                <w:bCs/>
                <w:color w:val="000000"/>
                <w:sz w:val="16"/>
                <w:szCs w:val="16"/>
              </w:rPr>
            </w:pPr>
            <w:r w:rsidRPr="004E51DA">
              <w:rPr>
                <w:rFonts w:ascii="Arial Narrow" w:hAnsi="Arial Narrow"/>
                <w:b/>
                <w:bCs/>
                <w:color w:val="000000"/>
                <w:sz w:val="16"/>
                <w:szCs w:val="16"/>
              </w:rPr>
              <w:t>1.</w:t>
            </w:r>
            <w:r w:rsidRPr="006D58F6">
              <w:rPr>
                <w:rFonts w:ascii="Arial Narrow" w:hAnsi="Arial Narrow"/>
                <w:b/>
                <w:bCs/>
                <w:color w:val="000000"/>
                <w:sz w:val="16"/>
                <w:szCs w:val="16"/>
              </w:rPr>
              <w:t>573</w:t>
            </w:r>
          </w:p>
        </w:tc>
        <w:tc>
          <w:tcPr>
            <w:tcW w:w="1059" w:type="dxa"/>
            <w:tcBorders>
              <w:top w:val="single" w:sz="4" w:space="0" w:color="auto"/>
              <w:left w:val="nil"/>
              <w:bottom w:val="nil"/>
              <w:right w:val="single" w:sz="4" w:space="0" w:color="auto"/>
            </w:tcBorders>
            <w:shd w:val="clear" w:color="auto" w:fill="D9D9D9" w:themeFill="background1" w:themeFillShade="D9"/>
            <w:tcMar>
              <w:left w:w="28" w:type="dxa"/>
              <w:right w:w="28" w:type="dxa"/>
            </w:tcMar>
            <w:vAlign w:val="center"/>
            <w:hideMark/>
          </w:tcPr>
          <w:p w:rsidR="001B4ABD" w:rsidRPr="004E51DA" w:rsidRDefault="001B4ABD" w:rsidP="001A440D">
            <w:pPr>
              <w:spacing w:before="60" w:after="60"/>
              <w:ind w:right="340"/>
              <w:jc w:val="right"/>
              <w:rPr>
                <w:rFonts w:ascii="Arial Narrow" w:hAnsi="Arial Narrow"/>
                <w:b/>
                <w:bCs/>
                <w:color w:val="000000"/>
                <w:sz w:val="16"/>
                <w:szCs w:val="16"/>
              </w:rPr>
            </w:pPr>
            <w:r w:rsidRPr="004E51DA">
              <w:rPr>
                <w:rFonts w:ascii="Arial Narrow" w:hAnsi="Arial Narrow"/>
                <w:b/>
                <w:bCs/>
                <w:color w:val="000000"/>
                <w:sz w:val="16"/>
                <w:szCs w:val="16"/>
              </w:rPr>
              <w:t>1.</w:t>
            </w:r>
            <w:r w:rsidRPr="006D58F6">
              <w:rPr>
                <w:rFonts w:ascii="Arial Narrow" w:hAnsi="Arial Narrow"/>
                <w:b/>
                <w:bCs/>
                <w:color w:val="000000"/>
                <w:sz w:val="16"/>
                <w:szCs w:val="16"/>
              </w:rPr>
              <w:t>539</w:t>
            </w:r>
          </w:p>
        </w:tc>
      </w:tr>
      <w:tr w:rsidR="001B4ABD" w:rsidRPr="00DD28CB" w:rsidTr="001A440D">
        <w:trPr>
          <w:trHeight w:val="20"/>
          <w:jc w:val="center"/>
        </w:trPr>
        <w:tc>
          <w:tcPr>
            <w:tcW w:w="4948" w:type="dxa"/>
            <w:tcBorders>
              <w:top w:val="nil"/>
              <w:left w:val="single" w:sz="4" w:space="0" w:color="auto"/>
              <w:bottom w:val="nil"/>
              <w:right w:val="nil"/>
            </w:tcBorders>
            <w:noWrap/>
            <w:tcMar>
              <w:left w:w="28" w:type="dxa"/>
              <w:right w:w="28" w:type="dxa"/>
            </w:tcMar>
            <w:vAlign w:val="center"/>
            <w:hideMark/>
          </w:tcPr>
          <w:p w:rsidR="001B4ABD" w:rsidRPr="00DD28CB" w:rsidRDefault="001B4ABD" w:rsidP="006D58F6">
            <w:pPr>
              <w:spacing w:before="40" w:after="40"/>
              <w:rPr>
                <w:rFonts w:ascii="Arial Narrow" w:hAnsi="Arial Narrow"/>
                <w:sz w:val="16"/>
                <w:szCs w:val="16"/>
              </w:rPr>
            </w:pPr>
            <w:r w:rsidRPr="00DD28CB">
              <w:rPr>
                <w:rFonts w:ascii="Arial Narrow" w:hAnsi="Arial Narrow"/>
                <w:sz w:val="16"/>
                <w:szCs w:val="16"/>
              </w:rPr>
              <w:t>Εισφορά αλληλεγγύης συνταξιούχων (κύρια σύνταξη)</w:t>
            </w:r>
          </w:p>
        </w:tc>
        <w:tc>
          <w:tcPr>
            <w:tcW w:w="1188" w:type="dxa"/>
            <w:tcBorders>
              <w:top w:val="nil"/>
              <w:left w:val="nil"/>
              <w:bottom w:val="nil"/>
              <w:right w:val="nil"/>
            </w:tcBorders>
            <w:tcMar>
              <w:left w:w="28" w:type="dxa"/>
              <w:right w:w="28" w:type="dxa"/>
            </w:tcMar>
            <w:vAlign w:val="center"/>
            <w:hideMark/>
          </w:tcPr>
          <w:p w:rsidR="001B4ABD" w:rsidRPr="004E51DA" w:rsidRDefault="001B4ABD" w:rsidP="006D58F6">
            <w:pPr>
              <w:spacing w:before="40" w:after="40"/>
              <w:ind w:right="340"/>
              <w:jc w:val="right"/>
              <w:rPr>
                <w:rFonts w:ascii="Arial Narrow" w:hAnsi="Arial Narrow"/>
                <w:color w:val="000000"/>
                <w:sz w:val="16"/>
                <w:szCs w:val="16"/>
              </w:rPr>
            </w:pPr>
            <w:r w:rsidRPr="006D58F6">
              <w:rPr>
                <w:rFonts w:ascii="Arial Narrow" w:hAnsi="Arial Narrow"/>
                <w:color w:val="000000"/>
                <w:sz w:val="16"/>
                <w:szCs w:val="16"/>
              </w:rPr>
              <w:t>236</w:t>
            </w:r>
          </w:p>
        </w:tc>
        <w:tc>
          <w:tcPr>
            <w:tcW w:w="1059" w:type="dxa"/>
            <w:tcBorders>
              <w:top w:val="nil"/>
              <w:left w:val="nil"/>
              <w:bottom w:val="nil"/>
              <w:right w:val="single" w:sz="4" w:space="0" w:color="auto"/>
            </w:tcBorders>
            <w:tcMar>
              <w:left w:w="28" w:type="dxa"/>
              <w:right w:w="28" w:type="dxa"/>
            </w:tcMar>
            <w:vAlign w:val="center"/>
            <w:hideMark/>
          </w:tcPr>
          <w:p w:rsidR="001B4ABD" w:rsidRPr="006D58F6" w:rsidRDefault="001B4ABD" w:rsidP="006D58F6">
            <w:pPr>
              <w:spacing w:before="40" w:after="40"/>
              <w:ind w:right="340"/>
              <w:jc w:val="right"/>
              <w:rPr>
                <w:rFonts w:ascii="Arial Narrow" w:hAnsi="Arial Narrow"/>
                <w:color w:val="000000"/>
                <w:sz w:val="16"/>
                <w:szCs w:val="16"/>
              </w:rPr>
            </w:pPr>
            <w:r w:rsidRPr="004E51DA">
              <w:rPr>
                <w:rFonts w:ascii="Arial Narrow" w:hAnsi="Arial Narrow"/>
                <w:color w:val="000000"/>
                <w:sz w:val="16"/>
                <w:szCs w:val="16"/>
              </w:rPr>
              <w:t>2</w:t>
            </w:r>
            <w:r w:rsidRPr="006D58F6">
              <w:rPr>
                <w:rFonts w:ascii="Arial Narrow" w:hAnsi="Arial Narrow"/>
                <w:color w:val="000000"/>
                <w:sz w:val="16"/>
                <w:szCs w:val="16"/>
              </w:rPr>
              <w:t>47</w:t>
            </w:r>
          </w:p>
        </w:tc>
      </w:tr>
      <w:tr w:rsidR="001B4ABD" w:rsidRPr="00DD28CB" w:rsidTr="001A440D">
        <w:trPr>
          <w:trHeight w:val="20"/>
          <w:jc w:val="center"/>
        </w:trPr>
        <w:tc>
          <w:tcPr>
            <w:tcW w:w="4948" w:type="dxa"/>
            <w:tcBorders>
              <w:top w:val="nil"/>
              <w:left w:val="single" w:sz="4" w:space="0" w:color="auto"/>
              <w:bottom w:val="nil"/>
              <w:right w:val="nil"/>
            </w:tcBorders>
            <w:noWrap/>
            <w:tcMar>
              <w:left w:w="28" w:type="dxa"/>
              <w:right w:w="28" w:type="dxa"/>
            </w:tcMar>
            <w:vAlign w:val="center"/>
            <w:hideMark/>
          </w:tcPr>
          <w:p w:rsidR="001B4ABD" w:rsidRPr="00DD28CB" w:rsidRDefault="001B4ABD" w:rsidP="001A440D">
            <w:pPr>
              <w:spacing w:before="40" w:after="40"/>
              <w:rPr>
                <w:rFonts w:ascii="Arial Narrow" w:hAnsi="Arial Narrow"/>
                <w:sz w:val="16"/>
                <w:szCs w:val="16"/>
              </w:rPr>
            </w:pPr>
            <w:r w:rsidRPr="00DD28CB">
              <w:rPr>
                <w:rFonts w:ascii="Arial Narrow" w:hAnsi="Arial Narrow"/>
                <w:sz w:val="16"/>
                <w:szCs w:val="16"/>
              </w:rPr>
              <w:t>Εισφορά αλληλεγγύης συνταξιούχων (επικουρική σύνταξη)</w:t>
            </w:r>
          </w:p>
        </w:tc>
        <w:tc>
          <w:tcPr>
            <w:tcW w:w="1188" w:type="dxa"/>
            <w:tcBorders>
              <w:top w:val="nil"/>
              <w:left w:val="nil"/>
              <w:bottom w:val="nil"/>
              <w:right w:val="nil"/>
            </w:tcBorders>
            <w:tcMar>
              <w:left w:w="28" w:type="dxa"/>
              <w:right w:w="28" w:type="dxa"/>
            </w:tcMar>
            <w:vAlign w:val="center"/>
            <w:hideMark/>
          </w:tcPr>
          <w:p w:rsidR="001B4ABD" w:rsidRPr="004E51DA" w:rsidRDefault="001B4ABD" w:rsidP="001A440D">
            <w:pPr>
              <w:spacing w:before="40" w:after="40"/>
              <w:ind w:right="340"/>
              <w:jc w:val="right"/>
              <w:rPr>
                <w:rFonts w:ascii="Arial Narrow" w:hAnsi="Arial Narrow"/>
                <w:color w:val="000000"/>
                <w:sz w:val="16"/>
                <w:szCs w:val="16"/>
              </w:rPr>
            </w:pPr>
            <w:r w:rsidRPr="004E51DA">
              <w:rPr>
                <w:rFonts w:ascii="Arial Narrow" w:hAnsi="Arial Narrow"/>
                <w:color w:val="000000"/>
                <w:sz w:val="16"/>
                <w:szCs w:val="16"/>
                <w:lang w:val="en-US"/>
              </w:rPr>
              <w:t>124</w:t>
            </w:r>
          </w:p>
        </w:tc>
        <w:tc>
          <w:tcPr>
            <w:tcW w:w="1059" w:type="dxa"/>
            <w:tcBorders>
              <w:top w:val="nil"/>
              <w:left w:val="nil"/>
              <w:bottom w:val="nil"/>
              <w:right w:val="single" w:sz="4" w:space="0" w:color="auto"/>
            </w:tcBorders>
            <w:tcMar>
              <w:left w:w="28" w:type="dxa"/>
              <w:right w:w="28" w:type="dxa"/>
            </w:tcMar>
            <w:vAlign w:val="center"/>
            <w:hideMark/>
          </w:tcPr>
          <w:p w:rsidR="001B4ABD" w:rsidRPr="004E51DA" w:rsidRDefault="001B4ABD" w:rsidP="001A440D">
            <w:pPr>
              <w:spacing w:before="40" w:after="40"/>
              <w:ind w:right="340"/>
              <w:jc w:val="right"/>
              <w:rPr>
                <w:rFonts w:ascii="Arial Narrow" w:hAnsi="Arial Narrow"/>
                <w:color w:val="000000"/>
                <w:sz w:val="16"/>
                <w:szCs w:val="16"/>
              </w:rPr>
            </w:pPr>
            <w:r w:rsidRPr="004E51DA">
              <w:rPr>
                <w:rFonts w:ascii="Arial Narrow" w:hAnsi="Arial Narrow"/>
                <w:color w:val="000000"/>
                <w:sz w:val="16"/>
                <w:szCs w:val="16"/>
                <w:lang w:val="en-US"/>
              </w:rPr>
              <w:t>147</w:t>
            </w:r>
          </w:p>
        </w:tc>
      </w:tr>
      <w:tr w:rsidR="001B4ABD" w:rsidRPr="00DD28CB" w:rsidTr="001A440D">
        <w:trPr>
          <w:trHeight w:val="20"/>
          <w:jc w:val="center"/>
        </w:trPr>
        <w:tc>
          <w:tcPr>
            <w:tcW w:w="4948" w:type="dxa"/>
            <w:tcBorders>
              <w:top w:val="nil"/>
              <w:left w:val="single" w:sz="4" w:space="0" w:color="auto"/>
              <w:bottom w:val="nil"/>
              <w:right w:val="nil"/>
            </w:tcBorders>
            <w:noWrap/>
            <w:tcMar>
              <w:left w:w="28" w:type="dxa"/>
              <w:right w:w="28" w:type="dxa"/>
            </w:tcMar>
            <w:vAlign w:val="center"/>
            <w:hideMark/>
          </w:tcPr>
          <w:p w:rsidR="001B4ABD" w:rsidRPr="00DD28CB" w:rsidRDefault="001B4ABD" w:rsidP="00CA214F">
            <w:pPr>
              <w:spacing w:before="40" w:after="40"/>
              <w:rPr>
                <w:rFonts w:ascii="Arial Narrow" w:hAnsi="Arial Narrow"/>
                <w:sz w:val="16"/>
                <w:szCs w:val="16"/>
              </w:rPr>
            </w:pPr>
            <w:r w:rsidRPr="00DD28CB">
              <w:rPr>
                <w:rFonts w:ascii="Arial Narrow" w:hAnsi="Arial Narrow"/>
                <w:sz w:val="16"/>
                <w:szCs w:val="16"/>
              </w:rPr>
              <w:t>Έσοδα από</w:t>
            </w:r>
            <w:r>
              <w:rPr>
                <w:rFonts w:ascii="Arial Narrow" w:hAnsi="Arial Narrow"/>
                <w:sz w:val="16"/>
                <w:szCs w:val="16"/>
              </w:rPr>
              <w:t xml:space="preserve"> τόκους και προσόδους κινητών αξιών</w:t>
            </w:r>
          </w:p>
        </w:tc>
        <w:tc>
          <w:tcPr>
            <w:tcW w:w="1188" w:type="dxa"/>
            <w:tcBorders>
              <w:top w:val="nil"/>
              <w:left w:val="nil"/>
              <w:bottom w:val="nil"/>
              <w:right w:val="nil"/>
            </w:tcBorders>
            <w:tcMar>
              <w:left w:w="28" w:type="dxa"/>
              <w:right w:w="28" w:type="dxa"/>
            </w:tcMar>
            <w:vAlign w:val="center"/>
            <w:hideMark/>
          </w:tcPr>
          <w:p w:rsidR="001B4ABD" w:rsidRPr="004E51DA" w:rsidRDefault="001B4ABD" w:rsidP="001A440D">
            <w:pPr>
              <w:spacing w:before="40" w:after="40"/>
              <w:ind w:right="340"/>
              <w:jc w:val="right"/>
              <w:rPr>
                <w:rFonts w:ascii="Arial Narrow" w:hAnsi="Arial Narrow"/>
                <w:color w:val="000000"/>
                <w:sz w:val="16"/>
                <w:szCs w:val="16"/>
              </w:rPr>
            </w:pPr>
            <w:r w:rsidRPr="004E51DA">
              <w:rPr>
                <w:rFonts w:ascii="Arial Narrow" w:hAnsi="Arial Narrow"/>
                <w:color w:val="000000"/>
                <w:sz w:val="16"/>
                <w:szCs w:val="16"/>
                <w:lang w:val="en-US"/>
              </w:rPr>
              <w:t>215</w:t>
            </w:r>
          </w:p>
        </w:tc>
        <w:tc>
          <w:tcPr>
            <w:tcW w:w="1059" w:type="dxa"/>
            <w:tcBorders>
              <w:top w:val="nil"/>
              <w:left w:val="nil"/>
              <w:bottom w:val="nil"/>
              <w:right w:val="single" w:sz="4" w:space="0" w:color="auto"/>
            </w:tcBorders>
            <w:tcMar>
              <w:left w:w="28" w:type="dxa"/>
              <w:right w:w="28" w:type="dxa"/>
            </w:tcMar>
            <w:vAlign w:val="center"/>
            <w:hideMark/>
          </w:tcPr>
          <w:p w:rsidR="001B4ABD" w:rsidRPr="004E51DA" w:rsidRDefault="001B4ABD" w:rsidP="001A440D">
            <w:pPr>
              <w:spacing w:before="40" w:after="40"/>
              <w:ind w:right="340"/>
              <w:jc w:val="right"/>
              <w:rPr>
                <w:rFonts w:ascii="Arial Narrow" w:hAnsi="Arial Narrow"/>
                <w:color w:val="000000"/>
                <w:sz w:val="16"/>
                <w:szCs w:val="16"/>
              </w:rPr>
            </w:pPr>
            <w:r w:rsidRPr="004E51DA">
              <w:rPr>
                <w:rFonts w:ascii="Arial Narrow" w:hAnsi="Arial Narrow"/>
                <w:color w:val="000000"/>
                <w:sz w:val="16"/>
                <w:szCs w:val="16"/>
                <w:lang w:val="en-US"/>
              </w:rPr>
              <w:t>180</w:t>
            </w:r>
          </w:p>
        </w:tc>
      </w:tr>
      <w:tr w:rsidR="001B4ABD" w:rsidRPr="00DD28CB" w:rsidTr="001A440D">
        <w:trPr>
          <w:trHeight w:val="20"/>
          <w:jc w:val="center"/>
        </w:trPr>
        <w:tc>
          <w:tcPr>
            <w:tcW w:w="4948" w:type="dxa"/>
            <w:tcBorders>
              <w:top w:val="nil"/>
              <w:left w:val="single" w:sz="4" w:space="0" w:color="auto"/>
              <w:bottom w:val="nil"/>
              <w:right w:val="nil"/>
            </w:tcBorders>
            <w:noWrap/>
            <w:tcMar>
              <w:left w:w="28" w:type="dxa"/>
              <w:right w:w="28" w:type="dxa"/>
            </w:tcMar>
            <w:vAlign w:val="center"/>
            <w:hideMark/>
          </w:tcPr>
          <w:p w:rsidR="001B4ABD" w:rsidRPr="00202F08" w:rsidRDefault="001B4ABD" w:rsidP="001A440D">
            <w:pPr>
              <w:spacing w:before="40" w:after="40"/>
              <w:rPr>
                <w:rFonts w:ascii="Arial Narrow" w:hAnsi="Arial Narrow"/>
                <w:sz w:val="16"/>
                <w:szCs w:val="16"/>
                <w:vertAlign w:val="superscript"/>
              </w:rPr>
            </w:pPr>
            <w:r>
              <w:rPr>
                <w:rFonts w:ascii="Arial Narrow" w:hAnsi="Arial Narrow"/>
                <w:sz w:val="16"/>
                <w:szCs w:val="16"/>
              </w:rPr>
              <w:t>Μεταβιβάσεις</w:t>
            </w:r>
            <w:r w:rsidRPr="00202F08">
              <w:rPr>
                <w:rFonts w:ascii="Arial Narrow" w:hAnsi="Arial Narrow"/>
                <w:sz w:val="16"/>
                <w:szCs w:val="16"/>
              </w:rPr>
              <w:t xml:space="preserve"> από τον κρατικό προϋπολογισμό (ν. 4254/</w:t>
            </w:r>
            <w:r>
              <w:rPr>
                <w:rFonts w:ascii="Arial Narrow" w:hAnsi="Arial Narrow"/>
                <w:sz w:val="16"/>
                <w:szCs w:val="16"/>
              </w:rPr>
              <w:t>20</w:t>
            </w:r>
            <w:r w:rsidRPr="00202F08">
              <w:rPr>
                <w:rFonts w:ascii="Arial Narrow" w:hAnsi="Arial Narrow"/>
                <w:sz w:val="16"/>
                <w:szCs w:val="16"/>
              </w:rPr>
              <w:t>14)</w:t>
            </w:r>
          </w:p>
        </w:tc>
        <w:tc>
          <w:tcPr>
            <w:tcW w:w="1188" w:type="dxa"/>
            <w:tcBorders>
              <w:top w:val="nil"/>
              <w:left w:val="nil"/>
              <w:bottom w:val="nil"/>
              <w:right w:val="nil"/>
            </w:tcBorders>
            <w:tcMar>
              <w:left w:w="28" w:type="dxa"/>
              <w:right w:w="28" w:type="dxa"/>
            </w:tcMar>
            <w:vAlign w:val="center"/>
            <w:hideMark/>
          </w:tcPr>
          <w:p w:rsidR="001B4ABD" w:rsidRPr="004E51DA" w:rsidRDefault="001B4ABD" w:rsidP="001A440D">
            <w:pPr>
              <w:spacing w:before="40" w:after="40"/>
              <w:ind w:right="340"/>
              <w:jc w:val="right"/>
              <w:rPr>
                <w:rFonts w:ascii="Arial Narrow" w:hAnsi="Arial Narrow"/>
                <w:color w:val="000000"/>
                <w:sz w:val="16"/>
                <w:szCs w:val="16"/>
              </w:rPr>
            </w:pPr>
            <w:r w:rsidRPr="004E51DA">
              <w:rPr>
                <w:rFonts w:ascii="Arial Narrow" w:hAnsi="Arial Narrow"/>
                <w:color w:val="000000"/>
                <w:sz w:val="16"/>
                <w:szCs w:val="16"/>
                <w:lang w:val="en-US"/>
              </w:rPr>
              <w:t>585</w:t>
            </w:r>
          </w:p>
        </w:tc>
        <w:tc>
          <w:tcPr>
            <w:tcW w:w="1059" w:type="dxa"/>
            <w:tcBorders>
              <w:top w:val="nil"/>
              <w:left w:val="nil"/>
              <w:bottom w:val="nil"/>
              <w:right w:val="single" w:sz="4" w:space="0" w:color="auto"/>
            </w:tcBorders>
            <w:tcMar>
              <w:left w:w="28" w:type="dxa"/>
              <w:right w:w="28" w:type="dxa"/>
            </w:tcMar>
            <w:vAlign w:val="center"/>
            <w:hideMark/>
          </w:tcPr>
          <w:p w:rsidR="001B4ABD" w:rsidRPr="004E51DA" w:rsidRDefault="001B4ABD" w:rsidP="001A440D">
            <w:pPr>
              <w:spacing w:before="40" w:after="40"/>
              <w:ind w:right="340"/>
              <w:jc w:val="right"/>
              <w:rPr>
                <w:rFonts w:ascii="Arial Narrow" w:hAnsi="Arial Narrow"/>
                <w:color w:val="000000"/>
                <w:sz w:val="16"/>
                <w:szCs w:val="16"/>
              </w:rPr>
            </w:pPr>
            <w:r w:rsidRPr="004E51DA">
              <w:rPr>
                <w:rFonts w:ascii="Arial Narrow" w:hAnsi="Arial Narrow"/>
                <w:color w:val="000000"/>
                <w:sz w:val="16"/>
                <w:szCs w:val="16"/>
                <w:lang w:val="en-US"/>
              </w:rPr>
              <w:t>565</w:t>
            </w:r>
          </w:p>
        </w:tc>
      </w:tr>
      <w:tr w:rsidR="001B4ABD" w:rsidRPr="00DD28CB" w:rsidTr="001A440D">
        <w:trPr>
          <w:trHeight w:val="20"/>
          <w:jc w:val="center"/>
        </w:trPr>
        <w:tc>
          <w:tcPr>
            <w:tcW w:w="4948" w:type="dxa"/>
            <w:tcBorders>
              <w:top w:val="nil"/>
              <w:left w:val="single" w:sz="4" w:space="0" w:color="auto"/>
              <w:bottom w:val="nil"/>
              <w:right w:val="nil"/>
            </w:tcBorders>
            <w:noWrap/>
            <w:tcMar>
              <w:left w:w="28" w:type="dxa"/>
              <w:right w:w="28" w:type="dxa"/>
            </w:tcMar>
            <w:vAlign w:val="center"/>
            <w:hideMark/>
          </w:tcPr>
          <w:p w:rsidR="001B4ABD" w:rsidRPr="001C1222" w:rsidRDefault="001B4ABD" w:rsidP="001A440D">
            <w:pPr>
              <w:spacing w:before="40" w:after="40"/>
              <w:rPr>
                <w:rFonts w:ascii="Arial Narrow" w:hAnsi="Arial Narrow"/>
                <w:sz w:val="16"/>
                <w:szCs w:val="16"/>
              </w:rPr>
            </w:pPr>
            <w:r>
              <w:rPr>
                <w:rFonts w:ascii="Arial Narrow" w:hAnsi="Arial Narrow"/>
                <w:sz w:val="16"/>
                <w:szCs w:val="16"/>
              </w:rPr>
              <w:t>Μεταβιβάσεις από ΟΚΑ (ν. 4585/2018)</w:t>
            </w:r>
          </w:p>
        </w:tc>
        <w:tc>
          <w:tcPr>
            <w:tcW w:w="1188" w:type="dxa"/>
            <w:tcBorders>
              <w:top w:val="nil"/>
              <w:left w:val="nil"/>
              <w:bottom w:val="nil"/>
              <w:right w:val="nil"/>
            </w:tcBorders>
            <w:tcMar>
              <w:left w:w="28" w:type="dxa"/>
              <w:right w:w="28" w:type="dxa"/>
            </w:tcMar>
            <w:vAlign w:val="center"/>
            <w:hideMark/>
          </w:tcPr>
          <w:p w:rsidR="001B4ABD" w:rsidRPr="004E51DA" w:rsidRDefault="001B4ABD" w:rsidP="001A440D">
            <w:pPr>
              <w:spacing w:before="40" w:after="40"/>
              <w:ind w:right="340"/>
              <w:jc w:val="right"/>
              <w:rPr>
                <w:rFonts w:ascii="Arial Narrow" w:hAnsi="Arial Narrow"/>
                <w:color w:val="000000"/>
                <w:sz w:val="16"/>
                <w:szCs w:val="16"/>
              </w:rPr>
            </w:pPr>
            <w:r w:rsidRPr="004E51DA">
              <w:rPr>
                <w:rFonts w:ascii="Arial Narrow" w:hAnsi="Arial Narrow"/>
                <w:color w:val="000000"/>
                <w:sz w:val="16"/>
                <w:szCs w:val="16"/>
                <w:lang w:val="en-US"/>
              </w:rPr>
              <w:t>413</w:t>
            </w:r>
          </w:p>
        </w:tc>
        <w:tc>
          <w:tcPr>
            <w:tcW w:w="1059" w:type="dxa"/>
            <w:tcBorders>
              <w:top w:val="nil"/>
              <w:left w:val="nil"/>
              <w:bottom w:val="nil"/>
              <w:right w:val="single" w:sz="4" w:space="0" w:color="auto"/>
            </w:tcBorders>
            <w:tcMar>
              <w:left w:w="28" w:type="dxa"/>
              <w:right w:w="28" w:type="dxa"/>
            </w:tcMar>
            <w:vAlign w:val="center"/>
            <w:hideMark/>
          </w:tcPr>
          <w:p w:rsidR="001B4ABD" w:rsidRPr="004E51DA" w:rsidRDefault="001B4ABD" w:rsidP="001A440D">
            <w:pPr>
              <w:spacing w:before="40" w:after="40"/>
              <w:ind w:right="340"/>
              <w:jc w:val="right"/>
              <w:rPr>
                <w:rFonts w:ascii="Arial Narrow" w:hAnsi="Arial Narrow"/>
                <w:color w:val="000000"/>
                <w:sz w:val="16"/>
                <w:szCs w:val="16"/>
              </w:rPr>
            </w:pPr>
            <w:r w:rsidRPr="004E51DA">
              <w:rPr>
                <w:rFonts w:ascii="Arial Narrow" w:hAnsi="Arial Narrow"/>
                <w:color w:val="000000"/>
                <w:sz w:val="16"/>
                <w:szCs w:val="16"/>
                <w:lang w:val="en-US"/>
              </w:rPr>
              <w:t>400</w:t>
            </w:r>
          </w:p>
        </w:tc>
      </w:tr>
      <w:tr w:rsidR="001B4ABD" w:rsidRPr="00DD28CB" w:rsidTr="001A440D">
        <w:trPr>
          <w:trHeight w:val="283"/>
          <w:jc w:val="center"/>
        </w:trPr>
        <w:tc>
          <w:tcPr>
            <w:tcW w:w="4948" w:type="dxa"/>
            <w:tcBorders>
              <w:top w:val="nil"/>
              <w:left w:val="single" w:sz="4" w:space="0" w:color="auto"/>
              <w:bottom w:val="nil"/>
              <w:right w:val="nil"/>
            </w:tcBorders>
            <w:shd w:val="clear" w:color="auto" w:fill="D9D9D9" w:themeFill="background1" w:themeFillShade="D9"/>
            <w:noWrap/>
            <w:tcMar>
              <w:left w:w="28" w:type="dxa"/>
              <w:right w:w="28" w:type="dxa"/>
            </w:tcMar>
            <w:vAlign w:val="center"/>
            <w:hideMark/>
          </w:tcPr>
          <w:p w:rsidR="001B4ABD" w:rsidRPr="00DD28CB" w:rsidRDefault="001B4ABD" w:rsidP="001A440D">
            <w:pPr>
              <w:spacing w:before="60" w:after="60"/>
              <w:rPr>
                <w:rFonts w:ascii="Arial Narrow" w:hAnsi="Arial Narrow"/>
                <w:b/>
                <w:bCs/>
                <w:sz w:val="16"/>
                <w:szCs w:val="16"/>
              </w:rPr>
            </w:pPr>
            <w:r w:rsidRPr="00DD28CB">
              <w:rPr>
                <w:rFonts w:ascii="Arial Narrow" w:hAnsi="Arial Narrow"/>
                <w:b/>
                <w:bCs/>
                <w:sz w:val="16"/>
                <w:szCs w:val="16"/>
              </w:rPr>
              <w:t>Δαπάνες</w:t>
            </w:r>
          </w:p>
        </w:tc>
        <w:tc>
          <w:tcPr>
            <w:tcW w:w="1188" w:type="dxa"/>
            <w:tcBorders>
              <w:top w:val="nil"/>
              <w:left w:val="nil"/>
              <w:bottom w:val="nil"/>
              <w:right w:val="nil"/>
            </w:tcBorders>
            <w:shd w:val="clear" w:color="auto" w:fill="D9D9D9" w:themeFill="background1" w:themeFillShade="D9"/>
            <w:tcMar>
              <w:left w:w="28" w:type="dxa"/>
              <w:right w:w="28" w:type="dxa"/>
            </w:tcMar>
            <w:vAlign w:val="center"/>
            <w:hideMark/>
          </w:tcPr>
          <w:p w:rsidR="001B4ABD" w:rsidRPr="004E51DA" w:rsidRDefault="001B4ABD" w:rsidP="001A440D">
            <w:pPr>
              <w:spacing w:before="60" w:after="60"/>
              <w:ind w:right="340"/>
              <w:jc w:val="right"/>
              <w:rPr>
                <w:rFonts w:ascii="Arial Narrow" w:hAnsi="Arial Narrow"/>
                <w:b/>
                <w:bCs/>
                <w:color w:val="000000"/>
                <w:sz w:val="16"/>
                <w:szCs w:val="16"/>
                <w:lang w:val="en-US"/>
              </w:rPr>
            </w:pPr>
            <w:r w:rsidRPr="004E51DA">
              <w:rPr>
                <w:rFonts w:ascii="Arial Narrow" w:hAnsi="Arial Narrow"/>
                <w:b/>
                <w:bCs/>
                <w:color w:val="000000"/>
                <w:sz w:val="16"/>
                <w:szCs w:val="16"/>
                <w:lang w:val="en-US"/>
              </w:rPr>
              <w:t>2</w:t>
            </w:r>
          </w:p>
        </w:tc>
        <w:tc>
          <w:tcPr>
            <w:tcW w:w="1059" w:type="dxa"/>
            <w:tcBorders>
              <w:top w:val="nil"/>
              <w:left w:val="nil"/>
              <w:bottom w:val="nil"/>
              <w:right w:val="single" w:sz="4" w:space="0" w:color="auto"/>
            </w:tcBorders>
            <w:shd w:val="clear" w:color="auto" w:fill="D9D9D9" w:themeFill="background1" w:themeFillShade="D9"/>
            <w:tcMar>
              <w:left w:w="28" w:type="dxa"/>
              <w:right w:w="28" w:type="dxa"/>
            </w:tcMar>
            <w:vAlign w:val="center"/>
            <w:hideMark/>
          </w:tcPr>
          <w:p w:rsidR="001B4ABD" w:rsidRPr="004E51DA" w:rsidRDefault="001B4ABD" w:rsidP="001A440D">
            <w:pPr>
              <w:spacing w:before="60" w:after="60"/>
              <w:ind w:right="340"/>
              <w:jc w:val="right"/>
              <w:rPr>
                <w:rFonts w:ascii="Arial Narrow" w:hAnsi="Arial Narrow"/>
                <w:b/>
                <w:bCs/>
                <w:color w:val="000000"/>
                <w:sz w:val="16"/>
                <w:szCs w:val="16"/>
              </w:rPr>
            </w:pPr>
            <w:r w:rsidRPr="004E51DA">
              <w:rPr>
                <w:rFonts w:ascii="Arial Narrow" w:hAnsi="Arial Narrow"/>
                <w:b/>
                <w:bCs/>
                <w:color w:val="000000"/>
                <w:sz w:val="16"/>
                <w:szCs w:val="16"/>
              </w:rPr>
              <w:t>0</w:t>
            </w:r>
          </w:p>
        </w:tc>
      </w:tr>
      <w:tr w:rsidR="001B4ABD" w:rsidRPr="00DD28CB" w:rsidTr="001A440D">
        <w:trPr>
          <w:trHeight w:val="227"/>
          <w:jc w:val="center"/>
        </w:trPr>
        <w:tc>
          <w:tcPr>
            <w:tcW w:w="4948" w:type="dxa"/>
            <w:tcBorders>
              <w:top w:val="nil"/>
              <w:left w:val="single" w:sz="4" w:space="0" w:color="auto"/>
              <w:bottom w:val="single" w:sz="4" w:space="0" w:color="auto"/>
              <w:right w:val="nil"/>
            </w:tcBorders>
            <w:noWrap/>
            <w:tcMar>
              <w:left w:w="28" w:type="dxa"/>
              <w:right w:w="28" w:type="dxa"/>
            </w:tcMar>
            <w:vAlign w:val="center"/>
            <w:hideMark/>
          </w:tcPr>
          <w:p w:rsidR="001B4ABD" w:rsidRPr="00202F08" w:rsidRDefault="001B4ABD" w:rsidP="001A440D">
            <w:pPr>
              <w:spacing w:before="40" w:after="40"/>
              <w:rPr>
                <w:rFonts w:ascii="Arial Narrow" w:hAnsi="Arial Narrow"/>
                <w:sz w:val="16"/>
                <w:szCs w:val="16"/>
              </w:rPr>
            </w:pPr>
            <w:r w:rsidRPr="00202F08">
              <w:rPr>
                <w:rFonts w:ascii="Arial Narrow" w:hAnsi="Arial Narrow"/>
                <w:sz w:val="16"/>
                <w:szCs w:val="16"/>
              </w:rPr>
              <w:t>Μεταβιβάσεις για το Πρόγραμμα "Βοήθεια στο σπίτι"</w:t>
            </w:r>
          </w:p>
        </w:tc>
        <w:tc>
          <w:tcPr>
            <w:tcW w:w="1188" w:type="dxa"/>
            <w:tcBorders>
              <w:top w:val="nil"/>
              <w:left w:val="nil"/>
              <w:right w:val="nil"/>
            </w:tcBorders>
            <w:tcMar>
              <w:left w:w="28" w:type="dxa"/>
              <w:right w:w="28" w:type="dxa"/>
            </w:tcMar>
            <w:vAlign w:val="center"/>
            <w:hideMark/>
          </w:tcPr>
          <w:p w:rsidR="001B4ABD" w:rsidRPr="004E51DA" w:rsidRDefault="001B4ABD" w:rsidP="001A440D">
            <w:pPr>
              <w:spacing w:before="40" w:after="40"/>
              <w:ind w:right="340"/>
              <w:jc w:val="right"/>
              <w:rPr>
                <w:rFonts w:ascii="Arial Narrow" w:hAnsi="Arial Narrow"/>
                <w:color w:val="000000"/>
                <w:sz w:val="16"/>
                <w:szCs w:val="16"/>
                <w:lang w:val="en-US"/>
              </w:rPr>
            </w:pPr>
            <w:r w:rsidRPr="004E51DA">
              <w:rPr>
                <w:rFonts w:ascii="Arial Narrow" w:hAnsi="Arial Narrow"/>
                <w:color w:val="000000"/>
                <w:sz w:val="16"/>
                <w:szCs w:val="16"/>
                <w:lang w:val="en-US"/>
              </w:rPr>
              <w:t>2</w:t>
            </w:r>
          </w:p>
        </w:tc>
        <w:tc>
          <w:tcPr>
            <w:tcW w:w="1059" w:type="dxa"/>
            <w:tcBorders>
              <w:top w:val="nil"/>
              <w:left w:val="nil"/>
              <w:right w:val="single" w:sz="4" w:space="0" w:color="auto"/>
            </w:tcBorders>
            <w:tcMar>
              <w:left w:w="28" w:type="dxa"/>
              <w:right w:w="28" w:type="dxa"/>
            </w:tcMar>
            <w:vAlign w:val="center"/>
            <w:hideMark/>
          </w:tcPr>
          <w:p w:rsidR="001B4ABD" w:rsidRPr="004E51DA" w:rsidRDefault="001B4ABD" w:rsidP="001A440D">
            <w:pPr>
              <w:spacing w:before="40" w:after="40"/>
              <w:ind w:right="340"/>
              <w:jc w:val="right"/>
              <w:rPr>
                <w:rFonts w:ascii="Arial Narrow" w:hAnsi="Arial Narrow"/>
                <w:color w:val="000000"/>
                <w:sz w:val="16"/>
                <w:szCs w:val="16"/>
              </w:rPr>
            </w:pPr>
            <w:r w:rsidRPr="004E51DA">
              <w:rPr>
                <w:rFonts w:ascii="Arial Narrow" w:hAnsi="Arial Narrow"/>
                <w:color w:val="000000"/>
                <w:sz w:val="16"/>
                <w:szCs w:val="16"/>
              </w:rPr>
              <w:t>0</w:t>
            </w:r>
          </w:p>
        </w:tc>
      </w:tr>
      <w:tr w:rsidR="001B4ABD" w:rsidRPr="00DD28CB" w:rsidTr="001A440D">
        <w:trPr>
          <w:trHeight w:val="20"/>
          <w:jc w:val="center"/>
        </w:trPr>
        <w:tc>
          <w:tcPr>
            <w:tcW w:w="4948" w:type="dxa"/>
            <w:tcBorders>
              <w:top w:val="nil"/>
              <w:left w:val="single" w:sz="4" w:space="0" w:color="auto"/>
              <w:bottom w:val="single" w:sz="4" w:space="0" w:color="auto"/>
              <w:right w:val="nil"/>
            </w:tcBorders>
            <w:shd w:val="clear" w:color="auto" w:fill="D9D9D9" w:themeFill="background1" w:themeFillShade="D9"/>
            <w:noWrap/>
            <w:tcMar>
              <w:left w:w="28" w:type="dxa"/>
              <w:right w:w="28" w:type="dxa"/>
            </w:tcMar>
            <w:vAlign w:val="center"/>
            <w:hideMark/>
          </w:tcPr>
          <w:p w:rsidR="001B4ABD" w:rsidRPr="005B1326" w:rsidRDefault="001B4ABD" w:rsidP="001A440D">
            <w:pPr>
              <w:spacing w:before="120" w:after="120"/>
              <w:rPr>
                <w:rFonts w:ascii="Arial Narrow" w:hAnsi="Arial Narrow"/>
                <w:b/>
                <w:bCs/>
                <w:sz w:val="16"/>
                <w:szCs w:val="16"/>
                <w:lang w:val="en-US"/>
              </w:rPr>
            </w:pPr>
            <w:r w:rsidRPr="00DD28CB">
              <w:rPr>
                <w:rFonts w:ascii="Arial Narrow" w:hAnsi="Arial Narrow"/>
                <w:b/>
                <w:bCs/>
                <w:sz w:val="16"/>
                <w:szCs w:val="16"/>
              </w:rPr>
              <w:t>Ισοζύγιο</w:t>
            </w:r>
            <w:r>
              <w:rPr>
                <w:rFonts w:ascii="Arial Narrow" w:hAnsi="Arial Narrow"/>
                <w:b/>
                <w:bCs/>
                <w:sz w:val="16"/>
                <w:szCs w:val="16"/>
              </w:rPr>
              <w:t xml:space="preserve"> κατά </w:t>
            </w:r>
            <w:r>
              <w:rPr>
                <w:rFonts w:ascii="Arial Narrow" w:hAnsi="Arial Narrow"/>
                <w:b/>
                <w:bCs/>
                <w:sz w:val="16"/>
                <w:szCs w:val="16"/>
                <w:lang w:val="en-US"/>
              </w:rPr>
              <w:t>ESA</w:t>
            </w:r>
          </w:p>
        </w:tc>
        <w:tc>
          <w:tcPr>
            <w:tcW w:w="1188" w:type="dxa"/>
            <w:tcBorders>
              <w:top w:val="single" w:sz="4" w:space="0" w:color="auto"/>
              <w:left w:val="nil"/>
              <w:bottom w:val="single" w:sz="4" w:space="0" w:color="auto"/>
              <w:right w:val="nil"/>
            </w:tcBorders>
            <w:shd w:val="clear" w:color="auto" w:fill="D9D9D9" w:themeFill="background1" w:themeFillShade="D9"/>
            <w:tcMar>
              <w:left w:w="28" w:type="dxa"/>
              <w:right w:w="28" w:type="dxa"/>
            </w:tcMar>
            <w:vAlign w:val="center"/>
            <w:hideMark/>
          </w:tcPr>
          <w:p w:rsidR="001B4ABD" w:rsidRPr="004E51DA" w:rsidRDefault="001B4ABD" w:rsidP="001A440D">
            <w:pPr>
              <w:ind w:right="340"/>
              <w:jc w:val="right"/>
              <w:rPr>
                <w:rFonts w:ascii="Arial Narrow" w:hAnsi="Arial Narrow"/>
                <w:b/>
                <w:bCs/>
                <w:color w:val="000000"/>
                <w:sz w:val="16"/>
                <w:szCs w:val="16"/>
              </w:rPr>
            </w:pPr>
            <w:r w:rsidRPr="004E51DA">
              <w:rPr>
                <w:rFonts w:ascii="Arial Narrow" w:hAnsi="Arial Narrow"/>
                <w:b/>
                <w:bCs/>
                <w:color w:val="000000"/>
                <w:sz w:val="16"/>
                <w:szCs w:val="16"/>
              </w:rPr>
              <w:t>1.</w:t>
            </w:r>
            <w:r w:rsidRPr="004E51DA">
              <w:rPr>
                <w:rFonts w:ascii="Arial Narrow" w:hAnsi="Arial Narrow"/>
                <w:b/>
                <w:bCs/>
                <w:color w:val="000000"/>
                <w:sz w:val="16"/>
                <w:szCs w:val="16"/>
                <w:lang w:val="en-US"/>
              </w:rPr>
              <w:t>571</w:t>
            </w:r>
          </w:p>
        </w:tc>
        <w:tc>
          <w:tcPr>
            <w:tcW w:w="1059" w:type="dxa"/>
            <w:tcBorders>
              <w:top w:val="single" w:sz="4" w:space="0" w:color="auto"/>
              <w:left w:val="nil"/>
              <w:bottom w:val="single" w:sz="4" w:space="0" w:color="auto"/>
              <w:right w:val="single" w:sz="4" w:space="0" w:color="auto"/>
            </w:tcBorders>
            <w:shd w:val="clear" w:color="auto" w:fill="D9D9D9" w:themeFill="background1" w:themeFillShade="D9"/>
            <w:tcMar>
              <w:left w:w="28" w:type="dxa"/>
              <w:right w:w="28" w:type="dxa"/>
            </w:tcMar>
            <w:vAlign w:val="center"/>
            <w:hideMark/>
          </w:tcPr>
          <w:p w:rsidR="001B4ABD" w:rsidRPr="004E51DA" w:rsidRDefault="001B4ABD" w:rsidP="001A440D">
            <w:pPr>
              <w:ind w:right="340"/>
              <w:jc w:val="right"/>
              <w:rPr>
                <w:rFonts w:ascii="Arial Narrow" w:hAnsi="Arial Narrow"/>
                <w:b/>
                <w:bCs/>
                <w:color w:val="000000"/>
                <w:sz w:val="16"/>
                <w:szCs w:val="16"/>
              </w:rPr>
            </w:pPr>
            <w:r w:rsidRPr="004E51DA">
              <w:rPr>
                <w:rFonts w:ascii="Arial Narrow" w:hAnsi="Arial Narrow"/>
                <w:b/>
                <w:bCs/>
                <w:color w:val="000000"/>
                <w:sz w:val="16"/>
                <w:szCs w:val="16"/>
              </w:rPr>
              <w:t>1.</w:t>
            </w:r>
            <w:r w:rsidRPr="004E51DA">
              <w:rPr>
                <w:rFonts w:ascii="Arial Narrow" w:hAnsi="Arial Narrow"/>
                <w:b/>
                <w:bCs/>
                <w:color w:val="000000"/>
                <w:sz w:val="16"/>
                <w:szCs w:val="16"/>
                <w:lang w:val="en-US"/>
              </w:rPr>
              <w:t>539</w:t>
            </w:r>
          </w:p>
        </w:tc>
      </w:tr>
    </w:tbl>
    <w:p w:rsidR="00497570" w:rsidRPr="00404D75" w:rsidRDefault="00497570" w:rsidP="00497570">
      <w:pPr>
        <w:jc w:val="both"/>
        <w:rPr>
          <w:sz w:val="22"/>
          <w:szCs w:val="22"/>
        </w:rPr>
      </w:pPr>
    </w:p>
    <w:p w:rsidR="00EB604B" w:rsidRPr="00A85E0B" w:rsidRDefault="00EB604B">
      <w:pPr>
        <w:rPr>
          <w:sz w:val="22"/>
          <w:szCs w:val="22"/>
        </w:rPr>
      </w:pPr>
      <w:r w:rsidRPr="00A85E0B">
        <w:rPr>
          <w:sz w:val="22"/>
          <w:szCs w:val="22"/>
        </w:rPr>
        <w:br w:type="page"/>
      </w:r>
    </w:p>
    <w:p w:rsidR="004E0933" w:rsidRPr="00E36FE7" w:rsidRDefault="004E0933" w:rsidP="004E0933">
      <w:pPr>
        <w:shd w:val="clear" w:color="auto" w:fill="BFBFBF" w:themeFill="background1" w:themeFillShade="BF"/>
        <w:jc w:val="both"/>
        <w:rPr>
          <w:rFonts w:ascii="Arial Narrow" w:hAnsi="Arial Narrow"/>
          <w:b/>
          <w:szCs w:val="22"/>
        </w:rPr>
      </w:pPr>
      <w:r>
        <w:rPr>
          <w:rFonts w:ascii="Arial Narrow" w:hAnsi="Arial Narrow"/>
          <w:b/>
          <w:szCs w:val="22"/>
        </w:rPr>
        <w:lastRenderedPageBreak/>
        <w:t>5.2</w:t>
      </w:r>
      <w:r w:rsidRPr="00E36FE7">
        <w:rPr>
          <w:rFonts w:ascii="Arial Narrow" w:hAnsi="Arial Narrow"/>
          <w:b/>
          <w:szCs w:val="22"/>
        </w:rPr>
        <w:tab/>
      </w:r>
      <w:r w:rsidRPr="0019610E">
        <w:rPr>
          <w:rFonts w:ascii="Arial Narrow" w:hAnsi="Arial Narrow"/>
          <w:b/>
          <w:szCs w:val="22"/>
        </w:rPr>
        <w:t>Δημόσιες Επιχειρήσεις και Οργανισμοί</w:t>
      </w:r>
    </w:p>
    <w:p w:rsidR="004E0933" w:rsidRDefault="004E0933" w:rsidP="004E0933">
      <w:pPr>
        <w:rPr>
          <w:bCs/>
          <w:sz w:val="22"/>
          <w:szCs w:val="22"/>
        </w:rPr>
      </w:pPr>
    </w:p>
    <w:p w:rsidR="004E0933" w:rsidRPr="00775C1E" w:rsidRDefault="004E0933" w:rsidP="004E0933">
      <w:pPr>
        <w:jc w:val="both"/>
        <w:rPr>
          <w:color w:val="000000"/>
          <w:sz w:val="22"/>
          <w:szCs w:val="22"/>
          <w:highlight w:val="yellow"/>
        </w:rPr>
      </w:pPr>
      <w:r w:rsidRPr="00775C1E">
        <w:rPr>
          <w:color w:val="000000"/>
          <w:sz w:val="22"/>
          <w:szCs w:val="22"/>
        </w:rPr>
        <w:t>Στον υποτομέα των νομικών προσώπων της Κεντρικής Κυβέρνησης περιλαμβάνονται και οι προϋπ</w:t>
      </w:r>
      <w:r w:rsidRPr="00775C1E">
        <w:rPr>
          <w:color w:val="000000"/>
          <w:sz w:val="22"/>
          <w:szCs w:val="22"/>
        </w:rPr>
        <w:t>ο</w:t>
      </w:r>
      <w:r w:rsidRPr="00775C1E">
        <w:rPr>
          <w:color w:val="000000"/>
          <w:sz w:val="22"/>
          <w:szCs w:val="22"/>
        </w:rPr>
        <w:t>λογισμοί των επαναταξινομημένων Δημόσιων Επιχειρήσεων και Οργανισμών, του ΕΛΕΓΕΠ, καθώς και των πέντε (5) συμβάσεων παραχώρησης αυτοκινητοδρόμων. Οι φορείς αυτοί, ανά Υπουργείο, ε</w:t>
      </w:r>
      <w:r w:rsidRPr="00775C1E">
        <w:rPr>
          <w:color w:val="000000"/>
          <w:sz w:val="22"/>
          <w:szCs w:val="22"/>
        </w:rPr>
        <w:t>μ</w:t>
      </w:r>
      <w:r w:rsidRPr="00775C1E">
        <w:rPr>
          <w:color w:val="000000"/>
          <w:sz w:val="22"/>
          <w:szCs w:val="22"/>
        </w:rPr>
        <w:t xml:space="preserve">φανίζονται στον </w:t>
      </w:r>
      <w:r w:rsidRPr="006D58F6">
        <w:rPr>
          <w:color w:val="000000"/>
          <w:sz w:val="22"/>
          <w:szCs w:val="22"/>
        </w:rPr>
        <w:t xml:space="preserve">πίνακα </w:t>
      </w:r>
      <w:r w:rsidR="006D58F6" w:rsidRPr="006D58F6">
        <w:rPr>
          <w:color w:val="000000"/>
          <w:sz w:val="22"/>
          <w:szCs w:val="22"/>
        </w:rPr>
        <w:t>3.21</w:t>
      </w:r>
      <w:r w:rsidR="006D58F6">
        <w:rPr>
          <w:color w:val="000000"/>
          <w:sz w:val="22"/>
          <w:szCs w:val="22"/>
        </w:rPr>
        <w:t>.</w:t>
      </w:r>
    </w:p>
    <w:p w:rsidR="004E0933" w:rsidRPr="00775C1E" w:rsidRDefault="004E0933" w:rsidP="004E0933">
      <w:pPr>
        <w:jc w:val="both"/>
        <w:rPr>
          <w:sz w:val="22"/>
          <w:szCs w:val="22"/>
          <w:highlight w:val="yellow"/>
        </w:rPr>
      </w:pPr>
    </w:p>
    <w:tbl>
      <w:tblPr>
        <w:tblW w:w="8190" w:type="dxa"/>
        <w:jc w:val="center"/>
        <w:tblBorders>
          <w:top w:val="single" w:sz="4" w:space="0" w:color="auto"/>
          <w:left w:val="single" w:sz="4" w:space="0" w:color="auto"/>
          <w:bottom w:val="single" w:sz="4" w:space="0" w:color="auto"/>
          <w:right w:val="single" w:sz="4" w:space="0" w:color="auto"/>
        </w:tblBorders>
        <w:tblLook w:val="04A0"/>
      </w:tblPr>
      <w:tblGrid>
        <w:gridCol w:w="429"/>
        <w:gridCol w:w="7761"/>
      </w:tblGrid>
      <w:tr w:rsidR="004E0933" w:rsidRPr="00775C1E" w:rsidTr="0054537C">
        <w:trPr>
          <w:trHeight w:val="170"/>
          <w:jc w:val="center"/>
        </w:trPr>
        <w:tc>
          <w:tcPr>
            <w:tcW w:w="8190" w:type="dxa"/>
            <w:gridSpan w:val="2"/>
            <w:tcBorders>
              <w:top w:val="single" w:sz="4" w:space="0" w:color="auto"/>
              <w:left w:val="single" w:sz="4" w:space="0" w:color="auto"/>
              <w:bottom w:val="nil"/>
              <w:right w:val="single" w:sz="4" w:space="0" w:color="auto"/>
            </w:tcBorders>
            <w:shd w:val="clear" w:color="auto" w:fill="404040" w:themeFill="text1" w:themeFillTint="BF"/>
            <w:hideMark/>
          </w:tcPr>
          <w:p w:rsidR="004E0933" w:rsidRPr="00775C1E" w:rsidRDefault="004E0933" w:rsidP="00CD55E6">
            <w:pPr>
              <w:jc w:val="center"/>
              <w:rPr>
                <w:rFonts w:ascii="Arial Narrow" w:hAnsi="Arial Narrow"/>
                <w:b/>
                <w:bCs/>
                <w:sz w:val="16"/>
                <w:szCs w:val="16"/>
                <w:highlight w:val="yellow"/>
              </w:rPr>
            </w:pPr>
            <w:r>
              <w:rPr>
                <w:rFonts w:ascii="Arial Narrow" w:hAnsi="Arial Narrow" w:cs="Segoe UI"/>
                <w:b/>
                <w:bCs/>
                <w:color w:val="FFFFFF" w:themeColor="background1"/>
                <w:szCs w:val="16"/>
              </w:rPr>
              <w:t>Πίνακας 3</w:t>
            </w:r>
            <w:r w:rsidR="006D58F6">
              <w:rPr>
                <w:rFonts w:ascii="Arial Narrow" w:hAnsi="Arial Narrow" w:cs="Segoe UI"/>
                <w:b/>
                <w:bCs/>
                <w:color w:val="FFFFFF" w:themeColor="background1"/>
                <w:szCs w:val="16"/>
              </w:rPr>
              <w:t>.21</w:t>
            </w:r>
            <w:r w:rsidRPr="00775C1E">
              <w:rPr>
                <w:rFonts w:ascii="Arial Narrow" w:hAnsi="Arial Narrow" w:cs="Segoe UI"/>
                <w:b/>
                <w:bCs/>
                <w:color w:val="FFFFFF" w:themeColor="background1"/>
                <w:szCs w:val="16"/>
              </w:rPr>
              <w:t xml:space="preserve">  ΔΕΚΟ ανά Υπουργείο</w:t>
            </w:r>
          </w:p>
        </w:tc>
      </w:tr>
      <w:tr w:rsidR="004E0933" w:rsidRPr="00775C1E" w:rsidTr="0054537C">
        <w:trPr>
          <w:trHeight w:val="113"/>
          <w:jc w:val="center"/>
        </w:trPr>
        <w:tc>
          <w:tcPr>
            <w:tcW w:w="8190" w:type="dxa"/>
            <w:gridSpan w:val="2"/>
            <w:tcBorders>
              <w:top w:val="nil"/>
              <w:left w:val="single" w:sz="4" w:space="0" w:color="auto"/>
              <w:bottom w:val="nil"/>
              <w:right w:val="single" w:sz="4" w:space="0" w:color="auto"/>
            </w:tcBorders>
            <w:hideMark/>
          </w:tcPr>
          <w:p w:rsidR="004E0933" w:rsidRPr="00775C1E" w:rsidRDefault="004E0933" w:rsidP="0054537C">
            <w:pPr>
              <w:spacing w:line="235" w:lineRule="auto"/>
              <w:rPr>
                <w:rFonts w:ascii="Arial Narrow" w:eastAsiaTheme="minorEastAsia" w:hAnsi="Arial Narrow" w:cstheme="minorBidi"/>
                <w:sz w:val="16"/>
              </w:rPr>
            </w:pPr>
          </w:p>
        </w:tc>
      </w:tr>
      <w:tr w:rsidR="00CD55E6" w:rsidRPr="00775C1E" w:rsidTr="00CD55E6">
        <w:trPr>
          <w:trHeight w:val="113"/>
          <w:jc w:val="center"/>
        </w:trPr>
        <w:tc>
          <w:tcPr>
            <w:tcW w:w="429" w:type="dxa"/>
            <w:tcBorders>
              <w:top w:val="nil"/>
              <w:left w:val="single" w:sz="4" w:space="0" w:color="auto"/>
              <w:bottom w:val="nil"/>
              <w:right w:val="nil"/>
            </w:tcBorders>
            <w:shd w:val="clear" w:color="auto" w:fill="D9D9D9" w:themeFill="background1" w:themeFillShade="D9"/>
            <w:hideMark/>
          </w:tcPr>
          <w:p w:rsidR="00CD55E6" w:rsidRPr="00EC44BB" w:rsidRDefault="00CD55E6" w:rsidP="00CD55E6">
            <w:pPr>
              <w:spacing w:line="228" w:lineRule="auto"/>
              <w:contextualSpacing/>
              <w:jc w:val="center"/>
              <w:rPr>
                <w:rFonts w:ascii="Arial Narrow" w:hAnsi="Arial Narrow" w:cs="Segoe UI"/>
                <w:b/>
                <w:bCs/>
                <w:sz w:val="16"/>
                <w:szCs w:val="16"/>
              </w:rPr>
            </w:pPr>
            <w:r w:rsidRPr="00EC44BB">
              <w:rPr>
                <w:rFonts w:ascii="Arial Narrow" w:hAnsi="Arial Narrow" w:cs="Segoe UI"/>
                <w:b/>
                <w:bCs/>
                <w:sz w:val="16"/>
                <w:szCs w:val="16"/>
              </w:rPr>
              <w:t>1</w:t>
            </w:r>
          </w:p>
        </w:tc>
        <w:tc>
          <w:tcPr>
            <w:tcW w:w="7761" w:type="dxa"/>
            <w:tcBorders>
              <w:top w:val="nil"/>
              <w:left w:val="nil"/>
              <w:bottom w:val="nil"/>
              <w:right w:val="single" w:sz="4" w:space="0" w:color="auto"/>
            </w:tcBorders>
            <w:shd w:val="clear" w:color="auto" w:fill="D9D9D9" w:themeFill="background1" w:themeFillShade="D9"/>
            <w:vAlign w:val="center"/>
            <w:hideMark/>
          </w:tcPr>
          <w:p w:rsidR="00CD55E6" w:rsidRPr="00EC44BB" w:rsidRDefault="00CD55E6" w:rsidP="00CD55E6">
            <w:pPr>
              <w:spacing w:line="228" w:lineRule="auto"/>
              <w:contextualSpacing/>
              <w:rPr>
                <w:rFonts w:ascii="Arial Narrow" w:hAnsi="Arial Narrow" w:cs="Segoe UI"/>
                <w:b/>
                <w:bCs/>
                <w:sz w:val="16"/>
                <w:szCs w:val="16"/>
              </w:rPr>
            </w:pPr>
            <w:r w:rsidRPr="00EC44BB">
              <w:rPr>
                <w:rFonts w:ascii="Arial Narrow" w:hAnsi="Arial Narrow" w:cs="Segoe UI"/>
                <w:b/>
                <w:bCs/>
                <w:sz w:val="16"/>
                <w:szCs w:val="16"/>
              </w:rPr>
              <w:t>Προεδρία της Κυβέρνησης</w:t>
            </w:r>
          </w:p>
        </w:tc>
      </w:tr>
      <w:tr w:rsidR="00CD55E6" w:rsidRPr="00775C1E" w:rsidTr="00CD55E6">
        <w:trPr>
          <w:trHeight w:val="113"/>
          <w:jc w:val="center"/>
        </w:trPr>
        <w:tc>
          <w:tcPr>
            <w:tcW w:w="429" w:type="dxa"/>
            <w:tcBorders>
              <w:top w:val="nil"/>
              <w:left w:val="single" w:sz="4" w:space="0" w:color="auto"/>
              <w:bottom w:val="nil"/>
              <w:right w:val="nil"/>
            </w:tcBorders>
            <w:hideMark/>
          </w:tcPr>
          <w:p w:rsidR="00CD55E6" w:rsidRPr="001A549D" w:rsidRDefault="00CD55E6" w:rsidP="00CD55E6">
            <w:pPr>
              <w:spacing w:line="228" w:lineRule="auto"/>
              <w:contextualSpacing/>
              <w:rPr>
                <w:rFonts w:asciiTheme="minorHAnsi" w:eastAsiaTheme="minorEastAsia" w:hAnsiTheme="minorHAnsi" w:cstheme="minorBidi"/>
              </w:rPr>
            </w:pPr>
          </w:p>
        </w:tc>
        <w:tc>
          <w:tcPr>
            <w:tcW w:w="7761" w:type="dxa"/>
            <w:tcBorders>
              <w:top w:val="nil"/>
              <w:left w:val="nil"/>
              <w:bottom w:val="nil"/>
              <w:right w:val="single" w:sz="4" w:space="0" w:color="auto"/>
            </w:tcBorders>
            <w:vAlign w:val="center"/>
            <w:hideMark/>
          </w:tcPr>
          <w:p w:rsidR="00CD55E6" w:rsidRPr="00CA62AD" w:rsidRDefault="00CD55E6" w:rsidP="00CD55E6">
            <w:pPr>
              <w:spacing w:line="228" w:lineRule="auto"/>
              <w:contextualSpacing/>
              <w:rPr>
                <w:rFonts w:ascii="Arial Narrow" w:hAnsi="Arial Narrow"/>
                <w:i/>
                <w:iCs/>
                <w:sz w:val="16"/>
                <w:szCs w:val="16"/>
              </w:rPr>
            </w:pPr>
            <w:r>
              <w:rPr>
                <w:rFonts w:ascii="Arial Narrow" w:hAnsi="Arial Narrow"/>
                <w:i/>
                <w:iCs/>
                <w:sz w:val="16"/>
                <w:szCs w:val="16"/>
              </w:rPr>
              <w:t>Ελληνική Ραδιοφωνία Τηλεόραση (ΕΡΤ) ΑΕ</w:t>
            </w:r>
          </w:p>
        </w:tc>
      </w:tr>
      <w:tr w:rsidR="004E0933" w:rsidRPr="00CA62AD" w:rsidTr="0054537C">
        <w:trPr>
          <w:trHeight w:val="113"/>
          <w:jc w:val="center"/>
        </w:trPr>
        <w:tc>
          <w:tcPr>
            <w:tcW w:w="429" w:type="dxa"/>
            <w:tcBorders>
              <w:top w:val="nil"/>
              <w:left w:val="single" w:sz="4" w:space="0" w:color="auto"/>
              <w:bottom w:val="nil"/>
              <w:right w:val="nil"/>
            </w:tcBorders>
            <w:shd w:val="clear" w:color="auto" w:fill="D9D9D9" w:themeFill="background1" w:themeFillShade="D9"/>
            <w:hideMark/>
          </w:tcPr>
          <w:p w:rsidR="004E0933" w:rsidRPr="00CA62AD" w:rsidRDefault="00CD55E6" w:rsidP="0054537C">
            <w:pPr>
              <w:spacing w:line="228" w:lineRule="auto"/>
              <w:contextualSpacing/>
              <w:jc w:val="center"/>
              <w:rPr>
                <w:rFonts w:ascii="Arial Narrow" w:hAnsi="Arial Narrow" w:cs="Segoe UI"/>
                <w:b/>
                <w:bCs/>
                <w:sz w:val="16"/>
                <w:szCs w:val="16"/>
              </w:rPr>
            </w:pPr>
            <w:r>
              <w:rPr>
                <w:rFonts w:ascii="Arial Narrow" w:hAnsi="Arial Narrow" w:cs="Segoe UI"/>
                <w:b/>
                <w:bCs/>
                <w:sz w:val="16"/>
                <w:szCs w:val="16"/>
              </w:rPr>
              <w:t>2</w:t>
            </w:r>
          </w:p>
        </w:tc>
        <w:tc>
          <w:tcPr>
            <w:tcW w:w="7761" w:type="dxa"/>
            <w:tcBorders>
              <w:top w:val="nil"/>
              <w:left w:val="nil"/>
              <w:bottom w:val="nil"/>
              <w:right w:val="single" w:sz="4" w:space="0" w:color="auto"/>
            </w:tcBorders>
            <w:shd w:val="clear" w:color="auto" w:fill="D9D9D9" w:themeFill="background1" w:themeFillShade="D9"/>
            <w:vAlign w:val="center"/>
            <w:hideMark/>
          </w:tcPr>
          <w:p w:rsidR="004E0933" w:rsidRPr="00CA62AD" w:rsidRDefault="004E0933" w:rsidP="0054537C">
            <w:pPr>
              <w:spacing w:line="228" w:lineRule="auto"/>
              <w:contextualSpacing/>
              <w:rPr>
                <w:rFonts w:ascii="Arial Narrow" w:hAnsi="Arial Narrow"/>
                <w:b/>
                <w:bCs/>
                <w:sz w:val="16"/>
                <w:szCs w:val="16"/>
              </w:rPr>
            </w:pPr>
            <w:r w:rsidRPr="00CA62AD">
              <w:rPr>
                <w:rFonts w:ascii="Arial Narrow" w:hAnsi="Arial Narrow"/>
                <w:b/>
                <w:bCs/>
                <w:sz w:val="16"/>
                <w:szCs w:val="16"/>
              </w:rPr>
              <w:t>Υπουργείο Εθνικής Άμυνας</w:t>
            </w:r>
          </w:p>
        </w:tc>
      </w:tr>
      <w:tr w:rsidR="004E0933" w:rsidRPr="00CA62AD" w:rsidTr="0054537C">
        <w:trPr>
          <w:trHeight w:val="113"/>
          <w:jc w:val="center"/>
        </w:trPr>
        <w:tc>
          <w:tcPr>
            <w:tcW w:w="429" w:type="dxa"/>
            <w:tcBorders>
              <w:top w:val="nil"/>
              <w:left w:val="single" w:sz="4" w:space="0" w:color="auto"/>
              <w:bottom w:val="nil"/>
              <w:right w:val="nil"/>
            </w:tcBorders>
            <w:hideMark/>
          </w:tcPr>
          <w:p w:rsidR="004E0933" w:rsidRPr="00CA62AD" w:rsidRDefault="004E0933" w:rsidP="0054537C">
            <w:pPr>
              <w:spacing w:line="228" w:lineRule="auto"/>
              <w:contextualSpacing/>
              <w:rPr>
                <w:rFonts w:asciiTheme="minorHAnsi" w:eastAsiaTheme="minorEastAsia" w:hAnsiTheme="minorHAnsi" w:cstheme="minorBidi"/>
              </w:rPr>
            </w:pPr>
          </w:p>
        </w:tc>
        <w:tc>
          <w:tcPr>
            <w:tcW w:w="7761" w:type="dxa"/>
            <w:tcBorders>
              <w:top w:val="nil"/>
              <w:left w:val="nil"/>
              <w:bottom w:val="nil"/>
              <w:right w:val="single" w:sz="4" w:space="0" w:color="auto"/>
            </w:tcBorders>
            <w:vAlign w:val="center"/>
            <w:hideMark/>
          </w:tcPr>
          <w:p w:rsidR="004E0933" w:rsidRPr="00A570B8" w:rsidRDefault="004E0933" w:rsidP="0054537C">
            <w:pPr>
              <w:spacing w:line="228" w:lineRule="auto"/>
              <w:contextualSpacing/>
              <w:rPr>
                <w:rFonts w:ascii="Arial Narrow" w:hAnsi="Arial Narrow"/>
                <w:i/>
                <w:iCs/>
                <w:sz w:val="16"/>
                <w:szCs w:val="16"/>
              </w:rPr>
            </w:pPr>
            <w:r w:rsidRPr="00CA62AD">
              <w:rPr>
                <w:rFonts w:ascii="Arial Narrow" w:hAnsi="Arial Narrow"/>
                <w:i/>
                <w:iCs/>
                <w:sz w:val="16"/>
                <w:szCs w:val="16"/>
              </w:rPr>
              <w:t>Ελληνικά  Αμυντικά Συστήματα (ΕΑΣ) ΑΒΕΕ</w:t>
            </w:r>
            <w:r>
              <w:rPr>
                <w:rFonts w:ascii="Arial Narrow" w:hAnsi="Arial Narrow"/>
                <w:i/>
                <w:iCs/>
                <w:sz w:val="16"/>
                <w:szCs w:val="16"/>
              </w:rPr>
              <w:t xml:space="preserve"> </w:t>
            </w:r>
          </w:p>
        </w:tc>
      </w:tr>
      <w:tr w:rsidR="004E0933" w:rsidRPr="00CA62AD" w:rsidTr="0054537C">
        <w:trPr>
          <w:trHeight w:val="113"/>
          <w:jc w:val="center"/>
        </w:trPr>
        <w:tc>
          <w:tcPr>
            <w:tcW w:w="429" w:type="dxa"/>
            <w:tcBorders>
              <w:top w:val="nil"/>
              <w:left w:val="single" w:sz="4" w:space="0" w:color="auto"/>
              <w:bottom w:val="nil"/>
              <w:right w:val="nil"/>
            </w:tcBorders>
            <w:shd w:val="clear" w:color="auto" w:fill="D9D9D9" w:themeFill="background1" w:themeFillShade="D9"/>
            <w:hideMark/>
          </w:tcPr>
          <w:p w:rsidR="004E0933" w:rsidRPr="00CA62AD" w:rsidRDefault="00CD55E6" w:rsidP="0054537C">
            <w:pPr>
              <w:spacing w:line="228" w:lineRule="auto"/>
              <w:contextualSpacing/>
              <w:jc w:val="center"/>
              <w:rPr>
                <w:rFonts w:ascii="Arial Narrow" w:hAnsi="Arial Narrow" w:cs="Segoe UI"/>
                <w:b/>
                <w:bCs/>
                <w:sz w:val="16"/>
                <w:szCs w:val="16"/>
              </w:rPr>
            </w:pPr>
            <w:r>
              <w:rPr>
                <w:rFonts w:ascii="Arial Narrow" w:hAnsi="Arial Narrow" w:cs="Segoe UI"/>
                <w:b/>
                <w:bCs/>
                <w:sz w:val="16"/>
                <w:szCs w:val="16"/>
              </w:rPr>
              <w:t>3</w:t>
            </w:r>
          </w:p>
        </w:tc>
        <w:tc>
          <w:tcPr>
            <w:tcW w:w="7761" w:type="dxa"/>
            <w:tcBorders>
              <w:top w:val="nil"/>
              <w:left w:val="nil"/>
              <w:bottom w:val="nil"/>
              <w:right w:val="single" w:sz="4" w:space="0" w:color="auto"/>
            </w:tcBorders>
            <w:shd w:val="clear" w:color="auto" w:fill="D9D9D9" w:themeFill="background1" w:themeFillShade="D9"/>
            <w:vAlign w:val="center"/>
            <w:hideMark/>
          </w:tcPr>
          <w:p w:rsidR="004E0933" w:rsidRPr="00CA62AD" w:rsidRDefault="004E0933" w:rsidP="0054537C">
            <w:pPr>
              <w:spacing w:line="228" w:lineRule="auto"/>
              <w:contextualSpacing/>
              <w:rPr>
                <w:rFonts w:ascii="Arial Narrow" w:hAnsi="Arial Narrow"/>
                <w:b/>
                <w:bCs/>
                <w:sz w:val="16"/>
                <w:szCs w:val="16"/>
              </w:rPr>
            </w:pPr>
            <w:r w:rsidRPr="00CA62AD">
              <w:rPr>
                <w:rFonts w:ascii="Arial Narrow" w:hAnsi="Arial Narrow"/>
                <w:b/>
                <w:bCs/>
                <w:sz w:val="16"/>
                <w:szCs w:val="16"/>
              </w:rPr>
              <w:t xml:space="preserve">Υπουργείο Υγείας </w:t>
            </w:r>
          </w:p>
        </w:tc>
      </w:tr>
      <w:tr w:rsidR="004E0933" w:rsidRPr="00CA62AD" w:rsidTr="0054537C">
        <w:trPr>
          <w:trHeight w:val="113"/>
          <w:jc w:val="center"/>
        </w:trPr>
        <w:tc>
          <w:tcPr>
            <w:tcW w:w="429" w:type="dxa"/>
            <w:tcBorders>
              <w:top w:val="nil"/>
              <w:left w:val="single" w:sz="4" w:space="0" w:color="auto"/>
              <w:bottom w:val="nil"/>
              <w:right w:val="nil"/>
            </w:tcBorders>
            <w:hideMark/>
          </w:tcPr>
          <w:p w:rsidR="004E0933" w:rsidRPr="00CA62AD" w:rsidRDefault="004E0933" w:rsidP="0054537C">
            <w:pPr>
              <w:spacing w:line="228" w:lineRule="auto"/>
              <w:contextualSpacing/>
              <w:rPr>
                <w:rFonts w:asciiTheme="minorHAnsi" w:eastAsiaTheme="minorEastAsia" w:hAnsiTheme="minorHAnsi" w:cstheme="minorBidi"/>
              </w:rPr>
            </w:pPr>
          </w:p>
        </w:tc>
        <w:tc>
          <w:tcPr>
            <w:tcW w:w="7761" w:type="dxa"/>
            <w:tcBorders>
              <w:top w:val="nil"/>
              <w:left w:val="nil"/>
              <w:bottom w:val="nil"/>
              <w:right w:val="single" w:sz="4" w:space="0" w:color="auto"/>
            </w:tcBorders>
            <w:vAlign w:val="center"/>
            <w:hideMark/>
          </w:tcPr>
          <w:p w:rsidR="004E0933" w:rsidRPr="00CA62AD" w:rsidRDefault="004E0933" w:rsidP="0054537C">
            <w:pPr>
              <w:spacing w:line="228" w:lineRule="auto"/>
              <w:contextualSpacing/>
              <w:rPr>
                <w:rFonts w:ascii="Arial Narrow" w:hAnsi="Arial Narrow"/>
                <w:i/>
                <w:iCs/>
                <w:sz w:val="16"/>
                <w:szCs w:val="16"/>
              </w:rPr>
            </w:pPr>
            <w:r w:rsidRPr="00CA62AD">
              <w:rPr>
                <w:rFonts w:ascii="Arial Narrow" w:hAnsi="Arial Narrow"/>
                <w:i/>
                <w:iCs/>
                <w:sz w:val="16"/>
                <w:szCs w:val="16"/>
              </w:rPr>
              <w:t>Εθνικός Οργανισμός Δημόσια</w:t>
            </w:r>
            <w:r>
              <w:rPr>
                <w:rFonts w:ascii="Arial Narrow" w:hAnsi="Arial Narrow"/>
                <w:i/>
                <w:iCs/>
                <w:sz w:val="16"/>
                <w:szCs w:val="16"/>
              </w:rPr>
              <w:t>ς</w:t>
            </w:r>
            <w:r w:rsidRPr="00CA62AD">
              <w:rPr>
                <w:rFonts w:ascii="Arial Narrow" w:hAnsi="Arial Narrow"/>
                <w:i/>
                <w:iCs/>
                <w:sz w:val="16"/>
                <w:szCs w:val="16"/>
              </w:rPr>
              <w:t xml:space="preserve"> Υγείας (ΕΟΔΥ) </w:t>
            </w:r>
          </w:p>
        </w:tc>
      </w:tr>
      <w:tr w:rsidR="004E0933" w:rsidRPr="00CA62AD" w:rsidTr="0054537C">
        <w:trPr>
          <w:trHeight w:val="113"/>
          <w:jc w:val="center"/>
        </w:trPr>
        <w:tc>
          <w:tcPr>
            <w:tcW w:w="429" w:type="dxa"/>
            <w:tcBorders>
              <w:top w:val="nil"/>
              <w:left w:val="single" w:sz="4" w:space="0" w:color="auto"/>
              <w:bottom w:val="nil"/>
              <w:right w:val="nil"/>
            </w:tcBorders>
            <w:shd w:val="clear" w:color="auto" w:fill="D9D9D9" w:themeFill="background1" w:themeFillShade="D9"/>
            <w:hideMark/>
          </w:tcPr>
          <w:p w:rsidR="004E0933" w:rsidRPr="00CA62AD" w:rsidRDefault="00CD55E6" w:rsidP="0054537C">
            <w:pPr>
              <w:spacing w:line="228" w:lineRule="auto"/>
              <w:contextualSpacing/>
              <w:jc w:val="center"/>
              <w:rPr>
                <w:rFonts w:ascii="Arial Narrow" w:hAnsi="Arial Narrow" w:cs="Segoe UI"/>
                <w:b/>
                <w:bCs/>
                <w:sz w:val="16"/>
                <w:szCs w:val="16"/>
              </w:rPr>
            </w:pPr>
            <w:r>
              <w:rPr>
                <w:rFonts w:ascii="Arial Narrow" w:hAnsi="Arial Narrow" w:cs="Segoe UI"/>
                <w:b/>
                <w:bCs/>
                <w:sz w:val="16"/>
                <w:szCs w:val="16"/>
              </w:rPr>
              <w:t>4</w:t>
            </w:r>
          </w:p>
        </w:tc>
        <w:tc>
          <w:tcPr>
            <w:tcW w:w="7761" w:type="dxa"/>
            <w:tcBorders>
              <w:top w:val="nil"/>
              <w:left w:val="nil"/>
              <w:bottom w:val="nil"/>
              <w:right w:val="single" w:sz="4" w:space="0" w:color="auto"/>
            </w:tcBorders>
            <w:shd w:val="clear" w:color="auto" w:fill="D9D9D9" w:themeFill="background1" w:themeFillShade="D9"/>
            <w:vAlign w:val="center"/>
            <w:hideMark/>
          </w:tcPr>
          <w:p w:rsidR="004E0933" w:rsidRPr="00CA62AD" w:rsidRDefault="004E0933" w:rsidP="0054537C">
            <w:pPr>
              <w:spacing w:line="228" w:lineRule="auto"/>
              <w:contextualSpacing/>
              <w:rPr>
                <w:rFonts w:ascii="Arial Narrow" w:hAnsi="Arial Narrow"/>
                <w:b/>
                <w:bCs/>
                <w:sz w:val="16"/>
                <w:szCs w:val="16"/>
              </w:rPr>
            </w:pPr>
            <w:r w:rsidRPr="00CA62AD">
              <w:rPr>
                <w:rFonts w:ascii="Arial Narrow" w:hAnsi="Arial Narrow"/>
                <w:b/>
                <w:bCs/>
                <w:sz w:val="16"/>
                <w:szCs w:val="16"/>
              </w:rPr>
              <w:t>Υπουργείο Οικονομικών</w:t>
            </w:r>
          </w:p>
        </w:tc>
      </w:tr>
      <w:tr w:rsidR="004E0933" w:rsidRPr="00CA62AD" w:rsidTr="0054537C">
        <w:trPr>
          <w:trHeight w:val="113"/>
          <w:jc w:val="center"/>
        </w:trPr>
        <w:tc>
          <w:tcPr>
            <w:tcW w:w="429" w:type="dxa"/>
            <w:tcBorders>
              <w:top w:val="nil"/>
              <w:left w:val="single" w:sz="4" w:space="0" w:color="auto"/>
              <w:bottom w:val="nil"/>
              <w:right w:val="nil"/>
            </w:tcBorders>
            <w:hideMark/>
          </w:tcPr>
          <w:p w:rsidR="004E0933" w:rsidRPr="00CA62AD" w:rsidRDefault="004E0933" w:rsidP="0054537C">
            <w:pPr>
              <w:spacing w:line="228" w:lineRule="auto"/>
              <w:contextualSpacing/>
              <w:rPr>
                <w:rFonts w:asciiTheme="minorHAnsi" w:eastAsiaTheme="minorEastAsia" w:hAnsiTheme="minorHAnsi" w:cstheme="minorBidi"/>
              </w:rPr>
            </w:pPr>
          </w:p>
        </w:tc>
        <w:tc>
          <w:tcPr>
            <w:tcW w:w="7761" w:type="dxa"/>
            <w:tcBorders>
              <w:top w:val="nil"/>
              <w:left w:val="nil"/>
              <w:bottom w:val="nil"/>
              <w:right w:val="single" w:sz="4" w:space="0" w:color="auto"/>
            </w:tcBorders>
            <w:vAlign w:val="center"/>
            <w:hideMark/>
          </w:tcPr>
          <w:p w:rsidR="004E0933" w:rsidRPr="00CA62AD" w:rsidRDefault="004E0933" w:rsidP="0054537C">
            <w:pPr>
              <w:spacing w:line="228" w:lineRule="auto"/>
              <w:contextualSpacing/>
              <w:rPr>
                <w:rFonts w:ascii="Arial Narrow" w:hAnsi="Arial Narrow"/>
                <w:i/>
                <w:iCs/>
                <w:sz w:val="16"/>
                <w:szCs w:val="16"/>
              </w:rPr>
            </w:pPr>
            <w:r w:rsidRPr="00CA62AD">
              <w:rPr>
                <w:rFonts w:ascii="Arial Narrow" w:hAnsi="Arial Narrow"/>
                <w:i/>
                <w:iCs/>
                <w:sz w:val="16"/>
                <w:szCs w:val="16"/>
              </w:rPr>
              <w:t>Ελληνική Αεροπορική Βιομηχανία (ΕΑΒ) ΑΕ</w:t>
            </w:r>
          </w:p>
        </w:tc>
      </w:tr>
      <w:tr w:rsidR="004E0933" w:rsidRPr="00CA62AD" w:rsidTr="0054537C">
        <w:trPr>
          <w:trHeight w:val="113"/>
          <w:jc w:val="center"/>
        </w:trPr>
        <w:tc>
          <w:tcPr>
            <w:tcW w:w="429" w:type="dxa"/>
            <w:tcBorders>
              <w:top w:val="nil"/>
              <w:left w:val="single" w:sz="4" w:space="0" w:color="auto"/>
              <w:bottom w:val="nil"/>
              <w:right w:val="nil"/>
            </w:tcBorders>
            <w:shd w:val="clear" w:color="auto" w:fill="D9D9D9" w:themeFill="background1" w:themeFillShade="D9"/>
            <w:hideMark/>
          </w:tcPr>
          <w:p w:rsidR="004E0933" w:rsidRPr="00CA62AD" w:rsidRDefault="00CD55E6" w:rsidP="0054537C">
            <w:pPr>
              <w:spacing w:line="228" w:lineRule="auto"/>
              <w:contextualSpacing/>
              <w:jc w:val="center"/>
              <w:rPr>
                <w:rFonts w:ascii="Arial Narrow" w:hAnsi="Arial Narrow" w:cs="Segoe UI"/>
                <w:b/>
                <w:bCs/>
                <w:sz w:val="16"/>
                <w:szCs w:val="16"/>
              </w:rPr>
            </w:pPr>
            <w:r>
              <w:rPr>
                <w:rFonts w:ascii="Arial Narrow" w:hAnsi="Arial Narrow" w:cs="Segoe UI"/>
                <w:b/>
                <w:bCs/>
                <w:sz w:val="16"/>
                <w:szCs w:val="16"/>
              </w:rPr>
              <w:t>5</w:t>
            </w:r>
          </w:p>
        </w:tc>
        <w:tc>
          <w:tcPr>
            <w:tcW w:w="7761" w:type="dxa"/>
            <w:tcBorders>
              <w:top w:val="nil"/>
              <w:left w:val="nil"/>
              <w:bottom w:val="nil"/>
              <w:right w:val="single" w:sz="4" w:space="0" w:color="auto"/>
            </w:tcBorders>
            <w:shd w:val="clear" w:color="auto" w:fill="D9D9D9" w:themeFill="background1" w:themeFillShade="D9"/>
            <w:vAlign w:val="center"/>
            <w:hideMark/>
          </w:tcPr>
          <w:p w:rsidR="004E0933" w:rsidRPr="00CA62AD" w:rsidRDefault="004E0933" w:rsidP="0054537C">
            <w:pPr>
              <w:spacing w:line="228" w:lineRule="auto"/>
              <w:contextualSpacing/>
              <w:rPr>
                <w:rFonts w:ascii="Arial Narrow" w:hAnsi="Arial Narrow"/>
                <w:b/>
                <w:bCs/>
                <w:sz w:val="16"/>
                <w:szCs w:val="16"/>
              </w:rPr>
            </w:pPr>
            <w:r w:rsidRPr="001A549D">
              <w:rPr>
                <w:rFonts w:ascii="Arial Narrow" w:hAnsi="Arial Narrow"/>
                <w:b/>
                <w:bCs/>
                <w:sz w:val="16"/>
                <w:szCs w:val="16"/>
              </w:rPr>
              <w:t>Υπουργείο Αγροτικής Ανάπτυξης και Τροφίμων</w:t>
            </w:r>
          </w:p>
        </w:tc>
      </w:tr>
      <w:tr w:rsidR="004E0933" w:rsidRPr="00CA62AD" w:rsidTr="0054537C">
        <w:trPr>
          <w:trHeight w:val="113"/>
          <w:jc w:val="center"/>
        </w:trPr>
        <w:tc>
          <w:tcPr>
            <w:tcW w:w="429" w:type="dxa"/>
            <w:tcBorders>
              <w:top w:val="nil"/>
              <w:left w:val="single" w:sz="4" w:space="0" w:color="auto"/>
              <w:bottom w:val="nil"/>
              <w:right w:val="nil"/>
            </w:tcBorders>
            <w:hideMark/>
          </w:tcPr>
          <w:p w:rsidR="004E0933" w:rsidRPr="00CA62AD" w:rsidRDefault="004E0933" w:rsidP="0054537C">
            <w:pPr>
              <w:spacing w:line="228" w:lineRule="auto"/>
              <w:contextualSpacing/>
              <w:rPr>
                <w:rFonts w:asciiTheme="minorHAnsi" w:eastAsiaTheme="minorEastAsia" w:hAnsiTheme="minorHAnsi" w:cstheme="minorBidi"/>
              </w:rPr>
            </w:pPr>
          </w:p>
        </w:tc>
        <w:tc>
          <w:tcPr>
            <w:tcW w:w="7761" w:type="dxa"/>
            <w:tcBorders>
              <w:top w:val="nil"/>
              <w:left w:val="nil"/>
              <w:bottom w:val="nil"/>
              <w:right w:val="single" w:sz="4" w:space="0" w:color="auto"/>
            </w:tcBorders>
            <w:vAlign w:val="center"/>
            <w:hideMark/>
          </w:tcPr>
          <w:p w:rsidR="004E0933" w:rsidRPr="00A570B8" w:rsidRDefault="004E0933" w:rsidP="0054537C">
            <w:pPr>
              <w:spacing w:line="228" w:lineRule="auto"/>
              <w:contextualSpacing/>
              <w:rPr>
                <w:rFonts w:ascii="Arial Narrow" w:hAnsi="Arial Narrow"/>
                <w:i/>
                <w:iCs/>
                <w:sz w:val="16"/>
                <w:szCs w:val="16"/>
              </w:rPr>
            </w:pPr>
            <w:r w:rsidRPr="001A549D">
              <w:rPr>
                <w:rFonts w:ascii="Arial Narrow" w:hAnsi="Arial Narrow"/>
                <w:i/>
                <w:iCs/>
                <w:sz w:val="16"/>
                <w:szCs w:val="16"/>
              </w:rPr>
              <w:t>Οργανισμός Ελληνικών Γεωργικών Ασφαλίσεων (ΕΛΓΑ</w:t>
            </w:r>
            <w:r w:rsidRPr="00A570B8">
              <w:rPr>
                <w:rFonts w:ascii="Arial Narrow" w:hAnsi="Arial Narrow"/>
                <w:i/>
                <w:iCs/>
                <w:sz w:val="16"/>
                <w:szCs w:val="16"/>
              </w:rPr>
              <w:t>)</w:t>
            </w:r>
          </w:p>
          <w:p w:rsidR="004E0933" w:rsidRPr="001A549D" w:rsidRDefault="004E0933" w:rsidP="0054537C">
            <w:pPr>
              <w:spacing w:line="228" w:lineRule="auto"/>
              <w:contextualSpacing/>
              <w:rPr>
                <w:rFonts w:ascii="Arial Narrow" w:hAnsi="Arial Narrow"/>
                <w:i/>
                <w:iCs/>
                <w:sz w:val="16"/>
                <w:szCs w:val="16"/>
              </w:rPr>
            </w:pPr>
            <w:r w:rsidRPr="001A549D">
              <w:rPr>
                <w:rFonts w:ascii="Arial Narrow" w:hAnsi="Arial Narrow"/>
                <w:i/>
                <w:iCs/>
                <w:sz w:val="16"/>
                <w:szCs w:val="16"/>
              </w:rPr>
              <w:t>Οργανισμός Πληρωμών και Ελέγχου Κοινοτικών Ενισχύσεων Προσανατολισμού και Εγγυήσεων (ΟΠΕΚΕΠΕ)</w:t>
            </w:r>
          </w:p>
          <w:p w:rsidR="004E0933" w:rsidRPr="00A570B8" w:rsidRDefault="004E0933" w:rsidP="0054537C">
            <w:pPr>
              <w:spacing w:line="228" w:lineRule="auto"/>
              <w:contextualSpacing/>
              <w:rPr>
                <w:rFonts w:ascii="Arial Narrow" w:hAnsi="Arial Narrow"/>
                <w:i/>
                <w:iCs/>
                <w:sz w:val="16"/>
                <w:szCs w:val="16"/>
              </w:rPr>
            </w:pPr>
            <w:r w:rsidRPr="001A549D">
              <w:rPr>
                <w:rFonts w:ascii="Arial Narrow" w:hAnsi="Arial Narrow"/>
                <w:i/>
                <w:iCs/>
                <w:sz w:val="16"/>
                <w:szCs w:val="16"/>
              </w:rPr>
              <w:t>Ειδικός Λογαριασμός Εγγυήσεων Γεωργικών Προϊόντων (ΕΛΕΓΕΠ)</w:t>
            </w:r>
          </w:p>
        </w:tc>
      </w:tr>
      <w:tr w:rsidR="004E0933" w:rsidRPr="00CA62AD" w:rsidTr="0054537C">
        <w:trPr>
          <w:trHeight w:val="113"/>
          <w:jc w:val="center"/>
        </w:trPr>
        <w:tc>
          <w:tcPr>
            <w:tcW w:w="429" w:type="dxa"/>
            <w:tcBorders>
              <w:top w:val="nil"/>
              <w:left w:val="single" w:sz="4" w:space="0" w:color="auto"/>
              <w:bottom w:val="nil"/>
              <w:right w:val="nil"/>
            </w:tcBorders>
            <w:shd w:val="clear" w:color="auto" w:fill="D9D9D9" w:themeFill="background1" w:themeFillShade="D9"/>
            <w:hideMark/>
          </w:tcPr>
          <w:p w:rsidR="004E0933" w:rsidRPr="00CA62AD" w:rsidRDefault="00CD55E6" w:rsidP="0054537C">
            <w:pPr>
              <w:spacing w:line="228" w:lineRule="auto"/>
              <w:contextualSpacing/>
              <w:jc w:val="center"/>
              <w:rPr>
                <w:rFonts w:ascii="Arial Narrow" w:hAnsi="Arial Narrow" w:cs="Segoe UI"/>
                <w:b/>
                <w:bCs/>
                <w:sz w:val="16"/>
                <w:szCs w:val="16"/>
              </w:rPr>
            </w:pPr>
            <w:r>
              <w:rPr>
                <w:rFonts w:ascii="Arial Narrow" w:hAnsi="Arial Narrow" w:cs="Segoe UI"/>
                <w:b/>
                <w:bCs/>
                <w:sz w:val="16"/>
                <w:szCs w:val="16"/>
              </w:rPr>
              <w:t>6</w:t>
            </w:r>
          </w:p>
        </w:tc>
        <w:tc>
          <w:tcPr>
            <w:tcW w:w="7761" w:type="dxa"/>
            <w:tcBorders>
              <w:top w:val="nil"/>
              <w:left w:val="nil"/>
              <w:bottom w:val="nil"/>
              <w:right w:val="single" w:sz="4" w:space="0" w:color="auto"/>
            </w:tcBorders>
            <w:shd w:val="clear" w:color="auto" w:fill="D9D9D9" w:themeFill="background1" w:themeFillShade="D9"/>
            <w:vAlign w:val="center"/>
            <w:hideMark/>
          </w:tcPr>
          <w:p w:rsidR="004E0933" w:rsidRPr="00CA62AD" w:rsidRDefault="004E0933" w:rsidP="0054537C">
            <w:pPr>
              <w:spacing w:line="228" w:lineRule="auto"/>
              <w:contextualSpacing/>
              <w:rPr>
                <w:rFonts w:ascii="Arial Narrow" w:hAnsi="Arial Narrow"/>
                <w:b/>
                <w:bCs/>
                <w:sz w:val="16"/>
                <w:szCs w:val="16"/>
              </w:rPr>
            </w:pPr>
            <w:r w:rsidRPr="00CA62AD">
              <w:rPr>
                <w:rFonts w:ascii="Arial Narrow" w:hAnsi="Arial Narrow"/>
                <w:b/>
                <w:bCs/>
                <w:sz w:val="16"/>
                <w:szCs w:val="16"/>
              </w:rPr>
              <w:t>Υπουργείο Περιβάλλοντος και Ενέργειας</w:t>
            </w:r>
          </w:p>
        </w:tc>
      </w:tr>
      <w:tr w:rsidR="004E0933" w:rsidRPr="00CA62AD" w:rsidTr="0054537C">
        <w:trPr>
          <w:trHeight w:val="113"/>
          <w:jc w:val="center"/>
        </w:trPr>
        <w:tc>
          <w:tcPr>
            <w:tcW w:w="429" w:type="dxa"/>
            <w:tcBorders>
              <w:top w:val="nil"/>
              <w:left w:val="single" w:sz="4" w:space="0" w:color="auto"/>
              <w:bottom w:val="nil"/>
              <w:right w:val="nil"/>
            </w:tcBorders>
            <w:hideMark/>
          </w:tcPr>
          <w:p w:rsidR="004E0933" w:rsidRPr="00CA62AD" w:rsidRDefault="004E0933" w:rsidP="0054537C">
            <w:pPr>
              <w:spacing w:line="228" w:lineRule="auto"/>
              <w:contextualSpacing/>
              <w:rPr>
                <w:rFonts w:asciiTheme="minorHAnsi" w:eastAsiaTheme="minorEastAsia" w:hAnsiTheme="minorHAnsi" w:cstheme="minorBidi"/>
              </w:rPr>
            </w:pPr>
          </w:p>
        </w:tc>
        <w:tc>
          <w:tcPr>
            <w:tcW w:w="7761" w:type="dxa"/>
            <w:tcBorders>
              <w:top w:val="nil"/>
              <w:left w:val="nil"/>
              <w:bottom w:val="nil"/>
              <w:right w:val="single" w:sz="4" w:space="0" w:color="auto"/>
            </w:tcBorders>
            <w:vAlign w:val="center"/>
            <w:hideMark/>
          </w:tcPr>
          <w:p w:rsidR="004E0933" w:rsidRPr="00CA62AD" w:rsidRDefault="004E0933" w:rsidP="0054537C">
            <w:pPr>
              <w:spacing w:line="228" w:lineRule="auto"/>
              <w:contextualSpacing/>
              <w:rPr>
                <w:rFonts w:ascii="Arial Narrow" w:hAnsi="Arial Narrow"/>
                <w:i/>
                <w:iCs/>
                <w:sz w:val="16"/>
                <w:szCs w:val="16"/>
              </w:rPr>
            </w:pPr>
            <w:r w:rsidRPr="00CA62AD">
              <w:rPr>
                <w:rFonts w:ascii="Arial Narrow" w:hAnsi="Arial Narrow"/>
                <w:i/>
                <w:iCs/>
                <w:sz w:val="16"/>
                <w:szCs w:val="16"/>
              </w:rPr>
              <w:t>Πράσινο Ταμείο</w:t>
            </w:r>
          </w:p>
        </w:tc>
      </w:tr>
      <w:tr w:rsidR="004E0933" w:rsidRPr="00CA62AD" w:rsidTr="0054537C">
        <w:trPr>
          <w:trHeight w:val="113"/>
          <w:jc w:val="center"/>
        </w:trPr>
        <w:tc>
          <w:tcPr>
            <w:tcW w:w="429" w:type="dxa"/>
            <w:tcBorders>
              <w:top w:val="nil"/>
              <w:left w:val="single" w:sz="4" w:space="0" w:color="auto"/>
              <w:bottom w:val="nil"/>
              <w:right w:val="nil"/>
            </w:tcBorders>
            <w:shd w:val="clear" w:color="auto" w:fill="D9D9D9" w:themeFill="background1" w:themeFillShade="D9"/>
            <w:hideMark/>
          </w:tcPr>
          <w:p w:rsidR="004E0933" w:rsidRPr="00CA62AD" w:rsidRDefault="00CD55E6" w:rsidP="0054537C">
            <w:pPr>
              <w:spacing w:line="228" w:lineRule="auto"/>
              <w:contextualSpacing/>
              <w:jc w:val="center"/>
              <w:rPr>
                <w:rFonts w:ascii="Arial Narrow" w:hAnsi="Arial Narrow" w:cs="Segoe UI"/>
                <w:b/>
                <w:bCs/>
                <w:sz w:val="16"/>
                <w:szCs w:val="16"/>
              </w:rPr>
            </w:pPr>
            <w:r>
              <w:rPr>
                <w:rFonts w:ascii="Arial Narrow" w:hAnsi="Arial Narrow" w:cs="Segoe UI"/>
                <w:b/>
                <w:bCs/>
                <w:sz w:val="16"/>
                <w:szCs w:val="16"/>
              </w:rPr>
              <w:t>7</w:t>
            </w:r>
          </w:p>
        </w:tc>
        <w:tc>
          <w:tcPr>
            <w:tcW w:w="7761" w:type="dxa"/>
            <w:tcBorders>
              <w:top w:val="nil"/>
              <w:left w:val="nil"/>
              <w:bottom w:val="nil"/>
              <w:right w:val="single" w:sz="4" w:space="0" w:color="auto"/>
            </w:tcBorders>
            <w:shd w:val="clear" w:color="auto" w:fill="D9D9D9" w:themeFill="background1" w:themeFillShade="D9"/>
            <w:vAlign w:val="center"/>
            <w:hideMark/>
          </w:tcPr>
          <w:p w:rsidR="004E0933" w:rsidRPr="00CA62AD" w:rsidRDefault="004E0933" w:rsidP="0054537C">
            <w:pPr>
              <w:spacing w:line="228" w:lineRule="auto"/>
              <w:contextualSpacing/>
              <w:rPr>
                <w:rFonts w:ascii="Arial Narrow" w:hAnsi="Arial Narrow"/>
                <w:b/>
                <w:bCs/>
                <w:sz w:val="16"/>
                <w:szCs w:val="16"/>
              </w:rPr>
            </w:pPr>
            <w:r w:rsidRPr="00CA62AD">
              <w:rPr>
                <w:rFonts w:ascii="Arial Narrow" w:hAnsi="Arial Narrow"/>
                <w:b/>
                <w:bCs/>
                <w:sz w:val="16"/>
                <w:szCs w:val="16"/>
              </w:rPr>
              <w:t>Υπουργείο Ανάπτυξης</w:t>
            </w:r>
            <w:r w:rsidRPr="00A570B8">
              <w:rPr>
                <w:rFonts w:ascii="Arial Narrow" w:hAnsi="Arial Narrow"/>
                <w:b/>
                <w:bCs/>
                <w:sz w:val="16"/>
                <w:szCs w:val="16"/>
              </w:rPr>
              <w:t xml:space="preserve"> </w:t>
            </w:r>
            <w:r w:rsidRPr="00CA62AD">
              <w:rPr>
                <w:rFonts w:ascii="Arial Narrow" w:hAnsi="Arial Narrow"/>
                <w:b/>
                <w:bCs/>
                <w:sz w:val="16"/>
                <w:szCs w:val="16"/>
              </w:rPr>
              <w:t xml:space="preserve">και Επενδύσεων </w:t>
            </w:r>
          </w:p>
        </w:tc>
      </w:tr>
      <w:tr w:rsidR="004E0933" w:rsidRPr="00CA62AD" w:rsidTr="0054537C">
        <w:trPr>
          <w:trHeight w:val="113"/>
          <w:jc w:val="center"/>
        </w:trPr>
        <w:tc>
          <w:tcPr>
            <w:tcW w:w="429" w:type="dxa"/>
            <w:tcBorders>
              <w:top w:val="nil"/>
              <w:left w:val="single" w:sz="4" w:space="0" w:color="auto"/>
              <w:bottom w:val="nil"/>
              <w:right w:val="nil"/>
            </w:tcBorders>
            <w:hideMark/>
          </w:tcPr>
          <w:p w:rsidR="004E0933" w:rsidRPr="00CA62AD" w:rsidRDefault="004E0933" w:rsidP="0054537C">
            <w:pPr>
              <w:spacing w:line="228" w:lineRule="auto"/>
              <w:contextualSpacing/>
              <w:rPr>
                <w:rFonts w:asciiTheme="minorHAnsi" w:eastAsiaTheme="minorEastAsia" w:hAnsiTheme="minorHAnsi" w:cstheme="minorBidi"/>
              </w:rPr>
            </w:pPr>
          </w:p>
        </w:tc>
        <w:tc>
          <w:tcPr>
            <w:tcW w:w="7761" w:type="dxa"/>
            <w:tcBorders>
              <w:top w:val="nil"/>
              <w:left w:val="nil"/>
              <w:bottom w:val="nil"/>
              <w:right w:val="single" w:sz="4" w:space="0" w:color="auto"/>
            </w:tcBorders>
            <w:vAlign w:val="center"/>
            <w:hideMark/>
          </w:tcPr>
          <w:p w:rsidR="004E0933" w:rsidRPr="00CA62AD" w:rsidRDefault="004E0933" w:rsidP="0054537C">
            <w:pPr>
              <w:spacing w:line="228" w:lineRule="auto"/>
              <w:contextualSpacing/>
              <w:rPr>
                <w:rFonts w:ascii="Arial Narrow" w:hAnsi="Arial Narrow"/>
                <w:i/>
                <w:iCs/>
                <w:sz w:val="16"/>
                <w:szCs w:val="16"/>
              </w:rPr>
            </w:pPr>
            <w:r w:rsidRPr="00CA62AD">
              <w:rPr>
                <w:rFonts w:ascii="Arial Narrow" w:hAnsi="Arial Narrow"/>
                <w:i/>
                <w:iCs/>
                <w:sz w:val="16"/>
                <w:szCs w:val="16"/>
              </w:rPr>
              <w:t xml:space="preserve">Μονάδα Οργάνωσης της Διαχείρισης Αναπτυξιακών Προγραμμάτων (ΜΟΔ) ΑΕ </w:t>
            </w:r>
          </w:p>
        </w:tc>
      </w:tr>
      <w:tr w:rsidR="004E0933" w:rsidRPr="00CA62AD" w:rsidTr="0054537C">
        <w:trPr>
          <w:trHeight w:val="60"/>
          <w:jc w:val="center"/>
        </w:trPr>
        <w:tc>
          <w:tcPr>
            <w:tcW w:w="429" w:type="dxa"/>
            <w:tcBorders>
              <w:top w:val="nil"/>
              <w:left w:val="single" w:sz="4" w:space="0" w:color="auto"/>
              <w:bottom w:val="nil"/>
              <w:right w:val="nil"/>
            </w:tcBorders>
            <w:shd w:val="clear" w:color="auto" w:fill="D9D9D9" w:themeFill="background1" w:themeFillShade="D9"/>
            <w:hideMark/>
          </w:tcPr>
          <w:p w:rsidR="004E0933" w:rsidRPr="00CA62AD" w:rsidRDefault="00CD55E6" w:rsidP="0054537C">
            <w:pPr>
              <w:spacing w:line="228" w:lineRule="auto"/>
              <w:contextualSpacing/>
              <w:jc w:val="center"/>
              <w:rPr>
                <w:rFonts w:ascii="Arial Narrow" w:hAnsi="Arial Narrow" w:cs="Segoe UI"/>
                <w:b/>
                <w:bCs/>
                <w:sz w:val="16"/>
                <w:szCs w:val="16"/>
              </w:rPr>
            </w:pPr>
            <w:r>
              <w:rPr>
                <w:rFonts w:ascii="Arial Narrow" w:hAnsi="Arial Narrow" w:cs="Segoe UI"/>
                <w:b/>
                <w:bCs/>
                <w:sz w:val="16"/>
                <w:szCs w:val="16"/>
              </w:rPr>
              <w:t>8</w:t>
            </w:r>
          </w:p>
        </w:tc>
        <w:tc>
          <w:tcPr>
            <w:tcW w:w="7761" w:type="dxa"/>
            <w:tcBorders>
              <w:top w:val="nil"/>
              <w:left w:val="nil"/>
              <w:bottom w:val="nil"/>
              <w:right w:val="single" w:sz="4" w:space="0" w:color="auto"/>
            </w:tcBorders>
            <w:shd w:val="clear" w:color="auto" w:fill="D9D9D9" w:themeFill="background1" w:themeFillShade="D9"/>
            <w:vAlign w:val="center"/>
            <w:hideMark/>
          </w:tcPr>
          <w:p w:rsidR="004E0933" w:rsidRPr="00CA62AD" w:rsidRDefault="004E0933" w:rsidP="0054537C">
            <w:pPr>
              <w:spacing w:line="228" w:lineRule="auto"/>
              <w:contextualSpacing/>
              <w:rPr>
                <w:rFonts w:ascii="Arial Narrow" w:hAnsi="Arial Narrow"/>
                <w:b/>
                <w:bCs/>
                <w:sz w:val="16"/>
                <w:szCs w:val="16"/>
              </w:rPr>
            </w:pPr>
            <w:r w:rsidRPr="00CA62AD">
              <w:rPr>
                <w:rFonts w:ascii="Arial Narrow" w:hAnsi="Arial Narrow"/>
                <w:b/>
                <w:bCs/>
                <w:sz w:val="16"/>
                <w:szCs w:val="16"/>
              </w:rPr>
              <w:t xml:space="preserve">Υπουργείο Υποδομών και Μεταφορών </w:t>
            </w:r>
          </w:p>
        </w:tc>
      </w:tr>
      <w:tr w:rsidR="004E0933" w:rsidRPr="00775C1E" w:rsidTr="0054537C">
        <w:trPr>
          <w:trHeight w:val="113"/>
          <w:jc w:val="center"/>
        </w:trPr>
        <w:tc>
          <w:tcPr>
            <w:tcW w:w="429" w:type="dxa"/>
            <w:tcBorders>
              <w:top w:val="nil"/>
              <w:left w:val="single" w:sz="4" w:space="0" w:color="auto"/>
              <w:bottom w:val="nil"/>
              <w:right w:val="nil"/>
            </w:tcBorders>
            <w:hideMark/>
          </w:tcPr>
          <w:p w:rsidR="004E0933" w:rsidRPr="001A549D" w:rsidRDefault="004E0933" w:rsidP="0054537C">
            <w:pPr>
              <w:spacing w:line="228" w:lineRule="auto"/>
              <w:contextualSpacing/>
              <w:rPr>
                <w:rFonts w:asciiTheme="minorHAnsi" w:eastAsiaTheme="minorEastAsia" w:hAnsiTheme="minorHAnsi" w:cstheme="minorBidi"/>
              </w:rPr>
            </w:pPr>
          </w:p>
        </w:tc>
        <w:tc>
          <w:tcPr>
            <w:tcW w:w="7761" w:type="dxa"/>
            <w:tcBorders>
              <w:top w:val="nil"/>
              <w:left w:val="nil"/>
              <w:bottom w:val="nil"/>
              <w:right w:val="single" w:sz="4" w:space="0" w:color="auto"/>
            </w:tcBorders>
            <w:vAlign w:val="center"/>
            <w:hideMark/>
          </w:tcPr>
          <w:p w:rsidR="004E0933" w:rsidRPr="001A549D" w:rsidRDefault="004E0933" w:rsidP="0054537C">
            <w:pPr>
              <w:spacing w:line="228" w:lineRule="auto"/>
              <w:contextualSpacing/>
              <w:rPr>
                <w:rFonts w:ascii="Arial Narrow" w:hAnsi="Arial Narrow"/>
                <w:i/>
                <w:iCs/>
                <w:sz w:val="16"/>
                <w:szCs w:val="16"/>
              </w:rPr>
            </w:pPr>
            <w:r w:rsidRPr="001A549D">
              <w:rPr>
                <w:rFonts w:ascii="Arial Narrow" w:hAnsi="Arial Narrow"/>
                <w:i/>
                <w:iCs/>
                <w:sz w:val="16"/>
                <w:szCs w:val="16"/>
              </w:rPr>
              <w:t>ΑΤΤΙΚΟ ΜΕΤΡΟ ΑΕ</w:t>
            </w:r>
          </w:p>
          <w:p w:rsidR="004E0933" w:rsidRPr="001A549D" w:rsidRDefault="004E0933" w:rsidP="0054537C">
            <w:pPr>
              <w:spacing w:line="228" w:lineRule="auto"/>
              <w:contextualSpacing/>
              <w:rPr>
                <w:rFonts w:ascii="Arial Narrow" w:hAnsi="Arial Narrow"/>
                <w:i/>
                <w:iCs/>
                <w:sz w:val="16"/>
                <w:szCs w:val="16"/>
              </w:rPr>
            </w:pPr>
            <w:r w:rsidRPr="001A549D">
              <w:rPr>
                <w:rFonts w:ascii="Arial Narrow" w:hAnsi="Arial Narrow"/>
                <w:i/>
                <w:iCs/>
                <w:sz w:val="16"/>
                <w:szCs w:val="16"/>
              </w:rPr>
              <w:t>ΕΓΝΑΤΙΑ ΟΔΟΣ ΑΕ</w:t>
            </w:r>
          </w:p>
          <w:p w:rsidR="004E0933" w:rsidRPr="001A549D" w:rsidRDefault="004E0933" w:rsidP="0054537C">
            <w:pPr>
              <w:spacing w:line="228" w:lineRule="auto"/>
              <w:contextualSpacing/>
              <w:rPr>
                <w:rFonts w:ascii="Arial Narrow" w:hAnsi="Arial Narrow"/>
                <w:i/>
                <w:iCs/>
                <w:sz w:val="16"/>
                <w:szCs w:val="16"/>
              </w:rPr>
            </w:pPr>
            <w:r w:rsidRPr="001A549D">
              <w:rPr>
                <w:rFonts w:ascii="Arial Narrow" w:hAnsi="Arial Narrow"/>
                <w:i/>
                <w:iCs/>
                <w:sz w:val="16"/>
                <w:szCs w:val="16"/>
              </w:rPr>
              <w:t>ΟΣΕ ΑΕ</w:t>
            </w:r>
          </w:p>
          <w:p w:rsidR="004E0933" w:rsidRPr="001A549D" w:rsidRDefault="004E0933" w:rsidP="0054537C">
            <w:pPr>
              <w:spacing w:line="228" w:lineRule="auto"/>
              <w:contextualSpacing/>
              <w:rPr>
                <w:rFonts w:ascii="Arial Narrow" w:hAnsi="Arial Narrow"/>
                <w:i/>
                <w:iCs/>
                <w:sz w:val="16"/>
                <w:szCs w:val="16"/>
              </w:rPr>
            </w:pPr>
            <w:r w:rsidRPr="001A549D">
              <w:rPr>
                <w:rFonts w:ascii="Arial Narrow" w:hAnsi="Arial Narrow"/>
                <w:i/>
                <w:iCs/>
                <w:sz w:val="16"/>
                <w:szCs w:val="16"/>
              </w:rPr>
              <w:t>ΕΡΓΟΣΕ ΑΕ</w:t>
            </w:r>
          </w:p>
          <w:p w:rsidR="004E0933" w:rsidRPr="001A549D" w:rsidRDefault="004E0933" w:rsidP="0054537C">
            <w:pPr>
              <w:spacing w:line="228" w:lineRule="auto"/>
              <w:contextualSpacing/>
              <w:rPr>
                <w:rFonts w:ascii="Arial Narrow" w:hAnsi="Arial Narrow"/>
                <w:i/>
                <w:iCs/>
                <w:sz w:val="16"/>
                <w:szCs w:val="16"/>
              </w:rPr>
            </w:pPr>
            <w:r w:rsidRPr="001A549D">
              <w:rPr>
                <w:rFonts w:ascii="Arial Narrow" w:hAnsi="Arial Narrow"/>
                <w:i/>
                <w:iCs/>
                <w:sz w:val="16"/>
                <w:szCs w:val="16"/>
              </w:rPr>
              <w:t>Οργανισμός Αστικών Συγκοινωνιών Αθηνών (ΟΑΣΑ) ΑΕ</w:t>
            </w:r>
          </w:p>
          <w:p w:rsidR="004E0933" w:rsidRPr="001A549D" w:rsidRDefault="004E0933" w:rsidP="0054537C">
            <w:pPr>
              <w:spacing w:line="228" w:lineRule="auto"/>
              <w:contextualSpacing/>
              <w:rPr>
                <w:rFonts w:ascii="Arial Narrow" w:hAnsi="Arial Narrow"/>
                <w:i/>
                <w:iCs/>
                <w:sz w:val="16"/>
                <w:szCs w:val="16"/>
              </w:rPr>
            </w:pPr>
            <w:r w:rsidRPr="001A549D">
              <w:rPr>
                <w:rFonts w:ascii="Arial Narrow" w:hAnsi="Arial Narrow"/>
                <w:i/>
                <w:iCs/>
                <w:sz w:val="16"/>
                <w:szCs w:val="16"/>
              </w:rPr>
              <w:t>Οδικές Συγκοινωνίες (ΟΣΥ) ΑΕ</w:t>
            </w:r>
          </w:p>
          <w:p w:rsidR="004E0933" w:rsidRPr="001A549D" w:rsidRDefault="004E0933" w:rsidP="0054537C">
            <w:pPr>
              <w:spacing w:line="228" w:lineRule="auto"/>
              <w:contextualSpacing/>
              <w:rPr>
                <w:rFonts w:ascii="Arial Narrow" w:hAnsi="Arial Narrow"/>
                <w:i/>
                <w:iCs/>
                <w:sz w:val="16"/>
                <w:szCs w:val="16"/>
              </w:rPr>
            </w:pPr>
            <w:r w:rsidRPr="001A549D">
              <w:rPr>
                <w:rFonts w:ascii="Arial Narrow" w:hAnsi="Arial Narrow"/>
                <w:i/>
                <w:iCs/>
                <w:sz w:val="16"/>
                <w:szCs w:val="16"/>
              </w:rPr>
              <w:t>Σταθερές Συγκοινωνίες (ΣΤΑΣΥ) ΑΕ</w:t>
            </w:r>
          </w:p>
          <w:p w:rsidR="004E0933" w:rsidRPr="001A549D" w:rsidRDefault="004E0933" w:rsidP="0054537C">
            <w:pPr>
              <w:spacing w:line="228" w:lineRule="auto"/>
              <w:contextualSpacing/>
              <w:rPr>
                <w:rFonts w:ascii="Arial Narrow" w:hAnsi="Arial Narrow"/>
                <w:i/>
                <w:iCs/>
                <w:sz w:val="16"/>
                <w:szCs w:val="16"/>
              </w:rPr>
            </w:pPr>
            <w:r w:rsidRPr="001A549D">
              <w:rPr>
                <w:rFonts w:ascii="Arial Narrow" w:hAnsi="Arial Narrow"/>
                <w:i/>
                <w:iCs/>
                <w:sz w:val="16"/>
                <w:szCs w:val="16"/>
              </w:rPr>
              <w:t>Οργανισμός Συγκοινωνιακού Έργου  Θεσσαλονίκης (ΟΣΕΘ)</w:t>
            </w:r>
            <w:r>
              <w:rPr>
                <w:rFonts w:ascii="Arial Narrow" w:hAnsi="Arial Narrow"/>
                <w:i/>
                <w:iCs/>
                <w:sz w:val="16"/>
                <w:szCs w:val="16"/>
              </w:rPr>
              <w:t xml:space="preserve"> ΑΕ</w:t>
            </w:r>
          </w:p>
          <w:p w:rsidR="004E0933" w:rsidRPr="001A549D" w:rsidRDefault="004E0933" w:rsidP="0054537C">
            <w:pPr>
              <w:spacing w:line="228" w:lineRule="auto"/>
              <w:contextualSpacing/>
              <w:rPr>
                <w:rFonts w:ascii="Arial Narrow" w:hAnsi="Arial Narrow"/>
                <w:i/>
                <w:iCs/>
                <w:sz w:val="16"/>
                <w:szCs w:val="16"/>
              </w:rPr>
            </w:pPr>
            <w:r w:rsidRPr="001A549D">
              <w:rPr>
                <w:rFonts w:ascii="Arial Narrow" w:hAnsi="Arial Narrow"/>
                <w:i/>
                <w:iCs/>
                <w:sz w:val="16"/>
                <w:szCs w:val="16"/>
              </w:rPr>
              <w:t>Οργανισμός Αστικών Συγκοινωνιών Θεσσαλονί</w:t>
            </w:r>
            <w:r>
              <w:rPr>
                <w:rFonts w:ascii="Arial Narrow" w:hAnsi="Arial Narrow"/>
                <w:i/>
                <w:iCs/>
                <w:sz w:val="16"/>
                <w:szCs w:val="16"/>
              </w:rPr>
              <w:t>κης (ΟΑΣΘ) υπό εκκαθάριση</w:t>
            </w:r>
          </w:p>
          <w:p w:rsidR="004E0933" w:rsidRPr="001A549D" w:rsidRDefault="004E0933" w:rsidP="0054537C">
            <w:pPr>
              <w:spacing w:line="228" w:lineRule="auto"/>
              <w:contextualSpacing/>
              <w:rPr>
                <w:rFonts w:ascii="Arial Narrow" w:hAnsi="Arial Narrow"/>
                <w:i/>
                <w:iCs/>
                <w:sz w:val="16"/>
                <w:szCs w:val="16"/>
              </w:rPr>
            </w:pPr>
            <w:r>
              <w:rPr>
                <w:rFonts w:ascii="Arial Narrow" w:hAnsi="Arial Narrow"/>
                <w:i/>
                <w:iCs/>
                <w:sz w:val="16"/>
                <w:szCs w:val="16"/>
              </w:rPr>
              <w:t>Συμβάσεις Παραχώρησης Α</w:t>
            </w:r>
            <w:r w:rsidRPr="001A549D">
              <w:rPr>
                <w:rFonts w:ascii="Arial Narrow" w:hAnsi="Arial Narrow"/>
                <w:i/>
                <w:iCs/>
                <w:sz w:val="16"/>
                <w:szCs w:val="16"/>
              </w:rPr>
              <w:t>υτοκινητοδρόμων</w:t>
            </w:r>
          </w:p>
        </w:tc>
      </w:tr>
      <w:tr w:rsidR="004E0933" w:rsidRPr="00775C1E" w:rsidTr="0054537C">
        <w:trPr>
          <w:trHeight w:val="113"/>
          <w:jc w:val="center"/>
        </w:trPr>
        <w:tc>
          <w:tcPr>
            <w:tcW w:w="429" w:type="dxa"/>
            <w:tcBorders>
              <w:top w:val="nil"/>
              <w:left w:val="single" w:sz="4" w:space="0" w:color="auto"/>
              <w:bottom w:val="nil"/>
              <w:right w:val="nil"/>
            </w:tcBorders>
            <w:shd w:val="clear" w:color="auto" w:fill="D9D9D9" w:themeFill="background1" w:themeFillShade="D9"/>
            <w:hideMark/>
          </w:tcPr>
          <w:p w:rsidR="004E0933" w:rsidRPr="001A549D" w:rsidRDefault="00CD55E6" w:rsidP="0054537C">
            <w:pPr>
              <w:spacing w:line="228" w:lineRule="auto"/>
              <w:contextualSpacing/>
              <w:jc w:val="center"/>
              <w:rPr>
                <w:rFonts w:ascii="Arial Narrow" w:hAnsi="Arial Narrow" w:cs="Segoe UI"/>
                <w:b/>
                <w:bCs/>
                <w:sz w:val="16"/>
                <w:szCs w:val="16"/>
              </w:rPr>
            </w:pPr>
            <w:r>
              <w:rPr>
                <w:rFonts w:ascii="Arial Narrow" w:hAnsi="Arial Narrow" w:cs="Segoe UI"/>
                <w:b/>
                <w:bCs/>
                <w:sz w:val="16"/>
                <w:szCs w:val="16"/>
              </w:rPr>
              <w:t>9</w:t>
            </w:r>
          </w:p>
        </w:tc>
        <w:tc>
          <w:tcPr>
            <w:tcW w:w="7761" w:type="dxa"/>
            <w:tcBorders>
              <w:top w:val="nil"/>
              <w:left w:val="nil"/>
              <w:bottom w:val="nil"/>
              <w:right w:val="single" w:sz="4" w:space="0" w:color="auto"/>
            </w:tcBorders>
            <w:shd w:val="clear" w:color="auto" w:fill="D9D9D9" w:themeFill="background1" w:themeFillShade="D9"/>
            <w:vAlign w:val="center"/>
            <w:hideMark/>
          </w:tcPr>
          <w:p w:rsidR="004E0933" w:rsidRPr="001A549D" w:rsidRDefault="004E0933" w:rsidP="0054537C">
            <w:pPr>
              <w:spacing w:line="228" w:lineRule="auto"/>
              <w:contextualSpacing/>
              <w:rPr>
                <w:rFonts w:ascii="Arial Narrow" w:hAnsi="Arial Narrow"/>
                <w:b/>
                <w:bCs/>
                <w:sz w:val="16"/>
                <w:szCs w:val="16"/>
              </w:rPr>
            </w:pPr>
            <w:r w:rsidRPr="001A549D">
              <w:rPr>
                <w:rFonts w:ascii="Arial Narrow" w:hAnsi="Arial Narrow"/>
                <w:b/>
                <w:bCs/>
                <w:sz w:val="16"/>
                <w:szCs w:val="16"/>
              </w:rPr>
              <w:t>Υπουργείο Τουρισμού</w:t>
            </w:r>
          </w:p>
        </w:tc>
      </w:tr>
      <w:tr w:rsidR="004E0933" w:rsidRPr="00775C1E" w:rsidTr="0054537C">
        <w:trPr>
          <w:trHeight w:val="113"/>
          <w:jc w:val="center"/>
        </w:trPr>
        <w:tc>
          <w:tcPr>
            <w:tcW w:w="429" w:type="dxa"/>
            <w:tcBorders>
              <w:top w:val="nil"/>
              <w:left w:val="single" w:sz="4" w:space="0" w:color="auto"/>
              <w:bottom w:val="nil"/>
              <w:right w:val="nil"/>
            </w:tcBorders>
            <w:hideMark/>
          </w:tcPr>
          <w:p w:rsidR="004E0933" w:rsidRPr="001A549D" w:rsidRDefault="004E0933" w:rsidP="0054537C">
            <w:pPr>
              <w:spacing w:line="228" w:lineRule="auto"/>
              <w:contextualSpacing/>
              <w:rPr>
                <w:rFonts w:asciiTheme="minorHAnsi" w:eastAsiaTheme="minorEastAsia" w:hAnsiTheme="minorHAnsi" w:cstheme="minorBidi"/>
              </w:rPr>
            </w:pPr>
          </w:p>
        </w:tc>
        <w:tc>
          <w:tcPr>
            <w:tcW w:w="7761" w:type="dxa"/>
            <w:tcBorders>
              <w:top w:val="nil"/>
              <w:left w:val="nil"/>
              <w:bottom w:val="nil"/>
              <w:right w:val="single" w:sz="4" w:space="0" w:color="auto"/>
            </w:tcBorders>
            <w:hideMark/>
          </w:tcPr>
          <w:p w:rsidR="004E0933" w:rsidRPr="00A570B8" w:rsidRDefault="004E0933" w:rsidP="0054537C">
            <w:pPr>
              <w:spacing w:line="228" w:lineRule="auto"/>
              <w:contextualSpacing/>
              <w:rPr>
                <w:rFonts w:ascii="Arial Narrow" w:hAnsi="Arial Narrow"/>
                <w:i/>
                <w:iCs/>
                <w:sz w:val="16"/>
                <w:szCs w:val="16"/>
                <w:lang w:val="en-US"/>
              </w:rPr>
            </w:pPr>
            <w:r w:rsidRPr="001A549D">
              <w:rPr>
                <w:rFonts w:ascii="Arial Narrow" w:hAnsi="Arial Narrow"/>
                <w:i/>
                <w:iCs/>
                <w:sz w:val="16"/>
                <w:szCs w:val="16"/>
              </w:rPr>
              <w:t>Ελληνικός Οργανισμός Τουρισμού (ΕΟΤ)</w:t>
            </w:r>
          </w:p>
        </w:tc>
      </w:tr>
      <w:tr w:rsidR="004E0933" w:rsidRPr="00775C1E" w:rsidTr="0054537C">
        <w:trPr>
          <w:trHeight w:val="113"/>
          <w:jc w:val="center"/>
        </w:trPr>
        <w:tc>
          <w:tcPr>
            <w:tcW w:w="429" w:type="dxa"/>
            <w:tcBorders>
              <w:top w:val="nil"/>
              <w:left w:val="single" w:sz="4" w:space="0" w:color="auto"/>
              <w:bottom w:val="nil"/>
              <w:right w:val="nil"/>
            </w:tcBorders>
            <w:shd w:val="clear" w:color="auto" w:fill="D9D9D9" w:themeFill="background1" w:themeFillShade="D9"/>
            <w:hideMark/>
          </w:tcPr>
          <w:p w:rsidR="004E0933" w:rsidRPr="001A549D" w:rsidRDefault="00CD55E6" w:rsidP="0054537C">
            <w:pPr>
              <w:spacing w:line="228" w:lineRule="auto"/>
              <w:contextualSpacing/>
              <w:jc w:val="center"/>
              <w:rPr>
                <w:rFonts w:ascii="Arial Narrow" w:hAnsi="Arial Narrow" w:cs="Segoe UI"/>
                <w:b/>
                <w:bCs/>
                <w:sz w:val="16"/>
                <w:szCs w:val="16"/>
              </w:rPr>
            </w:pPr>
            <w:r>
              <w:rPr>
                <w:rFonts w:ascii="Arial Narrow" w:hAnsi="Arial Narrow" w:cs="Segoe UI"/>
                <w:b/>
                <w:bCs/>
                <w:sz w:val="16"/>
                <w:szCs w:val="16"/>
              </w:rPr>
              <w:t>10</w:t>
            </w:r>
          </w:p>
        </w:tc>
        <w:tc>
          <w:tcPr>
            <w:tcW w:w="7761" w:type="dxa"/>
            <w:tcBorders>
              <w:top w:val="nil"/>
              <w:left w:val="nil"/>
              <w:bottom w:val="nil"/>
              <w:right w:val="single" w:sz="4" w:space="0" w:color="auto"/>
            </w:tcBorders>
            <w:shd w:val="clear" w:color="auto" w:fill="D9D9D9" w:themeFill="background1" w:themeFillShade="D9"/>
            <w:vAlign w:val="center"/>
            <w:hideMark/>
          </w:tcPr>
          <w:p w:rsidR="004E0933" w:rsidRPr="001A549D" w:rsidRDefault="004E0933" w:rsidP="0054537C">
            <w:pPr>
              <w:spacing w:line="228" w:lineRule="auto"/>
              <w:contextualSpacing/>
              <w:rPr>
                <w:rFonts w:ascii="Arial Narrow" w:hAnsi="Arial Narrow"/>
                <w:b/>
                <w:bCs/>
                <w:sz w:val="16"/>
                <w:szCs w:val="16"/>
              </w:rPr>
            </w:pPr>
            <w:r w:rsidRPr="00CA62AD">
              <w:rPr>
                <w:rFonts w:ascii="Arial Narrow" w:hAnsi="Arial Narrow"/>
                <w:b/>
                <w:bCs/>
                <w:sz w:val="16"/>
                <w:szCs w:val="16"/>
              </w:rPr>
              <w:t>Υπουργείο Ψηφιακής Διακυβέρνησης</w:t>
            </w:r>
          </w:p>
        </w:tc>
      </w:tr>
      <w:tr w:rsidR="004E0933" w:rsidRPr="00775C1E" w:rsidTr="0054537C">
        <w:trPr>
          <w:trHeight w:val="113"/>
          <w:jc w:val="center"/>
        </w:trPr>
        <w:tc>
          <w:tcPr>
            <w:tcW w:w="429" w:type="dxa"/>
            <w:tcBorders>
              <w:top w:val="nil"/>
              <w:left w:val="single" w:sz="4" w:space="0" w:color="auto"/>
              <w:bottom w:val="nil"/>
              <w:right w:val="nil"/>
            </w:tcBorders>
            <w:hideMark/>
          </w:tcPr>
          <w:p w:rsidR="004E0933" w:rsidRPr="001A549D" w:rsidRDefault="004E0933" w:rsidP="0054537C">
            <w:pPr>
              <w:spacing w:line="228" w:lineRule="auto"/>
              <w:contextualSpacing/>
              <w:rPr>
                <w:rFonts w:asciiTheme="minorHAnsi" w:eastAsiaTheme="minorEastAsia" w:hAnsiTheme="minorHAnsi" w:cstheme="minorBidi"/>
              </w:rPr>
            </w:pPr>
          </w:p>
        </w:tc>
        <w:tc>
          <w:tcPr>
            <w:tcW w:w="7761" w:type="dxa"/>
            <w:tcBorders>
              <w:top w:val="nil"/>
              <w:left w:val="nil"/>
              <w:bottom w:val="nil"/>
              <w:right w:val="single" w:sz="4" w:space="0" w:color="auto"/>
            </w:tcBorders>
            <w:vAlign w:val="center"/>
            <w:hideMark/>
          </w:tcPr>
          <w:p w:rsidR="004E0933" w:rsidRPr="001A549D" w:rsidRDefault="004E0933" w:rsidP="0054537C">
            <w:pPr>
              <w:spacing w:line="228" w:lineRule="auto"/>
              <w:contextualSpacing/>
              <w:rPr>
                <w:rFonts w:ascii="Arial Narrow" w:hAnsi="Arial Narrow"/>
                <w:i/>
                <w:iCs/>
                <w:sz w:val="16"/>
                <w:szCs w:val="16"/>
              </w:rPr>
            </w:pPr>
            <w:r w:rsidRPr="00CA62AD">
              <w:rPr>
                <w:rFonts w:ascii="Arial Narrow" w:hAnsi="Arial Narrow"/>
                <w:i/>
                <w:iCs/>
                <w:sz w:val="16"/>
                <w:szCs w:val="16"/>
              </w:rPr>
              <w:t>Κοινωνία της</w:t>
            </w:r>
            <w:r>
              <w:rPr>
                <w:rFonts w:ascii="Arial Narrow" w:hAnsi="Arial Narrow"/>
                <w:i/>
                <w:iCs/>
                <w:sz w:val="16"/>
                <w:szCs w:val="16"/>
              </w:rPr>
              <w:t xml:space="preserve"> Πληροφορίας  (ΚτΠ) ΑΕ</w:t>
            </w:r>
          </w:p>
        </w:tc>
      </w:tr>
      <w:tr w:rsidR="004E0933" w:rsidRPr="00775C1E" w:rsidTr="0054537C">
        <w:trPr>
          <w:trHeight w:val="151"/>
          <w:jc w:val="center"/>
        </w:trPr>
        <w:tc>
          <w:tcPr>
            <w:tcW w:w="429" w:type="dxa"/>
            <w:tcBorders>
              <w:top w:val="nil"/>
              <w:left w:val="single" w:sz="4" w:space="0" w:color="auto"/>
              <w:bottom w:val="single" w:sz="4" w:space="0" w:color="auto"/>
              <w:right w:val="nil"/>
            </w:tcBorders>
            <w:hideMark/>
          </w:tcPr>
          <w:p w:rsidR="004E0933" w:rsidRPr="00775C1E" w:rsidRDefault="004E0933" w:rsidP="0054537C">
            <w:pPr>
              <w:spacing w:line="228" w:lineRule="auto"/>
              <w:contextualSpacing/>
              <w:rPr>
                <w:rFonts w:asciiTheme="minorHAnsi" w:eastAsiaTheme="minorEastAsia" w:hAnsiTheme="minorHAnsi" w:cstheme="minorBidi"/>
                <w:highlight w:val="yellow"/>
              </w:rPr>
            </w:pPr>
          </w:p>
        </w:tc>
        <w:tc>
          <w:tcPr>
            <w:tcW w:w="7761" w:type="dxa"/>
            <w:tcBorders>
              <w:top w:val="nil"/>
              <w:left w:val="nil"/>
              <w:bottom w:val="single" w:sz="4" w:space="0" w:color="auto"/>
              <w:right w:val="single" w:sz="4" w:space="0" w:color="auto"/>
            </w:tcBorders>
            <w:vAlign w:val="center"/>
            <w:hideMark/>
          </w:tcPr>
          <w:p w:rsidR="004E0933" w:rsidRPr="00775C1E" w:rsidRDefault="004E0933" w:rsidP="0054537C">
            <w:pPr>
              <w:spacing w:line="228" w:lineRule="auto"/>
              <w:contextualSpacing/>
              <w:rPr>
                <w:rFonts w:ascii="Arial Narrow" w:hAnsi="Arial Narrow"/>
                <w:i/>
                <w:iCs/>
                <w:sz w:val="16"/>
                <w:szCs w:val="16"/>
                <w:highlight w:val="yellow"/>
              </w:rPr>
            </w:pPr>
          </w:p>
        </w:tc>
      </w:tr>
    </w:tbl>
    <w:p w:rsidR="004E0933" w:rsidRPr="00775C1E" w:rsidRDefault="004E0933" w:rsidP="004E0933">
      <w:pPr>
        <w:jc w:val="both"/>
        <w:rPr>
          <w:sz w:val="22"/>
          <w:szCs w:val="22"/>
          <w:highlight w:val="yellow"/>
        </w:rPr>
      </w:pPr>
    </w:p>
    <w:p w:rsidR="004E0933" w:rsidRPr="00C71E0F" w:rsidRDefault="004E0933" w:rsidP="004E0933">
      <w:pPr>
        <w:jc w:val="both"/>
        <w:rPr>
          <w:sz w:val="22"/>
          <w:szCs w:val="22"/>
        </w:rPr>
      </w:pPr>
      <w:r w:rsidRPr="006D58F6">
        <w:rPr>
          <w:sz w:val="22"/>
          <w:szCs w:val="22"/>
        </w:rPr>
        <w:t xml:space="preserve">Στον πίνακα </w:t>
      </w:r>
      <w:r w:rsidR="006D58F6" w:rsidRPr="006D58F6">
        <w:rPr>
          <w:sz w:val="22"/>
          <w:szCs w:val="22"/>
        </w:rPr>
        <w:t>3.22</w:t>
      </w:r>
      <w:r w:rsidRPr="006D58F6">
        <w:rPr>
          <w:sz w:val="22"/>
          <w:szCs w:val="22"/>
        </w:rPr>
        <w:t xml:space="preserve"> αποτυπώνονται τα συνολικά οικονομικά μεγέθη των προϋπολογισμών των ανωτέρω φορέων για τα έτη 2020 και 2021, ενώ στον πίνακα </w:t>
      </w:r>
      <w:r w:rsidR="006D58F6" w:rsidRPr="006D58F6">
        <w:rPr>
          <w:sz w:val="22"/>
          <w:szCs w:val="22"/>
        </w:rPr>
        <w:t>3.23</w:t>
      </w:r>
      <w:r w:rsidRPr="006D58F6">
        <w:rPr>
          <w:sz w:val="22"/>
          <w:szCs w:val="22"/>
        </w:rPr>
        <w:t xml:space="preserve"> απεικονίζεται το ισοζύγιό τους ανά υπου</w:t>
      </w:r>
      <w:r w:rsidRPr="006D58F6">
        <w:rPr>
          <w:sz w:val="22"/>
          <w:szCs w:val="22"/>
        </w:rPr>
        <w:t>ρ</w:t>
      </w:r>
      <w:r w:rsidRPr="006D58F6">
        <w:rPr>
          <w:sz w:val="22"/>
          <w:szCs w:val="22"/>
        </w:rPr>
        <w:t>γείο, σύμφωνα με την μεθοδολογία Ε</w:t>
      </w:r>
      <w:r w:rsidRPr="006D58F6">
        <w:rPr>
          <w:sz w:val="22"/>
          <w:szCs w:val="22"/>
          <w:lang w:val="en-US"/>
        </w:rPr>
        <w:t>S</w:t>
      </w:r>
      <w:r w:rsidRPr="006D58F6">
        <w:rPr>
          <w:sz w:val="22"/>
          <w:szCs w:val="22"/>
        </w:rPr>
        <w:t>Α.</w:t>
      </w:r>
    </w:p>
    <w:p w:rsidR="004E0933" w:rsidRPr="00775C1E" w:rsidRDefault="004E0933" w:rsidP="004E0933">
      <w:pPr>
        <w:jc w:val="both"/>
        <w:rPr>
          <w:sz w:val="22"/>
          <w:szCs w:val="22"/>
          <w:highlight w:val="yellow"/>
        </w:rPr>
      </w:pPr>
      <w:r w:rsidRPr="00775C1E">
        <w:rPr>
          <w:sz w:val="22"/>
          <w:szCs w:val="22"/>
          <w:highlight w:val="yellow"/>
        </w:rPr>
        <w:t xml:space="preserve"> </w:t>
      </w:r>
    </w:p>
    <w:tbl>
      <w:tblPr>
        <w:tblW w:w="7550"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0"/>
        <w:gridCol w:w="1412"/>
        <w:gridCol w:w="1288"/>
      </w:tblGrid>
      <w:tr w:rsidR="004E0933" w:rsidRPr="00775C1E" w:rsidTr="0054537C">
        <w:tc>
          <w:tcPr>
            <w:tcW w:w="7550" w:type="dxa"/>
            <w:gridSpan w:val="3"/>
            <w:tcBorders>
              <w:top w:val="single" w:sz="4" w:space="0" w:color="auto"/>
              <w:bottom w:val="nil"/>
            </w:tcBorders>
            <w:shd w:val="clear" w:color="auto" w:fill="404040"/>
            <w:noWrap/>
          </w:tcPr>
          <w:p w:rsidR="004E0933" w:rsidRPr="00C71E0F" w:rsidRDefault="004E0933" w:rsidP="0054537C">
            <w:pPr>
              <w:jc w:val="center"/>
              <w:rPr>
                <w:rFonts w:ascii="Arial Narrow" w:hAnsi="Arial Narrow"/>
                <w:b/>
                <w:color w:val="FFFFFF"/>
                <w:szCs w:val="16"/>
              </w:rPr>
            </w:pPr>
            <w:r w:rsidRPr="00C71E0F">
              <w:rPr>
                <w:rFonts w:ascii="Arial Narrow" w:hAnsi="Arial Narrow"/>
                <w:b/>
                <w:color w:val="FFFFFF"/>
                <w:szCs w:val="16"/>
              </w:rPr>
              <w:t xml:space="preserve">Πίνακας </w:t>
            </w:r>
            <w:r w:rsidR="006D58F6">
              <w:rPr>
                <w:rFonts w:ascii="Arial Narrow" w:hAnsi="Arial Narrow"/>
                <w:b/>
                <w:color w:val="FFFFFF"/>
                <w:szCs w:val="16"/>
              </w:rPr>
              <w:t>3.22</w:t>
            </w:r>
            <w:r w:rsidRPr="00C71E0F">
              <w:rPr>
                <w:rFonts w:ascii="Arial Narrow" w:hAnsi="Arial Narrow"/>
                <w:b/>
                <w:color w:val="FFFFFF"/>
                <w:szCs w:val="16"/>
              </w:rPr>
              <w:t xml:space="preserve">  Προϋπολογισμός ΔΕΚΟ κατά Ε</w:t>
            </w:r>
            <w:r w:rsidRPr="00C71E0F">
              <w:rPr>
                <w:rFonts w:ascii="Arial Narrow" w:hAnsi="Arial Narrow"/>
                <w:b/>
                <w:color w:val="FFFFFF"/>
                <w:szCs w:val="16"/>
                <w:lang w:val="en-US"/>
              </w:rPr>
              <w:t>SA</w:t>
            </w:r>
          </w:p>
          <w:p w:rsidR="004E0933" w:rsidRPr="00775C1E" w:rsidRDefault="004E0933" w:rsidP="0054537C">
            <w:pPr>
              <w:jc w:val="center"/>
              <w:rPr>
                <w:rFonts w:ascii="Arial Narrow" w:hAnsi="Arial Narrow"/>
                <w:b/>
                <w:color w:val="FFFFFF"/>
                <w:szCs w:val="16"/>
                <w:highlight w:val="yellow"/>
              </w:rPr>
            </w:pPr>
            <w:r w:rsidRPr="00C71E0F">
              <w:rPr>
                <w:rFonts w:ascii="Arial Narrow" w:hAnsi="Arial Narrow"/>
                <w:b/>
                <w:color w:val="FFFFFF"/>
                <w:szCs w:val="16"/>
              </w:rPr>
              <w:t>(σε εκατ. ευρώ</w:t>
            </w:r>
            <w:r w:rsidRPr="0046197F">
              <w:rPr>
                <w:rFonts w:ascii="Arial Narrow" w:hAnsi="Arial Narrow"/>
                <w:b/>
                <w:color w:val="FFFFFF"/>
                <w:szCs w:val="16"/>
              </w:rPr>
              <w:t>)</w:t>
            </w:r>
          </w:p>
        </w:tc>
      </w:tr>
      <w:tr w:rsidR="004E0933" w:rsidRPr="00775C1E" w:rsidTr="0054537C">
        <w:tc>
          <w:tcPr>
            <w:tcW w:w="7550" w:type="dxa"/>
            <w:gridSpan w:val="3"/>
            <w:tcBorders>
              <w:top w:val="nil"/>
              <w:bottom w:val="nil"/>
            </w:tcBorders>
            <w:shd w:val="clear" w:color="auto" w:fill="auto"/>
            <w:noWrap/>
          </w:tcPr>
          <w:p w:rsidR="004E0933" w:rsidRPr="00775C1E" w:rsidRDefault="004E0933" w:rsidP="0054537C">
            <w:pPr>
              <w:ind w:right="907"/>
              <w:jc w:val="right"/>
              <w:rPr>
                <w:rFonts w:ascii="Arial Narrow" w:hAnsi="Arial Narrow"/>
                <w:sz w:val="12"/>
                <w:szCs w:val="16"/>
                <w:highlight w:val="yellow"/>
              </w:rPr>
            </w:pPr>
          </w:p>
        </w:tc>
      </w:tr>
      <w:tr w:rsidR="004E0933" w:rsidRPr="00775C1E" w:rsidTr="0054537C">
        <w:tc>
          <w:tcPr>
            <w:tcW w:w="4850" w:type="dxa"/>
            <w:tcBorders>
              <w:bottom w:val="single" w:sz="4" w:space="0" w:color="auto"/>
            </w:tcBorders>
            <w:shd w:val="clear" w:color="auto" w:fill="auto"/>
            <w:noWrap/>
          </w:tcPr>
          <w:p w:rsidR="004E0933" w:rsidRPr="00775C1E" w:rsidRDefault="004E0933" w:rsidP="0054537C">
            <w:pPr>
              <w:ind w:right="170"/>
              <w:jc w:val="both"/>
              <w:rPr>
                <w:rFonts w:ascii="Arial Narrow" w:hAnsi="Arial Narrow"/>
                <w:b/>
                <w:bCs/>
                <w:sz w:val="16"/>
                <w:szCs w:val="16"/>
                <w:highlight w:val="yellow"/>
              </w:rPr>
            </w:pPr>
          </w:p>
        </w:tc>
        <w:tc>
          <w:tcPr>
            <w:tcW w:w="1412" w:type="dxa"/>
            <w:tcBorders>
              <w:bottom w:val="single" w:sz="4" w:space="0" w:color="auto"/>
            </w:tcBorders>
            <w:shd w:val="clear" w:color="auto" w:fill="auto"/>
          </w:tcPr>
          <w:p w:rsidR="004E0933" w:rsidRPr="00CD55E6" w:rsidRDefault="004E0933" w:rsidP="0054537C">
            <w:pPr>
              <w:jc w:val="center"/>
              <w:rPr>
                <w:rFonts w:ascii="Arial Narrow" w:hAnsi="Arial Narrow"/>
                <w:b/>
                <w:bCs/>
                <w:sz w:val="16"/>
                <w:szCs w:val="16"/>
              </w:rPr>
            </w:pPr>
            <w:r>
              <w:rPr>
                <w:rFonts w:ascii="Arial Narrow" w:hAnsi="Arial Narrow"/>
                <w:b/>
                <w:bCs/>
                <w:sz w:val="16"/>
                <w:szCs w:val="16"/>
              </w:rPr>
              <w:t>2020</w:t>
            </w:r>
          </w:p>
          <w:p w:rsidR="004E0933" w:rsidRPr="0046197F" w:rsidRDefault="004E0933" w:rsidP="0054537C">
            <w:pPr>
              <w:jc w:val="center"/>
              <w:rPr>
                <w:rFonts w:ascii="Arial Narrow" w:hAnsi="Arial Narrow"/>
                <w:b/>
                <w:bCs/>
                <w:sz w:val="16"/>
                <w:szCs w:val="16"/>
              </w:rPr>
            </w:pPr>
            <w:r w:rsidRPr="0046197F">
              <w:rPr>
                <w:rFonts w:ascii="Arial Narrow" w:hAnsi="Arial Narrow"/>
                <w:b/>
                <w:bCs/>
                <w:sz w:val="16"/>
                <w:szCs w:val="16"/>
              </w:rPr>
              <w:t>Εκτιμήσεις</w:t>
            </w:r>
          </w:p>
        </w:tc>
        <w:tc>
          <w:tcPr>
            <w:tcW w:w="1288" w:type="dxa"/>
            <w:tcBorders>
              <w:bottom w:val="single" w:sz="4" w:space="0" w:color="auto"/>
            </w:tcBorders>
            <w:shd w:val="clear" w:color="auto" w:fill="auto"/>
          </w:tcPr>
          <w:p w:rsidR="004E0933" w:rsidRPr="00CD55E6" w:rsidRDefault="004E0933" w:rsidP="0054537C">
            <w:pPr>
              <w:jc w:val="center"/>
              <w:rPr>
                <w:rFonts w:ascii="Arial Narrow" w:hAnsi="Arial Narrow"/>
                <w:b/>
                <w:bCs/>
                <w:sz w:val="16"/>
                <w:szCs w:val="16"/>
              </w:rPr>
            </w:pPr>
            <w:r>
              <w:rPr>
                <w:rFonts w:ascii="Arial Narrow" w:hAnsi="Arial Narrow"/>
                <w:b/>
                <w:bCs/>
                <w:sz w:val="16"/>
                <w:szCs w:val="16"/>
              </w:rPr>
              <w:t>2021</w:t>
            </w:r>
          </w:p>
          <w:p w:rsidR="004E0933" w:rsidRPr="0046197F" w:rsidRDefault="004E0933" w:rsidP="0054537C">
            <w:pPr>
              <w:jc w:val="center"/>
              <w:rPr>
                <w:rFonts w:ascii="Arial Narrow" w:hAnsi="Arial Narrow"/>
                <w:b/>
                <w:bCs/>
                <w:sz w:val="16"/>
                <w:szCs w:val="16"/>
              </w:rPr>
            </w:pPr>
            <w:r w:rsidRPr="0046197F">
              <w:rPr>
                <w:rFonts w:ascii="Arial Narrow" w:hAnsi="Arial Narrow"/>
                <w:b/>
                <w:bCs/>
                <w:sz w:val="16"/>
                <w:szCs w:val="16"/>
              </w:rPr>
              <w:t>Προβλέψεις</w:t>
            </w:r>
          </w:p>
        </w:tc>
      </w:tr>
      <w:tr w:rsidR="004E0933" w:rsidRPr="00775C1E" w:rsidTr="0054537C">
        <w:tc>
          <w:tcPr>
            <w:tcW w:w="4850" w:type="dxa"/>
            <w:tcBorders>
              <w:bottom w:val="nil"/>
              <w:right w:val="nil"/>
            </w:tcBorders>
            <w:shd w:val="clear" w:color="auto" w:fill="D9D9D9" w:themeFill="background1" w:themeFillShade="D9"/>
            <w:noWrap/>
            <w:vAlign w:val="center"/>
          </w:tcPr>
          <w:p w:rsidR="004E0933" w:rsidRPr="006136E8" w:rsidRDefault="004E0933" w:rsidP="0054537C">
            <w:pPr>
              <w:spacing w:line="228" w:lineRule="auto"/>
              <w:rPr>
                <w:rFonts w:ascii="Arial Narrow" w:hAnsi="Arial Narrow"/>
                <w:b/>
                <w:bCs/>
                <w:sz w:val="16"/>
                <w:szCs w:val="16"/>
              </w:rPr>
            </w:pPr>
            <w:r w:rsidRPr="006136E8">
              <w:rPr>
                <w:rFonts w:ascii="Arial Narrow" w:hAnsi="Arial Narrow"/>
                <w:b/>
                <w:bCs/>
                <w:sz w:val="16"/>
                <w:szCs w:val="16"/>
              </w:rPr>
              <w:t>Έσοδα</w:t>
            </w:r>
          </w:p>
        </w:tc>
        <w:tc>
          <w:tcPr>
            <w:tcW w:w="1412" w:type="dxa"/>
            <w:tcBorders>
              <w:left w:val="nil"/>
              <w:bottom w:val="nil"/>
              <w:right w:val="nil"/>
            </w:tcBorders>
            <w:shd w:val="clear" w:color="auto" w:fill="D9D9D9" w:themeFill="background1" w:themeFillShade="D9"/>
            <w:vAlign w:val="center"/>
          </w:tcPr>
          <w:p w:rsidR="004E0933" w:rsidRPr="00CD55E6" w:rsidRDefault="004E0933" w:rsidP="0054537C">
            <w:pPr>
              <w:spacing w:line="228" w:lineRule="auto"/>
              <w:ind w:right="397"/>
              <w:jc w:val="right"/>
              <w:rPr>
                <w:rFonts w:ascii="Arial Narrow" w:hAnsi="Arial Narrow"/>
                <w:b/>
                <w:bCs/>
                <w:color w:val="000000"/>
                <w:sz w:val="16"/>
                <w:szCs w:val="16"/>
              </w:rPr>
            </w:pPr>
            <w:r w:rsidRPr="006136E8">
              <w:rPr>
                <w:rFonts w:ascii="Arial Narrow" w:hAnsi="Arial Narrow"/>
                <w:b/>
                <w:bCs/>
                <w:color w:val="000000"/>
                <w:sz w:val="16"/>
                <w:szCs w:val="16"/>
              </w:rPr>
              <w:t>2.</w:t>
            </w:r>
            <w:r>
              <w:rPr>
                <w:rFonts w:ascii="Arial Narrow" w:hAnsi="Arial Narrow"/>
                <w:b/>
                <w:bCs/>
                <w:color w:val="000000"/>
                <w:sz w:val="16"/>
                <w:szCs w:val="16"/>
              </w:rPr>
              <w:t>8</w:t>
            </w:r>
            <w:r w:rsidR="00C97466">
              <w:rPr>
                <w:rFonts w:ascii="Arial Narrow" w:hAnsi="Arial Narrow"/>
                <w:b/>
                <w:bCs/>
                <w:color w:val="000000"/>
                <w:sz w:val="16"/>
                <w:szCs w:val="16"/>
              </w:rPr>
              <w:t>41</w:t>
            </w:r>
          </w:p>
        </w:tc>
        <w:tc>
          <w:tcPr>
            <w:tcW w:w="1288" w:type="dxa"/>
            <w:tcBorders>
              <w:left w:val="nil"/>
              <w:bottom w:val="nil"/>
            </w:tcBorders>
            <w:shd w:val="clear" w:color="auto" w:fill="D9D9D9" w:themeFill="background1" w:themeFillShade="D9"/>
            <w:vAlign w:val="center"/>
          </w:tcPr>
          <w:p w:rsidR="004E0933" w:rsidRPr="006136E8" w:rsidRDefault="004E0933" w:rsidP="00C97466">
            <w:pPr>
              <w:spacing w:line="228" w:lineRule="auto"/>
              <w:ind w:right="376"/>
              <w:jc w:val="right"/>
              <w:rPr>
                <w:rFonts w:ascii="Arial Narrow" w:hAnsi="Arial Narrow"/>
                <w:b/>
                <w:bCs/>
                <w:color w:val="000000"/>
                <w:sz w:val="16"/>
                <w:szCs w:val="16"/>
              </w:rPr>
            </w:pPr>
            <w:r w:rsidRPr="006136E8">
              <w:rPr>
                <w:rFonts w:ascii="Arial Narrow" w:hAnsi="Arial Narrow"/>
                <w:b/>
                <w:bCs/>
                <w:color w:val="000000"/>
                <w:sz w:val="16"/>
                <w:szCs w:val="16"/>
              </w:rPr>
              <w:t>3.</w:t>
            </w:r>
            <w:r w:rsidR="00C97466">
              <w:rPr>
                <w:rFonts w:ascii="Arial Narrow" w:hAnsi="Arial Narrow"/>
                <w:b/>
                <w:bCs/>
                <w:color w:val="000000"/>
                <w:sz w:val="16"/>
                <w:szCs w:val="16"/>
              </w:rPr>
              <w:t>018</w:t>
            </w:r>
          </w:p>
        </w:tc>
      </w:tr>
      <w:tr w:rsidR="004E0933" w:rsidRPr="00775C1E" w:rsidTr="0054537C">
        <w:tc>
          <w:tcPr>
            <w:tcW w:w="4850" w:type="dxa"/>
            <w:tcBorders>
              <w:top w:val="nil"/>
              <w:bottom w:val="nil"/>
              <w:right w:val="nil"/>
            </w:tcBorders>
            <w:shd w:val="clear" w:color="auto" w:fill="auto"/>
            <w:noWrap/>
            <w:vAlign w:val="center"/>
          </w:tcPr>
          <w:p w:rsidR="004E0933" w:rsidRPr="006136E8" w:rsidRDefault="004E0933" w:rsidP="0054537C">
            <w:pPr>
              <w:spacing w:line="228" w:lineRule="auto"/>
              <w:rPr>
                <w:rFonts w:ascii="Arial Narrow" w:hAnsi="Arial Narrow"/>
                <w:sz w:val="16"/>
                <w:szCs w:val="16"/>
              </w:rPr>
            </w:pPr>
            <w:r w:rsidRPr="006136E8">
              <w:rPr>
                <w:rFonts w:ascii="Arial Narrow" w:hAnsi="Arial Narrow"/>
                <w:sz w:val="16"/>
                <w:szCs w:val="16"/>
              </w:rPr>
              <w:t>Έσοδα από πωλήσεις</w:t>
            </w:r>
          </w:p>
        </w:tc>
        <w:tc>
          <w:tcPr>
            <w:tcW w:w="1412" w:type="dxa"/>
            <w:tcBorders>
              <w:top w:val="nil"/>
              <w:left w:val="nil"/>
              <w:bottom w:val="nil"/>
              <w:right w:val="nil"/>
            </w:tcBorders>
            <w:shd w:val="clear" w:color="auto" w:fill="auto"/>
            <w:vAlign w:val="center"/>
          </w:tcPr>
          <w:p w:rsidR="004E0933" w:rsidRPr="00CD55E6" w:rsidRDefault="004E0933" w:rsidP="0054537C">
            <w:pPr>
              <w:spacing w:line="228" w:lineRule="auto"/>
              <w:ind w:right="397"/>
              <w:jc w:val="right"/>
              <w:rPr>
                <w:rFonts w:ascii="Arial Narrow" w:hAnsi="Arial Narrow"/>
                <w:color w:val="000000"/>
                <w:sz w:val="16"/>
                <w:szCs w:val="16"/>
              </w:rPr>
            </w:pPr>
            <w:r>
              <w:rPr>
                <w:rFonts w:ascii="Arial Narrow" w:hAnsi="Arial Narrow"/>
                <w:color w:val="000000"/>
                <w:sz w:val="16"/>
                <w:szCs w:val="16"/>
              </w:rPr>
              <w:t>836</w:t>
            </w:r>
          </w:p>
        </w:tc>
        <w:tc>
          <w:tcPr>
            <w:tcW w:w="1288" w:type="dxa"/>
            <w:tcBorders>
              <w:top w:val="nil"/>
              <w:left w:val="nil"/>
              <w:bottom w:val="nil"/>
            </w:tcBorders>
            <w:shd w:val="clear" w:color="auto" w:fill="auto"/>
            <w:vAlign w:val="center"/>
          </w:tcPr>
          <w:p w:rsidR="004E0933" w:rsidRPr="006136E8" w:rsidRDefault="004E0933" w:rsidP="0054537C">
            <w:pPr>
              <w:spacing w:line="228" w:lineRule="auto"/>
              <w:ind w:right="376"/>
              <w:jc w:val="right"/>
              <w:rPr>
                <w:rFonts w:ascii="Arial Narrow" w:hAnsi="Arial Narrow"/>
                <w:color w:val="000000"/>
                <w:sz w:val="16"/>
                <w:szCs w:val="16"/>
              </w:rPr>
            </w:pPr>
            <w:r w:rsidRPr="006136E8">
              <w:rPr>
                <w:rFonts w:ascii="Arial Narrow" w:hAnsi="Arial Narrow"/>
                <w:color w:val="000000"/>
                <w:sz w:val="16"/>
                <w:szCs w:val="16"/>
              </w:rPr>
              <w:t>1.</w:t>
            </w:r>
            <w:r>
              <w:rPr>
                <w:rFonts w:ascii="Arial Narrow" w:hAnsi="Arial Narrow"/>
                <w:color w:val="000000"/>
                <w:sz w:val="16"/>
                <w:szCs w:val="16"/>
              </w:rPr>
              <w:t>0</w:t>
            </w:r>
            <w:r w:rsidR="00C97466">
              <w:rPr>
                <w:rFonts w:ascii="Arial Narrow" w:hAnsi="Arial Narrow"/>
                <w:color w:val="000000"/>
                <w:sz w:val="16"/>
                <w:szCs w:val="16"/>
              </w:rPr>
              <w:t>71</w:t>
            </w:r>
          </w:p>
        </w:tc>
      </w:tr>
      <w:tr w:rsidR="004E0933" w:rsidRPr="00775C1E" w:rsidTr="0054537C">
        <w:tc>
          <w:tcPr>
            <w:tcW w:w="4850" w:type="dxa"/>
            <w:tcBorders>
              <w:top w:val="nil"/>
              <w:bottom w:val="nil"/>
              <w:right w:val="nil"/>
            </w:tcBorders>
            <w:shd w:val="clear" w:color="auto" w:fill="auto"/>
            <w:noWrap/>
            <w:vAlign w:val="center"/>
          </w:tcPr>
          <w:p w:rsidR="004E0933" w:rsidRPr="006136E8" w:rsidRDefault="004E0933" w:rsidP="0054537C">
            <w:pPr>
              <w:spacing w:line="228" w:lineRule="auto"/>
              <w:rPr>
                <w:rFonts w:ascii="Arial Narrow" w:hAnsi="Arial Narrow"/>
                <w:sz w:val="16"/>
                <w:szCs w:val="16"/>
              </w:rPr>
            </w:pPr>
            <w:r w:rsidRPr="006136E8">
              <w:rPr>
                <w:rFonts w:ascii="Arial Narrow" w:hAnsi="Arial Narrow"/>
                <w:sz w:val="16"/>
                <w:szCs w:val="16"/>
              </w:rPr>
              <w:t>Έσοδα από τόκους</w:t>
            </w:r>
          </w:p>
        </w:tc>
        <w:tc>
          <w:tcPr>
            <w:tcW w:w="1412" w:type="dxa"/>
            <w:tcBorders>
              <w:top w:val="nil"/>
              <w:left w:val="nil"/>
              <w:bottom w:val="nil"/>
              <w:right w:val="nil"/>
            </w:tcBorders>
            <w:shd w:val="clear" w:color="auto" w:fill="auto"/>
            <w:vAlign w:val="center"/>
          </w:tcPr>
          <w:p w:rsidR="004E0933" w:rsidRPr="00CD55E6" w:rsidRDefault="004E0933" w:rsidP="0054537C">
            <w:pPr>
              <w:spacing w:line="228" w:lineRule="auto"/>
              <w:ind w:right="397"/>
              <w:jc w:val="right"/>
              <w:rPr>
                <w:rFonts w:ascii="Arial Narrow" w:hAnsi="Arial Narrow"/>
                <w:color w:val="000000"/>
                <w:sz w:val="16"/>
                <w:szCs w:val="16"/>
              </w:rPr>
            </w:pPr>
            <w:r w:rsidRPr="006136E8">
              <w:rPr>
                <w:rFonts w:ascii="Arial Narrow" w:hAnsi="Arial Narrow"/>
                <w:color w:val="000000"/>
                <w:sz w:val="16"/>
                <w:szCs w:val="16"/>
              </w:rPr>
              <w:t>1</w:t>
            </w:r>
            <w:r>
              <w:rPr>
                <w:rFonts w:ascii="Arial Narrow" w:hAnsi="Arial Narrow"/>
                <w:color w:val="000000"/>
                <w:sz w:val="16"/>
                <w:szCs w:val="16"/>
              </w:rPr>
              <w:t>00</w:t>
            </w:r>
          </w:p>
        </w:tc>
        <w:tc>
          <w:tcPr>
            <w:tcW w:w="1288" w:type="dxa"/>
            <w:tcBorders>
              <w:top w:val="nil"/>
              <w:left w:val="nil"/>
              <w:bottom w:val="nil"/>
            </w:tcBorders>
            <w:shd w:val="clear" w:color="auto" w:fill="auto"/>
            <w:vAlign w:val="center"/>
          </w:tcPr>
          <w:p w:rsidR="004E0933" w:rsidRPr="006136E8" w:rsidRDefault="004E0933" w:rsidP="0054537C">
            <w:pPr>
              <w:spacing w:line="228" w:lineRule="auto"/>
              <w:ind w:right="376"/>
              <w:jc w:val="right"/>
              <w:rPr>
                <w:rFonts w:ascii="Arial Narrow" w:hAnsi="Arial Narrow"/>
                <w:color w:val="000000"/>
                <w:sz w:val="16"/>
                <w:szCs w:val="16"/>
              </w:rPr>
            </w:pPr>
            <w:r>
              <w:rPr>
                <w:rFonts w:ascii="Arial Narrow" w:hAnsi="Arial Narrow"/>
                <w:color w:val="000000"/>
                <w:sz w:val="16"/>
                <w:szCs w:val="16"/>
              </w:rPr>
              <w:t>87</w:t>
            </w:r>
          </w:p>
        </w:tc>
      </w:tr>
      <w:tr w:rsidR="004E0933" w:rsidRPr="00775C1E" w:rsidTr="0054537C">
        <w:tc>
          <w:tcPr>
            <w:tcW w:w="4850" w:type="dxa"/>
            <w:tcBorders>
              <w:top w:val="nil"/>
              <w:bottom w:val="nil"/>
              <w:right w:val="nil"/>
            </w:tcBorders>
            <w:shd w:val="clear" w:color="auto" w:fill="auto"/>
            <w:noWrap/>
            <w:vAlign w:val="center"/>
          </w:tcPr>
          <w:p w:rsidR="004E0933" w:rsidRPr="006136E8" w:rsidRDefault="004E0933" w:rsidP="0054537C">
            <w:pPr>
              <w:spacing w:line="228" w:lineRule="auto"/>
              <w:rPr>
                <w:rFonts w:ascii="Arial Narrow" w:hAnsi="Arial Narrow"/>
                <w:sz w:val="16"/>
                <w:szCs w:val="16"/>
              </w:rPr>
            </w:pPr>
            <w:r w:rsidRPr="006136E8">
              <w:rPr>
                <w:rFonts w:ascii="Arial Narrow" w:hAnsi="Arial Narrow"/>
                <w:sz w:val="16"/>
                <w:szCs w:val="16"/>
              </w:rPr>
              <w:t>Μεταβιβάσεις από Τακτικό Προϋπολογισμό</w:t>
            </w:r>
          </w:p>
        </w:tc>
        <w:tc>
          <w:tcPr>
            <w:tcW w:w="1412" w:type="dxa"/>
            <w:tcBorders>
              <w:top w:val="nil"/>
              <w:left w:val="nil"/>
              <w:bottom w:val="nil"/>
              <w:right w:val="nil"/>
            </w:tcBorders>
            <w:shd w:val="clear" w:color="auto" w:fill="auto"/>
            <w:vAlign w:val="center"/>
          </w:tcPr>
          <w:p w:rsidR="004E0933" w:rsidRPr="006136E8" w:rsidRDefault="004E0933" w:rsidP="0054537C">
            <w:pPr>
              <w:spacing w:line="228" w:lineRule="auto"/>
              <w:ind w:right="397"/>
              <w:jc w:val="right"/>
              <w:rPr>
                <w:rFonts w:ascii="Arial Narrow" w:hAnsi="Arial Narrow"/>
                <w:color w:val="000000"/>
                <w:sz w:val="16"/>
                <w:szCs w:val="16"/>
              </w:rPr>
            </w:pPr>
            <w:r>
              <w:rPr>
                <w:rFonts w:ascii="Arial Narrow" w:hAnsi="Arial Narrow"/>
                <w:color w:val="000000"/>
                <w:sz w:val="16"/>
                <w:szCs w:val="16"/>
              </w:rPr>
              <w:t>505</w:t>
            </w:r>
          </w:p>
        </w:tc>
        <w:tc>
          <w:tcPr>
            <w:tcW w:w="1288" w:type="dxa"/>
            <w:tcBorders>
              <w:top w:val="nil"/>
              <w:left w:val="nil"/>
              <w:bottom w:val="nil"/>
            </w:tcBorders>
            <w:shd w:val="clear" w:color="auto" w:fill="auto"/>
            <w:vAlign w:val="center"/>
          </w:tcPr>
          <w:p w:rsidR="004E0933" w:rsidRPr="006136E8" w:rsidRDefault="004E0933" w:rsidP="0054537C">
            <w:pPr>
              <w:spacing w:line="228" w:lineRule="auto"/>
              <w:ind w:right="376"/>
              <w:jc w:val="right"/>
              <w:rPr>
                <w:rFonts w:ascii="Arial Narrow" w:hAnsi="Arial Narrow"/>
                <w:color w:val="000000"/>
                <w:sz w:val="16"/>
                <w:szCs w:val="16"/>
              </w:rPr>
            </w:pPr>
            <w:r>
              <w:rPr>
                <w:rFonts w:ascii="Arial Narrow" w:hAnsi="Arial Narrow"/>
                <w:color w:val="000000"/>
                <w:sz w:val="16"/>
                <w:szCs w:val="16"/>
              </w:rPr>
              <w:t>584</w:t>
            </w:r>
          </w:p>
        </w:tc>
      </w:tr>
      <w:tr w:rsidR="004E0933" w:rsidRPr="00775C1E" w:rsidTr="0054537C">
        <w:tc>
          <w:tcPr>
            <w:tcW w:w="4850" w:type="dxa"/>
            <w:tcBorders>
              <w:top w:val="nil"/>
              <w:bottom w:val="nil"/>
              <w:right w:val="nil"/>
            </w:tcBorders>
            <w:shd w:val="clear" w:color="auto" w:fill="auto"/>
            <w:noWrap/>
            <w:vAlign w:val="center"/>
          </w:tcPr>
          <w:p w:rsidR="004E0933" w:rsidRPr="006136E8" w:rsidRDefault="004E0933" w:rsidP="0054537C">
            <w:pPr>
              <w:spacing w:line="228" w:lineRule="auto"/>
              <w:rPr>
                <w:rFonts w:ascii="Arial Narrow" w:hAnsi="Arial Narrow"/>
                <w:sz w:val="16"/>
                <w:szCs w:val="16"/>
              </w:rPr>
            </w:pPr>
            <w:r w:rsidRPr="006136E8">
              <w:rPr>
                <w:rFonts w:ascii="Arial Narrow" w:hAnsi="Arial Narrow"/>
                <w:sz w:val="16"/>
                <w:szCs w:val="16"/>
              </w:rPr>
              <w:t>Μεταβιβάσεις από ΠΔΕ</w:t>
            </w:r>
          </w:p>
        </w:tc>
        <w:tc>
          <w:tcPr>
            <w:tcW w:w="1412" w:type="dxa"/>
            <w:tcBorders>
              <w:top w:val="nil"/>
              <w:left w:val="nil"/>
              <w:bottom w:val="nil"/>
              <w:right w:val="nil"/>
            </w:tcBorders>
            <w:shd w:val="clear" w:color="auto" w:fill="auto"/>
            <w:vAlign w:val="center"/>
          </w:tcPr>
          <w:p w:rsidR="004E0933" w:rsidRPr="006136E8" w:rsidRDefault="00C97466" w:rsidP="0054537C">
            <w:pPr>
              <w:spacing w:line="228" w:lineRule="auto"/>
              <w:ind w:right="397"/>
              <w:jc w:val="right"/>
              <w:rPr>
                <w:rFonts w:ascii="Arial Narrow" w:hAnsi="Arial Narrow"/>
                <w:color w:val="000000"/>
                <w:sz w:val="16"/>
                <w:szCs w:val="16"/>
                <w:lang w:val="en-US"/>
              </w:rPr>
            </w:pPr>
            <w:r>
              <w:rPr>
                <w:rFonts w:ascii="Arial Narrow" w:hAnsi="Arial Narrow"/>
                <w:color w:val="000000"/>
                <w:sz w:val="16"/>
                <w:szCs w:val="16"/>
              </w:rPr>
              <w:t>567</w:t>
            </w:r>
          </w:p>
        </w:tc>
        <w:tc>
          <w:tcPr>
            <w:tcW w:w="1288" w:type="dxa"/>
            <w:tcBorders>
              <w:top w:val="nil"/>
              <w:left w:val="nil"/>
              <w:bottom w:val="nil"/>
            </w:tcBorders>
            <w:shd w:val="clear" w:color="auto" w:fill="auto"/>
            <w:vAlign w:val="center"/>
          </w:tcPr>
          <w:p w:rsidR="004E0933" w:rsidRPr="006136E8" w:rsidRDefault="00C97466" w:rsidP="0054537C">
            <w:pPr>
              <w:spacing w:line="228" w:lineRule="auto"/>
              <w:ind w:right="376"/>
              <w:jc w:val="right"/>
              <w:rPr>
                <w:rFonts w:ascii="Arial Narrow" w:hAnsi="Arial Narrow"/>
                <w:color w:val="000000"/>
                <w:sz w:val="16"/>
                <w:szCs w:val="16"/>
              </w:rPr>
            </w:pPr>
            <w:r>
              <w:rPr>
                <w:rFonts w:ascii="Arial Narrow" w:hAnsi="Arial Narrow"/>
                <w:color w:val="000000"/>
                <w:sz w:val="16"/>
                <w:szCs w:val="16"/>
              </w:rPr>
              <w:t>775</w:t>
            </w:r>
          </w:p>
        </w:tc>
      </w:tr>
      <w:tr w:rsidR="004E0933" w:rsidRPr="00775C1E" w:rsidTr="0054537C">
        <w:tc>
          <w:tcPr>
            <w:tcW w:w="4850" w:type="dxa"/>
            <w:tcBorders>
              <w:top w:val="nil"/>
              <w:bottom w:val="nil"/>
              <w:right w:val="nil"/>
            </w:tcBorders>
            <w:shd w:val="clear" w:color="auto" w:fill="auto"/>
            <w:noWrap/>
            <w:vAlign w:val="center"/>
          </w:tcPr>
          <w:p w:rsidR="004E0933" w:rsidRPr="006136E8" w:rsidRDefault="004E0933" w:rsidP="0054537C">
            <w:pPr>
              <w:spacing w:line="228" w:lineRule="auto"/>
              <w:rPr>
                <w:rFonts w:ascii="Arial Narrow" w:hAnsi="Arial Narrow"/>
                <w:sz w:val="16"/>
                <w:szCs w:val="16"/>
              </w:rPr>
            </w:pPr>
            <w:r w:rsidRPr="006136E8">
              <w:rPr>
                <w:rFonts w:ascii="Arial Narrow" w:hAnsi="Arial Narrow"/>
                <w:sz w:val="16"/>
                <w:szCs w:val="16"/>
              </w:rPr>
              <w:t>Λοιπά έσοδα</w:t>
            </w:r>
          </w:p>
        </w:tc>
        <w:tc>
          <w:tcPr>
            <w:tcW w:w="1412" w:type="dxa"/>
            <w:tcBorders>
              <w:top w:val="nil"/>
              <w:left w:val="nil"/>
              <w:bottom w:val="nil"/>
              <w:right w:val="nil"/>
            </w:tcBorders>
            <w:shd w:val="clear" w:color="auto" w:fill="auto"/>
            <w:vAlign w:val="center"/>
          </w:tcPr>
          <w:p w:rsidR="004E0933" w:rsidRPr="006136E8" w:rsidRDefault="004E0933" w:rsidP="0054537C">
            <w:pPr>
              <w:spacing w:line="228" w:lineRule="auto"/>
              <w:ind w:right="397"/>
              <w:jc w:val="right"/>
              <w:rPr>
                <w:rFonts w:ascii="Arial Narrow" w:hAnsi="Arial Narrow"/>
                <w:color w:val="000000"/>
                <w:sz w:val="16"/>
                <w:szCs w:val="16"/>
                <w:lang w:val="en-US"/>
              </w:rPr>
            </w:pPr>
            <w:r>
              <w:rPr>
                <w:rFonts w:ascii="Arial Narrow" w:hAnsi="Arial Narrow"/>
                <w:color w:val="000000"/>
                <w:sz w:val="16"/>
                <w:szCs w:val="16"/>
              </w:rPr>
              <w:t>833</w:t>
            </w:r>
          </w:p>
        </w:tc>
        <w:tc>
          <w:tcPr>
            <w:tcW w:w="1288" w:type="dxa"/>
            <w:tcBorders>
              <w:top w:val="nil"/>
              <w:left w:val="nil"/>
              <w:bottom w:val="nil"/>
            </w:tcBorders>
            <w:shd w:val="clear" w:color="auto" w:fill="auto"/>
            <w:vAlign w:val="center"/>
          </w:tcPr>
          <w:p w:rsidR="004E0933" w:rsidRPr="006136E8" w:rsidRDefault="004E0933" w:rsidP="0054537C">
            <w:pPr>
              <w:spacing w:line="228" w:lineRule="auto"/>
              <w:ind w:right="376"/>
              <w:jc w:val="right"/>
              <w:rPr>
                <w:rFonts w:ascii="Arial Narrow" w:hAnsi="Arial Narrow"/>
                <w:color w:val="000000"/>
                <w:sz w:val="16"/>
                <w:szCs w:val="16"/>
              </w:rPr>
            </w:pPr>
            <w:r>
              <w:rPr>
                <w:rFonts w:ascii="Arial Narrow" w:hAnsi="Arial Narrow"/>
                <w:color w:val="000000"/>
                <w:sz w:val="16"/>
                <w:szCs w:val="16"/>
              </w:rPr>
              <w:t>5</w:t>
            </w:r>
            <w:r w:rsidR="00C97466">
              <w:rPr>
                <w:rFonts w:ascii="Arial Narrow" w:hAnsi="Arial Narrow"/>
                <w:color w:val="000000"/>
                <w:sz w:val="16"/>
                <w:szCs w:val="16"/>
              </w:rPr>
              <w:t>01</w:t>
            </w:r>
          </w:p>
        </w:tc>
      </w:tr>
      <w:tr w:rsidR="004E0933" w:rsidRPr="00775C1E" w:rsidTr="0054537C">
        <w:tc>
          <w:tcPr>
            <w:tcW w:w="4850" w:type="dxa"/>
            <w:tcBorders>
              <w:top w:val="nil"/>
              <w:bottom w:val="nil"/>
              <w:right w:val="nil"/>
            </w:tcBorders>
            <w:shd w:val="clear" w:color="auto" w:fill="D9D9D9" w:themeFill="background1" w:themeFillShade="D9"/>
            <w:noWrap/>
            <w:vAlign w:val="center"/>
          </w:tcPr>
          <w:p w:rsidR="004E0933" w:rsidRPr="006136E8" w:rsidRDefault="004E0933" w:rsidP="0054537C">
            <w:pPr>
              <w:spacing w:line="228" w:lineRule="auto"/>
              <w:rPr>
                <w:rFonts w:ascii="Arial Narrow" w:hAnsi="Arial Narrow"/>
                <w:b/>
                <w:bCs/>
                <w:sz w:val="16"/>
                <w:szCs w:val="16"/>
              </w:rPr>
            </w:pPr>
            <w:r w:rsidRPr="006136E8">
              <w:rPr>
                <w:rFonts w:ascii="Arial Narrow" w:hAnsi="Arial Narrow"/>
                <w:b/>
                <w:bCs/>
                <w:sz w:val="16"/>
                <w:szCs w:val="16"/>
              </w:rPr>
              <w:t xml:space="preserve">Δαπάνες </w:t>
            </w:r>
          </w:p>
        </w:tc>
        <w:tc>
          <w:tcPr>
            <w:tcW w:w="1412" w:type="dxa"/>
            <w:tcBorders>
              <w:top w:val="nil"/>
              <w:left w:val="nil"/>
              <w:bottom w:val="nil"/>
              <w:right w:val="nil"/>
            </w:tcBorders>
            <w:shd w:val="clear" w:color="auto" w:fill="D9D9D9" w:themeFill="background1" w:themeFillShade="D9"/>
            <w:vAlign w:val="center"/>
          </w:tcPr>
          <w:p w:rsidR="004E0933" w:rsidRPr="006136E8" w:rsidRDefault="004E0933" w:rsidP="0054537C">
            <w:pPr>
              <w:spacing w:line="228" w:lineRule="auto"/>
              <w:ind w:right="397"/>
              <w:jc w:val="right"/>
              <w:rPr>
                <w:rFonts w:ascii="Arial Narrow" w:hAnsi="Arial Narrow"/>
                <w:b/>
                <w:bCs/>
                <w:color w:val="000000"/>
                <w:sz w:val="16"/>
                <w:szCs w:val="16"/>
                <w:lang w:val="en-US"/>
              </w:rPr>
            </w:pPr>
            <w:r w:rsidRPr="006136E8">
              <w:rPr>
                <w:rFonts w:ascii="Arial Narrow" w:hAnsi="Arial Narrow"/>
                <w:b/>
                <w:bCs/>
                <w:color w:val="000000"/>
                <w:sz w:val="16"/>
                <w:szCs w:val="16"/>
              </w:rPr>
              <w:t>2.</w:t>
            </w:r>
            <w:r>
              <w:rPr>
                <w:rFonts w:ascii="Arial Narrow" w:hAnsi="Arial Narrow"/>
                <w:b/>
                <w:bCs/>
                <w:color w:val="000000"/>
                <w:sz w:val="16"/>
                <w:szCs w:val="16"/>
              </w:rPr>
              <w:t>3</w:t>
            </w:r>
            <w:r w:rsidR="00396FB3">
              <w:rPr>
                <w:rFonts w:ascii="Arial Narrow" w:hAnsi="Arial Narrow"/>
                <w:b/>
                <w:bCs/>
                <w:color w:val="000000"/>
                <w:sz w:val="16"/>
                <w:szCs w:val="16"/>
              </w:rPr>
              <w:t>37</w:t>
            </w:r>
          </w:p>
        </w:tc>
        <w:tc>
          <w:tcPr>
            <w:tcW w:w="1288" w:type="dxa"/>
            <w:tcBorders>
              <w:top w:val="nil"/>
              <w:left w:val="nil"/>
              <w:bottom w:val="nil"/>
            </w:tcBorders>
            <w:shd w:val="clear" w:color="auto" w:fill="D9D9D9" w:themeFill="background1" w:themeFillShade="D9"/>
            <w:vAlign w:val="center"/>
          </w:tcPr>
          <w:p w:rsidR="004E0933" w:rsidRPr="006136E8" w:rsidRDefault="004E0933" w:rsidP="00396FB3">
            <w:pPr>
              <w:spacing w:line="228" w:lineRule="auto"/>
              <w:ind w:right="376"/>
              <w:jc w:val="right"/>
              <w:rPr>
                <w:rFonts w:ascii="Arial Narrow" w:hAnsi="Arial Narrow"/>
                <w:b/>
                <w:bCs/>
                <w:color w:val="000000"/>
                <w:sz w:val="16"/>
                <w:szCs w:val="16"/>
              </w:rPr>
            </w:pPr>
            <w:r w:rsidRPr="006136E8">
              <w:rPr>
                <w:rFonts w:ascii="Arial Narrow" w:hAnsi="Arial Narrow"/>
                <w:b/>
                <w:bCs/>
                <w:color w:val="000000"/>
                <w:sz w:val="16"/>
                <w:szCs w:val="16"/>
              </w:rPr>
              <w:t>2.</w:t>
            </w:r>
            <w:r w:rsidR="00396FB3">
              <w:rPr>
                <w:rFonts w:ascii="Arial Narrow" w:hAnsi="Arial Narrow"/>
                <w:b/>
                <w:bCs/>
                <w:color w:val="000000"/>
                <w:sz w:val="16"/>
                <w:szCs w:val="16"/>
              </w:rPr>
              <w:t>838</w:t>
            </w:r>
          </w:p>
        </w:tc>
      </w:tr>
      <w:tr w:rsidR="004E0933" w:rsidRPr="00775C1E" w:rsidTr="0054537C">
        <w:tc>
          <w:tcPr>
            <w:tcW w:w="4850" w:type="dxa"/>
            <w:tcBorders>
              <w:top w:val="nil"/>
              <w:bottom w:val="nil"/>
              <w:right w:val="nil"/>
            </w:tcBorders>
            <w:shd w:val="clear" w:color="auto" w:fill="auto"/>
            <w:noWrap/>
            <w:vAlign w:val="center"/>
          </w:tcPr>
          <w:p w:rsidR="004E0933" w:rsidRPr="006136E8" w:rsidRDefault="004E0933" w:rsidP="0054537C">
            <w:pPr>
              <w:spacing w:line="228" w:lineRule="auto"/>
              <w:rPr>
                <w:rFonts w:ascii="Arial Narrow" w:hAnsi="Arial Narrow"/>
                <w:sz w:val="16"/>
                <w:szCs w:val="16"/>
              </w:rPr>
            </w:pPr>
            <w:r w:rsidRPr="006136E8">
              <w:rPr>
                <w:rFonts w:ascii="Arial Narrow" w:hAnsi="Arial Narrow"/>
                <w:sz w:val="16"/>
                <w:szCs w:val="16"/>
              </w:rPr>
              <w:t>Αμοιβές  προσωπικού</w:t>
            </w:r>
          </w:p>
        </w:tc>
        <w:tc>
          <w:tcPr>
            <w:tcW w:w="1412" w:type="dxa"/>
            <w:tcBorders>
              <w:top w:val="nil"/>
              <w:left w:val="nil"/>
              <w:bottom w:val="nil"/>
              <w:right w:val="nil"/>
            </w:tcBorders>
            <w:shd w:val="clear" w:color="auto" w:fill="auto"/>
            <w:vAlign w:val="center"/>
          </w:tcPr>
          <w:p w:rsidR="004E0933" w:rsidRPr="006136E8" w:rsidRDefault="004E0933" w:rsidP="0054537C">
            <w:pPr>
              <w:spacing w:line="228" w:lineRule="auto"/>
              <w:ind w:right="397"/>
              <w:jc w:val="right"/>
              <w:rPr>
                <w:rFonts w:ascii="Arial Narrow" w:hAnsi="Arial Narrow"/>
                <w:color w:val="000000"/>
                <w:sz w:val="16"/>
                <w:szCs w:val="16"/>
                <w:lang w:val="en-US"/>
              </w:rPr>
            </w:pPr>
            <w:r>
              <w:rPr>
                <w:rFonts w:ascii="Arial Narrow" w:hAnsi="Arial Narrow"/>
                <w:color w:val="000000"/>
                <w:sz w:val="16"/>
                <w:szCs w:val="16"/>
              </w:rPr>
              <w:t>5</w:t>
            </w:r>
            <w:r w:rsidR="00E914BC">
              <w:rPr>
                <w:rFonts w:ascii="Arial Narrow" w:hAnsi="Arial Narrow"/>
                <w:color w:val="000000"/>
                <w:sz w:val="16"/>
                <w:szCs w:val="16"/>
              </w:rPr>
              <w:t>83</w:t>
            </w:r>
          </w:p>
        </w:tc>
        <w:tc>
          <w:tcPr>
            <w:tcW w:w="1288" w:type="dxa"/>
            <w:tcBorders>
              <w:top w:val="nil"/>
              <w:left w:val="nil"/>
              <w:bottom w:val="nil"/>
            </w:tcBorders>
            <w:shd w:val="clear" w:color="auto" w:fill="auto"/>
            <w:vAlign w:val="center"/>
          </w:tcPr>
          <w:p w:rsidR="004E0933" w:rsidRPr="006136E8" w:rsidRDefault="00E914BC" w:rsidP="0054537C">
            <w:pPr>
              <w:spacing w:line="228" w:lineRule="auto"/>
              <w:ind w:right="376"/>
              <w:jc w:val="right"/>
              <w:rPr>
                <w:rFonts w:ascii="Arial Narrow" w:hAnsi="Arial Narrow"/>
                <w:color w:val="000000"/>
                <w:sz w:val="16"/>
                <w:szCs w:val="16"/>
              </w:rPr>
            </w:pPr>
            <w:r>
              <w:rPr>
                <w:rFonts w:ascii="Arial Narrow" w:hAnsi="Arial Narrow"/>
                <w:color w:val="000000"/>
                <w:sz w:val="16"/>
                <w:szCs w:val="16"/>
              </w:rPr>
              <w:t>599</w:t>
            </w:r>
          </w:p>
        </w:tc>
      </w:tr>
      <w:tr w:rsidR="004E0933" w:rsidRPr="00775C1E" w:rsidTr="0054537C">
        <w:tc>
          <w:tcPr>
            <w:tcW w:w="4850" w:type="dxa"/>
            <w:tcBorders>
              <w:top w:val="nil"/>
              <w:bottom w:val="nil"/>
              <w:right w:val="nil"/>
            </w:tcBorders>
            <w:shd w:val="clear" w:color="auto" w:fill="auto"/>
            <w:noWrap/>
            <w:vAlign w:val="center"/>
          </w:tcPr>
          <w:p w:rsidR="004E0933" w:rsidRPr="006136E8" w:rsidRDefault="004E0933" w:rsidP="0054537C">
            <w:pPr>
              <w:spacing w:line="228" w:lineRule="auto"/>
              <w:rPr>
                <w:rFonts w:ascii="Arial Narrow" w:hAnsi="Arial Narrow"/>
                <w:sz w:val="16"/>
                <w:szCs w:val="16"/>
              </w:rPr>
            </w:pPr>
            <w:r w:rsidRPr="006136E8">
              <w:rPr>
                <w:rFonts w:ascii="Arial Narrow" w:hAnsi="Arial Narrow"/>
                <w:sz w:val="16"/>
                <w:szCs w:val="16"/>
              </w:rPr>
              <w:t>Τόκοι</w:t>
            </w:r>
          </w:p>
        </w:tc>
        <w:tc>
          <w:tcPr>
            <w:tcW w:w="1412" w:type="dxa"/>
            <w:tcBorders>
              <w:top w:val="nil"/>
              <w:left w:val="nil"/>
              <w:bottom w:val="nil"/>
              <w:right w:val="nil"/>
            </w:tcBorders>
            <w:shd w:val="clear" w:color="auto" w:fill="auto"/>
            <w:vAlign w:val="center"/>
          </w:tcPr>
          <w:p w:rsidR="004E0933" w:rsidRPr="006136E8" w:rsidRDefault="004E0933" w:rsidP="0054537C">
            <w:pPr>
              <w:spacing w:line="228" w:lineRule="auto"/>
              <w:ind w:right="397"/>
              <w:jc w:val="right"/>
              <w:rPr>
                <w:rFonts w:ascii="Arial Narrow" w:hAnsi="Arial Narrow"/>
                <w:color w:val="000000"/>
                <w:sz w:val="16"/>
                <w:szCs w:val="16"/>
                <w:lang w:val="en-US"/>
              </w:rPr>
            </w:pPr>
            <w:r w:rsidRPr="006136E8">
              <w:rPr>
                <w:rFonts w:ascii="Arial Narrow" w:hAnsi="Arial Narrow"/>
                <w:color w:val="000000"/>
                <w:sz w:val="16"/>
                <w:szCs w:val="16"/>
              </w:rPr>
              <w:t>3</w:t>
            </w:r>
            <w:r>
              <w:rPr>
                <w:rFonts w:ascii="Arial Narrow" w:hAnsi="Arial Narrow"/>
                <w:color w:val="000000"/>
                <w:sz w:val="16"/>
                <w:szCs w:val="16"/>
              </w:rPr>
              <w:t>06</w:t>
            </w:r>
          </w:p>
        </w:tc>
        <w:tc>
          <w:tcPr>
            <w:tcW w:w="1288" w:type="dxa"/>
            <w:tcBorders>
              <w:top w:val="nil"/>
              <w:left w:val="nil"/>
              <w:bottom w:val="nil"/>
            </w:tcBorders>
            <w:shd w:val="clear" w:color="auto" w:fill="auto"/>
            <w:vAlign w:val="center"/>
          </w:tcPr>
          <w:p w:rsidR="004E0933" w:rsidRPr="006136E8" w:rsidRDefault="004E0933" w:rsidP="0054537C">
            <w:pPr>
              <w:spacing w:line="228" w:lineRule="auto"/>
              <w:ind w:right="376"/>
              <w:jc w:val="right"/>
              <w:rPr>
                <w:rFonts w:ascii="Arial Narrow" w:hAnsi="Arial Narrow"/>
                <w:color w:val="000000"/>
                <w:sz w:val="16"/>
                <w:szCs w:val="16"/>
              </w:rPr>
            </w:pPr>
            <w:r>
              <w:rPr>
                <w:rFonts w:ascii="Arial Narrow" w:hAnsi="Arial Narrow"/>
                <w:color w:val="000000"/>
                <w:sz w:val="16"/>
                <w:szCs w:val="16"/>
              </w:rPr>
              <w:t>27</w:t>
            </w:r>
            <w:r w:rsidR="00DA50FD">
              <w:rPr>
                <w:rFonts w:ascii="Arial Narrow" w:hAnsi="Arial Narrow"/>
                <w:color w:val="000000"/>
                <w:sz w:val="16"/>
                <w:szCs w:val="16"/>
              </w:rPr>
              <w:t>8</w:t>
            </w:r>
          </w:p>
        </w:tc>
      </w:tr>
      <w:tr w:rsidR="004E0933" w:rsidRPr="00775C1E" w:rsidTr="0054537C">
        <w:tc>
          <w:tcPr>
            <w:tcW w:w="4850" w:type="dxa"/>
            <w:tcBorders>
              <w:top w:val="nil"/>
              <w:bottom w:val="nil"/>
              <w:right w:val="nil"/>
            </w:tcBorders>
            <w:shd w:val="clear" w:color="auto" w:fill="auto"/>
            <w:noWrap/>
            <w:vAlign w:val="center"/>
          </w:tcPr>
          <w:p w:rsidR="004E0933" w:rsidRPr="006136E8" w:rsidRDefault="004E0933" w:rsidP="0054537C">
            <w:pPr>
              <w:spacing w:line="228" w:lineRule="auto"/>
              <w:rPr>
                <w:rFonts w:ascii="Arial Narrow" w:hAnsi="Arial Narrow"/>
                <w:sz w:val="16"/>
                <w:szCs w:val="16"/>
              </w:rPr>
            </w:pPr>
            <w:r w:rsidRPr="006136E8">
              <w:rPr>
                <w:rFonts w:ascii="Arial Narrow" w:hAnsi="Arial Narrow"/>
                <w:sz w:val="16"/>
                <w:szCs w:val="16"/>
              </w:rPr>
              <w:t>Δαπάνες επενδύσεων</w:t>
            </w:r>
          </w:p>
        </w:tc>
        <w:tc>
          <w:tcPr>
            <w:tcW w:w="1412" w:type="dxa"/>
            <w:tcBorders>
              <w:top w:val="nil"/>
              <w:left w:val="nil"/>
              <w:bottom w:val="nil"/>
              <w:right w:val="nil"/>
            </w:tcBorders>
            <w:shd w:val="clear" w:color="auto" w:fill="auto"/>
            <w:vAlign w:val="center"/>
          </w:tcPr>
          <w:p w:rsidR="004E0933" w:rsidRPr="006136E8" w:rsidRDefault="004E0933" w:rsidP="0054537C">
            <w:pPr>
              <w:spacing w:line="228" w:lineRule="auto"/>
              <w:ind w:right="397"/>
              <w:jc w:val="right"/>
              <w:rPr>
                <w:rFonts w:ascii="Arial Narrow" w:hAnsi="Arial Narrow"/>
                <w:color w:val="000000"/>
                <w:sz w:val="16"/>
                <w:szCs w:val="16"/>
              </w:rPr>
            </w:pPr>
            <w:r>
              <w:rPr>
                <w:rFonts w:ascii="Arial Narrow" w:hAnsi="Arial Narrow"/>
                <w:color w:val="000000"/>
                <w:sz w:val="16"/>
                <w:szCs w:val="16"/>
              </w:rPr>
              <w:t>4</w:t>
            </w:r>
            <w:r w:rsidR="00E914BC">
              <w:rPr>
                <w:rFonts w:ascii="Arial Narrow" w:hAnsi="Arial Narrow"/>
                <w:color w:val="000000"/>
                <w:sz w:val="16"/>
                <w:szCs w:val="16"/>
              </w:rPr>
              <w:t>63</w:t>
            </w:r>
          </w:p>
        </w:tc>
        <w:tc>
          <w:tcPr>
            <w:tcW w:w="1288" w:type="dxa"/>
            <w:tcBorders>
              <w:top w:val="nil"/>
              <w:left w:val="nil"/>
              <w:bottom w:val="nil"/>
            </w:tcBorders>
            <w:shd w:val="clear" w:color="auto" w:fill="auto"/>
            <w:vAlign w:val="center"/>
          </w:tcPr>
          <w:p w:rsidR="004E0933" w:rsidRPr="006136E8" w:rsidRDefault="00E914BC" w:rsidP="0054537C">
            <w:pPr>
              <w:spacing w:line="228" w:lineRule="auto"/>
              <w:ind w:right="376"/>
              <w:jc w:val="right"/>
              <w:rPr>
                <w:rFonts w:ascii="Arial Narrow" w:hAnsi="Arial Narrow"/>
                <w:color w:val="000000"/>
                <w:sz w:val="16"/>
                <w:szCs w:val="16"/>
              </w:rPr>
            </w:pPr>
            <w:r>
              <w:rPr>
                <w:rFonts w:ascii="Arial Narrow" w:hAnsi="Arial Narrow"/>
                <w:color w:val="000000"/>
                <w:sz w:val="16"/>
                <w:szCs w:val="16"/>
              </w:rPr>
              <w:t>678</w:t>
            </w:r>
          </w:p>
        </w:tc>
      </w:tr>
      <w:tr w:rsidR="004E0933" w:rsidRPr="00775C1E" w:rsidTr="0054537C">
        <w:tc>
          <w:tcPr>
            <w:tcW w:w="4850" w:type="dxa"/>
            <w:tcBorders>
              <w:top w:val="nil"/>
              <w:bottom w:val="nil"/>
              <w:right w:val="nil"/>
            </w:tcBorders>
            <w:shd w:val="clear" w:color="auto" w:fill="auto"/>
            <w:noWrap/>
            <w:vAlign w:val="center"/>
          </w:tcPr>
          <w:p w:rsidR="004E0933" w:rsidRPr="006136E8" w:rsidRDefault="004E0933" w:rsidP="0054537C">
            <w:pPr>
              <w:spacing w:line="228" w:lineRule="auto"/>
              <w:rPr>
                <w:rFonts w:ascii="Arial Narrow" w:hAnsi="Arial Narrow"/>
                <w:sz w:val="16"/>
                <w:szCs w:val="16"/>
              </w:rPr>
            </w:pPr>
            <w:r w:rsidRPr="006136E8">
              <w:rPr>
                <w:rFonts w:ascii="Arial Narrow" w:hAnsi="Arial Narrow"/>
                <w:sz w:val="16"/>
                <w:szCs w:val="16"/>
              </w:rPr>
              <w:t>Λοιπές δαπάνες</w:t>
            </w:r>
          </w:p>
        </w:tc>
        <w:tc>
          <w:tcPr>
            <w:tcW w:w="1412" w:type="dxa"/>
            <w:tcBorders>
              <w:top w:val="nil"/>
              <w:left w:val="nil"/>
              <w:bottom w:val="nil"/>
              <w:right w:val="nil"/>
            </w:tcBorders>
            <w:shd w:val="clear" w:color="auto" w:fill="auto"/>
            <w:vAlign w:val="center"/>
          </w:tcPr>
          <w:p w:rsidR="004E0933" w:rsidRPr="006136E8" w:rsidRDefault="00631296" w:rsidP="0054537C">
            <w:pPr>
              <w:spacing w:line="228" w:lineRule="auto"/>
              <w:ind w:right="397"/>
              <w:jc w:val="right"/>
              <w:rPr>
                <w:rFonts w:ascii="Arial Narrow" w:hAnsi="Arial Narrow"/>
                <w:color w:val="000000"/>
                <w:sz w:val="16"/>
                <w:szCs w:val="16"/>
              </w:rPr>
            </w:pPr>
            <w:r>
              <w:rPr>
                <w:rFonts w:ascii="Arial Narrow" w:hAnsi="Arial Narrow"/>
                <w:color w:val="000000"/>
                <w:sz w:val="16"/>
                <w:szCs w:val="16"/>
              </w:rPr>
              <w:t>985</w:t>
            </w:r>
          </w:p>
        </w:tc>
        <w:tc>
          <w:tcPr>
            <w:tcW w:w="1288" w:type="dxa"/>
            <w:tcBorders>
              <w:top w:val="nil"/>
              <w:left w:val="nil"/>
              <w:bottom w:val="nil"/>
            </w:tcBorders>
            <w:shd w:val="clear" w:color="auto" w:fill="auto"/>
            <w:vAlign w:val="center"/>
          </w:tcPr>
          <w:p w:rsidR="004E0933" w:rsidRPr="006136E8" w:rsidRDefault="00631296" w:rsidP="0054537C">
            <w:pPr>
              <w:spacing w:line="228" w:lineRule="auto"/>
              <w:ind w:right="376"/>
              <w:jc w:val="right"/>
              <w:rPr>
                <w:rFonts w:ascii="Arial Narrow" w:hAnsi="Arial Narrow"/>
                <w:color w:val="000000"/>
                <w:sz w:val="16"/>
                <w:szCs w:val="16"/>
              </w:rPr>
            </w:pPr>
            <w:r>
              <w:rPr>
                <w:rFonts w:ascii="Arial Narrow" w:hAnsi="Arial Narrow"/>
                <w:color w:val="000000"/>
                <w:sz w:val="16"/>
                <w:szCs w:val="16"/>
              </w:rPr>
              <w:t>1.283</w:t>
            </w:r>
          </w:p>
        </w:tc>
      </w:tr>
      <w:tr w:rsidR="004E0933" w:rsidRPr="006136E8" w:rsidTr="0054537C">
        <w:tc>
          <w:tcPr>
            <w:tcW w:w="4850" w:type="dxa"/>
            <w:tcBorders>
              <w:top w:val="nil"/>
              <w:bottom w:val="nil"/>
              <w:right w:val="nil"/>
            </w:tcBorders>
            <w:shd w:val="clear" w:color="auto" w:fill="D9D9D9" w:themeFill="background1" w:themeFillShade="D9"/>
            <w:noWrap/>
            <w:vAlign w:val="center"/>
          </w:tcPr>
          <w:p w:rsidR="004E0933" w:rsidRPr="006136E8" w:rsidRDefault="004E0933" w:rsidP="0054537C">
            <w:pPr>
              <w:spacing w:line="228" w:lineRule="auto"/>
              <w:rPr>
                <w:rFonts w:ascii="Arial Narrow" w:hAnsi="Arial Narrow"/>
                <w:b/>
                <w:bCs/>
                <w:sz w:val="16"/>
                <w:szCs w:val="16"/>
              </w:rPr>
            </w:pPr>
            <w:r w:rsidRPr="006136E8">
              <w:rPr>
                <w:rFonts w:ascii="Arial Narrow" w:hAnsi="Arial Narrow"/>
                <w:b/>
                <w:bCs/>
                <w:sz w:val="16"/>
                <w:szCs w:val="16"/>
              </w:rPr>
              <w:t>Ισοζύγιο (προ καταπτώσεων εγγυήσεων)</w:t>
            </w:r>
          </w:p>
        </w:tc>
        <w:tc>
          <w:tcPr>
            <w:tcW w:w="1412" w:type="dxa"/>
            <w:tcBorders>
              <w:top w:val="nil"/>
              <w:left w:val="nil"/>
              <w:bottom w:val="nil"/>
              <w:right w:val="nil"/>
            </w:tcBorders>
            <w:shd w:val="clear" w:color="auto" w:fill="D9D9D9" w:themeFill="background1" w:themeFillShade="D9"/>
            <w:vAlign w:val="center"/>
          </w:tcPr>
          <w:p w:rsidR="004E0933" w:rsidRPr="006136E8" w:rsidRDefault="004E0933" w:rsidP="0054537C">
            <w:pPr>
              <w:spacing w:line="228" w:lineRule="auto"/>
              <w:ind w:right="397"/>
              <w:jc w:val="right"/>
              <w:rPr>
                <w:rFonts w:ascii="Arial Narrow" w:hAnsi="Arial Narrow"/>
                <w:b/>
                <w:bCs/>
                <w:color w:val="000000"/>
                <w:sz w:val="16"/>
                <w:szCs w:val="16"/>
              </w:rPr>
            </w:pPr>
            <w:r>
              <w:rPr>
                <w:rFonts w:ascii="Arial Narrow" w:hAnsi="Arial Narrow"/>
                <w:b/>
                <w:bCs/>
                <w:color w:val="000000"/>
                <w:sz w:val="16"/>
                <w:szCs w:val="16"/>
              </w:rPr>
              <w:t>504</w:t>
            </w:r>
          </w:p>
        </w:tc>
        <w:tc>
          <w:tcPr>
            <w:tcW w:w="1288" w:type="dxa"/>
            <w:tcBorders>
              <w:top w:val="nil"/>
              <w:left w:val="nil"/>
              <w:bottom w:val="nil"/>
            </w:tcBorders>
            <w:shd w:val="clear" w:color="auto" w:fill="D9D9D9" w:themeFill="background1" w:themeFillShade="D9"/>
            <w:vAlign w:val="center"/>
          </w:tcPr>
          <w:p w:rsidR="004E0933" w:rsidRPr="006136E8" w:rsidRDefault="004E0933" w:rsidP="0054537C">
            <w:pPr>
              <w:spacing w:line="228" w:lineRule="auto"/>
              <w:ind w:right="376"/>
              <w:jc w:val="right"/>
              <w:rPr>
                <w:rFonts w:ascii="Arial Narrow" w:hAnsi="Arial Narrow"/>
                <w:b/>
                <w:bCs/>
                <w:color w:val="000000"/>
                <w:sz w:val="16"/>
                <w:szCs w:val="16"/>
              </w:rPr>
            </w:pPr>
            <w:r>
              <w:rPr>
                <w:rFonts w:ascii="Arial Narrow" w:hAnsi="Arial Narrow"/>
                <w:b/>
                <w:bCs/>
                <w:color w:val="000000"/>
                <w:sz w:val="16"/>
                <w:szCs w:val="16"/>
              </w:rPr>
              <w:t>180</w:t>
            </w:r>
          </w:p>
        </w:tc>
      </w:tr>
      <w:tr w:rsidR="004E0933" w:rsidRPr="006136E8" w:rsidTr="0054537C">
        <w:tc>
          <w:tcPr>
            <w:tcW w:w="4850" w:type="dxa"/>
            <w:tcBorders>
              <w:top w:val="nil"/>
              <w:bottom w:val="nil"/>
              <w:right w:val="nil"/>
            </w:tcBorders>
            <w:shd w:val="clear" w:color="auto" w:fill="auto"/>
            <w:noWrap/>
            <w:vAlign w:val="center"/>
          </w:tcPr>
          <w:p w:rsidR="004E0933" w:rsidRPr="006136E8" w:rsidRDefault="004E0933" w:rsidP="0054537C">
            <w:pPr>
              <w:spacing w:line="228" w:lineRule="auto"/>
              <w:rPr>
                <w:rFonts w:ascii="Arial Narrow" w:hAnsi="Arial Narrow"/>
                <w:sz w:val="12"/>
                <w:szCs w:val="16"/>
              </w:rPr>
            </w:pPr>
          </w:p>
        </w:tc>
        <w:tc>
          <w:tcPr>
            <w:tcW w:w="1412" w:type="dxa"/>
            <w:tcBorders>
              <w:top w:val="nil"/>
              <w:left w:val="nil"/>
              <w:bottom w:val="nil"/>
              <w:right w:val="nil"/>
            </w:tcBorders>
            <w:shd w:val="clear" w:color="auto" w:fill="auto"/>
            <w:vAlign w:val="center"/>
          </w:tcPr>
          <w:p w:rsidR="004E0933" w:rsidRPr="006136E8" w:rsidRDefault="004E0933" w:rsidP="0054537C">
            <w:pPr>
              <w:spacing w:line="228" w:lineRule="auto"/>
              <w:ind w:right="397"/>
              <w:jc w:val="right"/>
              <w:rPr>
                <w:rFonts w:ascii="Arial Narrow" w:hAnsi="Arial Narrow"/>
                <w:color w:val="000000"/>
                <w:sz w:val="12"/>
                <w:szCs w:val="16"/>
              </w:rPr>
            </w:pPr>
          </w:p>
        </w:tc>
        <w:tc>
          <w:tcPr>
            <w:tcW w:w="1288" w:type="dxa"/>
            <w:tcBorders>
              <w:top w:val="nil"/>
              <w:left w:val="nil"/>
              <w:bottom w:val="nil"/>
            </w:tcBorders>
            <w:shd w:val="clear" w:color="auto" w:fill="auto"/>
            <w:vAlign w:val="center"/>
          </w:tcPr>
          <w:p w:rsidR="004E0933" w:rsidRPr="006136E8" w:rsidRDefault="004E0933" w:rsidP="0054537C">
            <w:pPr>
              <w:spacing w:line="228" w:lineRule="auto"/>
              <w:ind w:right="376"/>
              <w:jc w:val="right"/>
              <w:rPr>
                <w:rFonts w:ascii="Arial Narrow" w:hAnsi="Arial Narrow"/>
                <w:color w:val="000000"/>
                <w:sz w:val="12"/>
                <w:szCs w:val="16"/>
              </w:rPr>
            </w:pPr>
            <w:r w:rsidRPr="006136E8">
              <w:rPr>
                <w:rFonts w:ascii="Arial Narrow" w:hAnsi="Arial Narrow"/>
                <w:color w:val="000000"/>
                <w:sz w:val="12"/>
                <w:szCs w:val="16"/>
              </w:rPr>
              <w:t> </w:t>
            </w:r>
          </w:p>
        </w:tc>
      </w:tr>
      <w:tr w:rsidR="004E0933" w:rsidRPr="006136E8" w:rsidTr="0054537C">
        <w:tc>
          <w:tcPr>
            <w:tcW w:w="4850" w:type="dxa"/>
            <w:tcBorders>
              <w:top w:val="nil"/>
              <w:bottom w:val="nil"/>
              <w:right w:val="nil"/>
            </w:tcBorders>
            <w:shd w:val="clear" w:color="auto" w:fill="D9D9D9" w:themeFill="background1" w:themeFillShade="D9"/>
            <w:noWrap/>
            <w:vAlign w:val="center"/>
          </w:tcPr>
          <w:p w:rsidR="004E0933" w:rsidRPr="006136E8" w:rsidRDefault="004E0933" w:rsidP="0054537C">
            <w:pPr>
              <w:spacing w:line="228" w:lineRule="auto"/>
              <w:rPr>
                <w:rFonts w:ascii="Arial Narrow" w:hAnsi="Arial Narrow"/>
                <w:b/>
                <w:bCs/>
                <w:sz w:val="16"/>
                <w:szCs w:val="16"/>
              </w:rPr>
            </w:pPr>
            <w:r>
              <w:rPr>
                <w:rFonts w:ascii="Arial Narrow" w:hAnsi="Arial Narrow"/>
                <w:b/>
                <w:bCs/>
                <w:sz w:val="16"/>
                <w:szCs w:val="16"/>
              </w:rPr>
              <w:t>Λοιπές εθνικολογιστικές προσαρμογές</w:t>
            </w:r>
            <w:r w:rsidRPr="006136E8">
              <w:rPr>
                <w:rFonts w:ascii="Arial Narrow" w:hAnsi="Arial Narrow"/>
                <w:b/>
                <w:bCs/>
                <w:sz w:val="16"/>
                <w:szCs w:val="16"/>
              </w:rPr>
              <w:t xml:space="preserve"> (καταπτώσεις εγγυήσεων*)</w:t>
            </w:r>
          </w:p>
        </w:tc>
        <w:tc>
          <w:tcPr>
            <w:tcW w:w="1412" w:type="dxa"/>
            <w:tcBorders>
              <w:top w:val="nil"/>
              <w:left w:val="nil"/>
              <w:bottom w:val="nil"/>
              <w:right w:val="nil"/>
            </w:tcBorders>
            <w:shd w:val="clear" w:color="auto" w:fill="D9D9D9" w:themeFill="background1" w:themeFillShade="D9"/>
            <w:vAlign w:val="center"/>
          </w:tcPr>
          <w:p w:rsidR="004E0933" w:rsidRPr="006136E8" w:rsidRDefault="004E0933" w:rsidP="0054537C">
            <w:pPr>
              <w:spacing w:line="228" w:lineRule="auto"/>
              <w:ind w:right="397"/>
              <w:jc w:val="right"/>
              <w:rPr>
                <w:rFonts w:ascii="Arial Narrow" w:hAnsi="Arial Narrow"/>
                <w:b/>
                <w:bCs/>
                <w:color w:val="000000"/>
                <w:sz w:val="16"/>
                <w:szCs w:val="16"/>
                <w:lang w:val="en-US"/>
              </w:rPr>
            </w:pPr>
            <w:r>
              <w:rPr>
                <w:rFonts w:ascii="Arial Narrow" w:hAnsi="Arial Narrow"/>
                <w:b/>
                <w:bCs/>
                <w:color w:val="000000"/>
                <w:sz w:val="16"/>
                <w:szCs w:val="16"/>
              </w:rPr>
              <w:t>618</w:t>
            </w:r>
          </w:p>
        </w:tc>
        <w:tc>
          <w:tcPr>
            <w:tcW w:w="1288" w:type="dxa"/>
            <w:tcBorders>
              <w:top w:val="nil"/>
              <w:left w:val="nil"/>
              <w:bottom w:val="nil"/>
            </w:tcBorders>
            <w:shd w:val="clear" w:color="auto" w:fill="D9D9D9" w:themeFill="background1" w:themeFillShade="D9"/>
            <w:vAlign w:val="center"/>
          </w:tcPr>
          <w:p w:rsidR="004E0933" w:rsidRPr="006136E8" w:rsidRDefault="004E0933" w:rsidP="0054537C">
            <w:pPr>
              <w:spacing w:line="228" w:lineRule="auto"/>
              <w:ind w:right="376"/>
              <w:jc w:val="right"/>
              <w:rPr>
                <w:rFonts w:ascii="Arial Narrow" w:hAnsi="Arial Narrow"/>
                <w:b/>
                <w:bCs/>
                <w:color w:val="000000"/>
                <w:sz w:val="16"/>
                <w:szCs w:val="16"/>
              </w:rPr>
            </w:pPr>
            <w:r>
              <w:rPr>
                <w:rFonts w:ascii="Arial Narrow" w:hAnsi="Arial Narrow"/>
                <w:b/>
                <w:bCs/>
                <w:color w:val="000000"/>
                <w:sz w:val="16"/>
                <w:szCs w:val="16"/>
              </w:rPr>
              <w:t>77</w:t>
            </w:r>
          </w:p>
        </w:tc>
      </w:tr>
      <w:tr w:rsidR="004E0933" w:rsidRPr="006136E8" w:rsidTr="0054537C">
        <w:tc>
          <w:tcPr>
            <w:tcW w:w="4850" w:type="dxa"/>
            <w:tcBorders>
              <w:top w:val="nil"/>
              <w:bottom w:val="nil"/>
              <w:right w:val="nil"/>
            </w:tcBorders>
            <w:shd w:val="clear" w:color="auto" w:fill="auto"/>
            <w:noWrap/>
            <w:vAlign w:val="center"/>
          </w:tcPr>
          <w:p w:rsidR="004E0933" w:rsidRPr="006136E8" w:rsidRDefault="004E0933" w:rsidP="0054537C">
            <w:pPr>
              <w:spacing w:line="228" w:lineRule="auto"/>
              <w:rPr>
                <w:rFonts w:ascii="Arial Narrow" w:hAnsi="Arial Narrow"/>
                <w:b/>
                <w:bCs/>
                <w:sz w:val="16"/>
                <w:szCs w:val="16"/>
              </w:rPr>
            </w:pPr>
          </w:p>
        </w:tc>
        <w:tc>
          <w:tcPr>
            <w:tcW w:w="1412" w:type="dxa"/>
            <w:tcBorders>
              <w:top w:val="nil"/>
              <w:left w:val="nil"/>
              <w:bottom w:val="nil"/>
              <w:right w:val="nil"/>
            </w:tcBorders>
            <w:shd w:val="clear" w:color="auto" w:fill="auto"/>
            <w:vAlign w:val="center"/>
          </w:tcPr>
          <w:p w:rsidR="004E0933" w:rsidRPr="006136E8" w:rsidRDefault="004E0933" w:rsidP="0054537C">
            <w:pPr>
              <w:spacing w:line="228" w:lineRule="auto"/>
              <w:ind w:right="397"/>
              <w:jc w:val="right"/>
              <w:rPr>
                <w:rFonts w:ascii="Arial Narrow" w:hAnsi="Arial Narrow"/>
                <w:b/>
                <w:bCs/>
                <w:color w:val="000000"/>
                <w:sz w:val="16"/>
                <w:szCs w:val="16"/>
              </w:rPr>
            </w:pPr>
          </w:p>
        </w:tc>
        <w:tc>
          <w:tcPr>
            <w:tcW w:w="1288" w:type="dxa"/>
            <w:tcBorders>
              <w:top w:val="nil"/>
              <w:left w:val="nil"/>
              <w:bottom w:val="nil"/>
            </w:tcBorders>
            <w:shd w:val="clear" w:color="auto" w:fill="auto"/>
            <w:vAlign w:val="center"/>
          </w:tcPr>
          <w:p w:rsidR="004E0933" w:rsidRPr="006136E8" w:rsidRDefault="004E0933" w:rsidP="0054537C">
            <w:pPr>
              <w:spacing w:line="228" w:lineRule="auto"/>
              <w:ind w:right="376"/>
              <w:jc w:val="right"/>
              <w:rPr>
                <w:rFonts w:ascii="Arial Narrow" w:hAnsi="Arial Narrow"/>
                <w:b/>
                <w:bCs/>
                <w:color w:val="000000"/>
                <w:sz w:val="16"/>
                <w:szCs w:val="16"/>
              </w:rPr>
            </w:pPr>
          </w:p>
        </w:tc>
      </w:tr>
      <w:tr w:rsidR="004E0933" w:rsidRPr="00775C1E" w:rsidTr="0054537C">
        <w:trPr>
          <w:trHeight w:val="195"/>
        </w:trPr>
        <w:tc>
          <w:tcPr>
            <w:tcW w:w="4850" w:type="dxa"/>
            <w:tcBorders>
              <w:top w:val="nil"/>
              <w:bottom w:val="single" w:sz="4" w:space="0" w:color="auto"/>
              <w:right w:val="nil"/>
            </w:tcBorders>
            <w:shd w:val="clear" w:color="auto" w:fill="D9D9D9" w:themeFill="background1" w:themeFillShade="D9"/>
            <w:noWrap/>
            <w:vAlign w:val="center"/>
          </w:tcPr>
          <w:p w:rsidR="004E0933" w:rsidRPr="006136E8" w:rsidRDefault="004E0933" w:rsidP="0054537C">
            <w:pPr>
              <w:spacing w:line="228" w:lineRule="auto"/>
              <w:rPr>
                <w:rFonts w:ascii="Arial Narrow" w:hAnsi="Arial Narrow"/>
                <w:b/>
                <w:bCs/>
                <w:sz w:val="16"/>
                <w:szCs w:val="16"/>
              </w:rPr>
            </w:pPr>
            <w:r w:rsidRPr="006136E8">
              <w:rPr>
                <w:rFonts w:ascii="Arial Narrow" w:hAnsi="Arial Narrow"/>
                <w:b/>
                <w:bCs/>
                <w:sz w:val="16"/>
                <w:szCs w:val="16"/>
              </w:rPr>
              <w:t xml:space="preserve">Ισοζύγιο κατά </w:t>
            </w:r>
            <w:r w:rsidRPr="006136E8">
              <w:rPr>
                <w:rFonts w:ascii="Arial Narrow" w:hAnsi="Arial Narrow"/>
                <w:b/>
                <w:bCs/>
                <w:sz w:val="16"/>
                <w:szCs w:val="16"/>
                <w:lang w:val="en-GB"/>
              </w:rPr>
              <w:t>ESA</w:t>
            </w:r>
            <w:r w:rsidRPr="006136E8">
              <w:rPr>
                <w:rFonts w:ascii="Arial Narrow" w:hAnsi="Arial Narrow"/>
                <w:b/>
                <w:bCs/>
                <w:sz w:val="16"/>
                <w:szCs w:val="16"/>
              </w:rPr>
              <w:t xml:space="preserve"> (με καταπτώσεις εγγυήσεων) </w:t>
            </w:r>
          </w:p>
        </w:tc>
        <w:tc>
          <w:tcPr>
            <w:tcW w:w="1412" w:type="dxa"/>
            <w:tcBorders>
              <w:top w:val="nil"/>
              <w:left w:val="nil"/>
              <w:bottom w:val="single" w:sz="4" w:space="0" w:color="auto"/>
              <w:right w:val="nil"/>
            </w:tcBorders>
            <w:shd w:val="clear" w:color="auto" w:fill="D9D9D9" w:themeFill="background1" w:themeFillShade="D9"/>
            <w:vAlign w:val="center"/>
          </w:tcPr>
          <w:p w:rsidR="004E0933" w:rsidRPr="006136E8" w:rsidRDefault="004E0933" w:rsidP="0054537C">
            <w:pPr>
              <w:spacing w:line="228" w:lineRule="auto"/>
              <w:ind w:right="397"/>
              <w:jc w:val="right"/>
              <w:rPr>
                <w:rFonts w:ascii="Arial Narrow" w:hAnsi="Arial Narrow"/>
                <w:b/>
                <w:bCs/>
                <w:color w:val="000000"/>
                <w:sz w:val="16"/>
                <w:szCs w:val="16"/>
              </w:rPr>
            </w:pPr>
            <w:r>
              <w:rPr>
                <w:rFonts w:ascii="Arial Narrow" w:hAnsi="Arial Narrow"/>
                <w:b/>
                <w:bCs/>
                <w:color w:val="000000"/>
                <w:sz w:val="16"/>
                <w:szCs w:val="16"/>
              </w:rPr>
              <w:t>1.122</w:t>
            </w:r>
          </w:p>
        </w:tc>
        <w:tc>
          <w:tcPr>
            <w:tcW w:w="1288" w:type="dxa"/>
            <w:tcBorders>
              <w:top w:val="nil"/>
              <w:left w:val="nil"/>
              <w:bottom w:val="single" w:sz="4" w:space="0" w:color="auto"/>
            </w:tcBorders>
            <w:shd w:val="clear" w:color="auto" w:fill="D9D9D9" w:themeFill="background1" w:themeFillShade="D9"/>
            <w:vAlign w:val="center"/>
          </w:tcPr>
          <w:p w:rsidR="004E0933" w:rsidRPr="006136E8" w:rsidRDefault="004E0933" w:rsidP="0054537C">
            <w:pPr>
              <w:spacing w:line="228" w:lineRule="auto"/>
              <w:ind w:right="376"/>
              <w:jc w:val="right"/>
              <w:rPr>
                <w:rFonts w:ascii="Arial Narrow" w:hAnsi="Arial Narrow"/>
                <w:b/>
                <w:bCs/>
                <w:color w:val="000000"/>
                <w:sz w:val="16"/>
                <w:szCs w:val="16"/>
              </w:rPr>
            </w:pPr>
            <w:r>
              <w:rPr>
                <w:rFonts w:ascii="Arial Narrow" w:hAnsi="Arial Narrow"/>
                <w:b/>
                <w:bCs/>
                <w:color w:val="000000"/>
                <w:sz w:val="16"/>
                <w:szCs w:val="16"/>
              </w:rPr>
              <w:t>257</w:t>
            </w:r>
          </w:p>
        </w:tc>
      </w:tr>
    </w:tbl>
    <w:p w:rsidR="004E0933" w:rsidRPr="00775C1E" w:rsidRDefault="004E0933" w:rsidP="004E0933">
      <w:pPr>
        <w:tabs>
          <w:tab w:val="left" w:pos="709"/>
          <w:tab w:val="left" w:pos="851"/>
        </w:tabs>
        <w:spacing w:line="228" w:lineRule="auto"/>
        <w:ind w:left="851" w:right="709" w:hanging="709"/>
        <w:jc w:val="both"/>
        <w:rPr>
          <w:rFonts w:ascii="Arial Narrow" w:hAnsi="Arial Narrow"/>
          <w:color w:val="000000"/>
          <w:sz w:val="16"/>
          <w:szCs w:val="16"/>
          <w:highlight w:val="yellow"/>
        </w:rPr>
      </w:pPr>
      <w:r w:rsidRPr="0046197F">
        <w:rPr>
          <w:rFonts w:ascii="Arial Narrow" w:hAnsi="Arial Narrow"/>
          <w:color w:val="000000"/>
          <w:sz w:val="16"/>
          <w:szCs w:val="16"/>
        </w:rPr>
        <w:lastRenderedPageBreak/>
        <w:t xml:space="preserve">               * Οι καταπτώσεις εγγυήσεων είναι σε ακαθάριστη βάση.</w:t>
      </w:r>
    </w:p>
    <w:p w:rsidR="004E0933" w:rsidRDefault="004E0933" w:rsidP="004E0933">
      <w:pPr>
        <w:rPr>
          <w:sz w:val="22"/>
          <w:highlight w:val="yellow"/>
        </w:rPr>
      </w:pPr>
    </w:p>
    <w:p w:rsidR="004E0933" w:rsidRDefault="004E0933" w:rsidP="004E0933">
      <w:pPr>
        <w:rPr>
          <w:sz w:val="22"/>
          <w:highlight w:val="yellow"/>
        </w:rPr>
      </w:pPr>
    </w:p>
    <w:p w:rsidR="004E0933" w:rsidRDefault="004E0933" w:rsidP="004E0933">
      <w:pPr>
        <w:rPr>
          <w:sz w:val="22"/>
          <w:highlight w:val="yellow"/>
        </w:rPr>
      </w:pPr>
    </w:p>
    <w:p w:rsidR="004E0933" w:rsidRDefault="004E0933" w:rsidP="004E0933">
      <w:pPr>
        <w:rPr>
          <w:sz w:val="22"/>
          <w:highlight w:val="yellow"/>
        </w:rPr>
      </w:pPr>
    </w:p>
    <w:tbl>
      <w:tblPr>
        <w:tblW w:w="8510" w:type="dxa"/>
        <w:jc w:val="center"/>
        <w:tblBorders>
          <w:top w:val="single" w:sz="4" w:space="0" w:color="auto"/>
          <w:left w:val="single" w:sz="4" w:space="0" w:color="auto"/>
          <w:bottom w:val="single" w:sz="4" w:space="0" w:color="auto"/>
          <w:right w:val="single" w:sz="4" w:space="0" w:color="auto"/>
        </w:tblBorders>
        <w:tblLook w:val="04A0"/>
      </w:tblPr>
      <w:tblGrid>
        <w:gridCol w:w="462"/>
        <w:gridCol w:w="4788"/>
        <w:gridCol w:w="1701"/>
        <w:gridCol w:w="1559"/>
      </w:tblGrid>
      <w:tr w:rsidR="004E0933" w:rsidTr="0054537C">
        <w:trPr>
          <w:trHeight w:val="170"/>
          <w:jc w:val="center"/>
        </w:trPr>
        <w:tc>
          <w:tcPr>
            <w:tcW w:w="8510" w:type="dxa"/>
            <w:gridSpan w:val="4"/>
            <w:tcBorders>
              <w:top w:val="single" w:sz="4" w:space="0" w:color="auto"/>
              <w:left w:val="single" w:sz="4" w:space="0" w:color="auto"/>
              <w:bottom w:val="nil"/>
              <w:right w:val="single" w:sz="4" w:space="0" w:color="auto"/>
            </w:tcBorders>
            <w:shd w:val="clear" w:color="auto" w:fill="404040" w:themeFill="text1" w:themeFillTint="BF"/>
            <w:vAlign w:val="center"/>
            <w:hideMark/>
          </w:tcPr>
          <w:p w:rsidR="004E0933" w:rsidRDefault="006D58F6" w:rsidP="0054537C">
            <w:pPr>
              <w:jc w:val="center"/>
              <w:rPr>
                <w:rFonts w:ascii="Arial Narrow" w:hAnsi="Arial Narrow" w:cs="Segoe UI"/>
                <w:b/>
                <w:bCs/>
                <w:color w:val="FFFFFF" w:themeColor="background1"/>
                <w:szCs w:val="16"/>
              </w:rPr>
            </w:pPr>
            <w:r>
              <w:rPr>
                <w:rFonts w:ascii="Arial Narrow" w:hAnsi="Arial Narrow" w:cs="Segoe UI"/>
                <w:b/>
                <w:bCs/>
                <w:color w:val="FFFFFF" w:themeColor="background1"/>
                <w:szCs w:val="16"/>
              </w:rPr>
              <w:t>Πίνακας 3.23</w:t>
            </w:r>
            <w:r w:rsidR="004E0933">
              <w:rPr>
                <w:rFonts w:ascii="Arial Narrow" w:hAnsi="Arial Narrow" w:cs="Segoe UI"/>
                <w:b/>
                <w:bCs/>
                <w:color w:val="FFFFFF" w:themeColor="background1"/>
                <w:szCs w:val="16"/>
              </w:rPr>
              <w:t xml:space="preserve">  Ισοζύγιο ΔΕΚΟ ανά Υπουργείο κατά </w:t>
            </w:r>
            <w:r w:rsidR="004E0933">
              <w:rPr>
                <w:rFonts w:ascii="Arial Narrow" w:hAnsi="Arial Narrow" w:cs="Segoe UI"/>
                <w:b/>
                <w:bCs/>
                <w:color w:val="FFFFFF" w:themeColor="background1"/>
                <w:szCs w:val="16"/>
                <w:lang w:val="en-US"/>
              </w:rPr>
              <w:t>ESA</w:t>
            </w:r>
            <w:r w:rsidR="004E0933" w:rsidRPr="0026045D">
              <w:rPr>
                <w:rFonts w:ascii="Arial Narrow" w:hAnsi="Arial Narrow" w:cs="Segoe UI"/>
                <w:b/>
                <w:bCs/>
                <w:color w:val="FFFFFF" w:themeColor="background1"/>
                <w:szCs w:val="16"/>
              </w:rPr>
              <w:t xml:space="preserve"> </w:t>
            </w:r>
          </w:p>
          <w:p w:rsidR="004E0933" w:rsidRDefault="004E0933" w:rsidP="0054537C">
            <w:pPr>
              <w:jc w:val="center"/>
              <w:rPr>
                <w:rFonts w:ascii="Arial Narrow" w:hAnsi="Arial Narrow" w:cs="Segoe UI"/>
                <w:b/>
                <w:bCs/>
                <w:color w:val="FFFFFF" w:themeColor="background1"/>
                <w:szCs w:val="16"/>
              </w:rPr>
            </w:pPr>
            <w:r>
              <w:rPr>
                <w:rFonts w:ascii="Arial Narrow" w:hAnsi="Arial Narrow" w:cs="Segoe UI"/>
                <w:b/>
                <w:bCs/>
                <w:color w:val="FFFFFF" w:themeColor="background1"/>
                <w:szCs w:val="16"/>
              </w:rPr>
              <w:t>(σε εκατ. ευρώ)</w:t>
            </w:r>
          </w:p>
        </w:tc>
      </w:tr>
      <w:tr w:rsidR="004E0933" w:rsidTr="0054537C">
        <w:trPr>
          <w:trHeight w:val="170"/>
          <w:jc w:val="center"/>
        </w:trPr>
        <w:tc>
          <w:tcPr>
            <w:tcW w:w="8510" w:type="dxa"/>
            <w:gridSpan w:val="4"/>
            <w:tcBorders>
              <w:top w:val="nil"/>
              <w:left w:val="single" w:sz="4" w:space="0" w:color="auto"/>
              <w:bottom w:val="single" w:sz="4" w:space="0" w:color="auto"/>
              <w:right w:val="single" w:sz="4" w:space="0" w:color="auto"/>
            </w:tcBorders>
            <w:vAlign w:val="center"/>
            <w:hideMark/>
          </w:tcPr>
          <w:p w:rsidR="004E0933" w:rsidRDefault="004E0933" w:rsidP="0054537C">
            <w:pPr>
              <w:rPr>
                <w:rFonts w:asciiTheme="minorHAnsi" w:eastAsiaTheme="minorEastAsia" w:hAnsiTheme="minorHAnsi" w:cstheme="minorBidi"/>
                <w:sz w:val="22"/>
                <w:szCs w:val="22"/>
              </w:rPr>
            </w:pPr>
          </w:p>
        </w:tc>
      </w:tr>
      <w:tr w:rsidR="004E0933" w:rsidTr="0054537C">
        <w:trPr>
          <w:trHeight w:val="170"/>
          <w:jc w:val="center"/>
        </w:trPr>
        <w:tc>
          <w:tcPr>
            <w:tcW w:w="5250" w:type="dxa"/>
            <w:gridSpan w:val="2"/>
            <w:tcBorders>
              <w:top w:val="single" w:sz="4" w:space="0" w:color="auto"/>
              <w:left w:val="single" w:sz="4" w:space="0" w:color="auto"/>
              <w:bottom w:val="single" w:sz="4" w:space="0" w:color="auto"/>
              <w:right w:val="single" w:sz="4" w:space="0" w:color="auto"/>
            </w:tcBorders>
            <w:vAlign w:val="center"/>
            <w:hideMark/>
          </w:tcPr>
          <w:p w:rsidR="004E0933" w:rsidRDefault="004E0933" w:rsidP="0054537C">
            <w:pPr>
              <w:rPr>
                <w:rFonts w:ascii="Arial Narrow" w:hAnsi="Arial Narrow" w:cs="Segoe UI"/>
                <w:b/>
                <w:bCs/>
                <w:sz w:val="16"/>
                <w:szCs w:val="16"/>
              </w:rPr>
            </w:pPr>
            <w:r>
              <w:rPr>
                <w:rFonts w:ascii="Arial Narrow" w:hAnsi="Arial Narrow" w:cs="Segoe UI"/>
                <w:b/>
                <w:bCs/>
                <w:sz w:val="16"/>
                <w:szCs w:val="16"/>
              </w:rPr>
              <w:t> </w:t>
            </w:r>
          </w:p>
          <w:p w:rsidR="004E0933" w:rsidRDefault="004E0933" w:rsidP="0054537C">
            <w:pPr>
              <w:rPr>
                <w:rFonts w:ascii="Arial Narrow" w:hAnsi="Arial Narrow" w:cs="Segoe UI"/>
                <w:b/>
                <w:bCs/>
                <w:sz w:val="16"/>
                <w:szCs w:val="16"/>
              </w:rPr>
            </w:pPr>
            <w:r>
              <w:rPr>
                <w:rFonts w:ascii="Arial Narrow" w:hAnsi="Arial Narrow" w:cs="Segoe UI"/>
                <w:b/>
                <w:bCs/>
                <w:sz w:val="16"/>
                <w:szCs w:val="16"/>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933" w:rsidRPr="006325A0" w:rsidRDefault="008F2982" w:rsidP="0054537C">
            <w:pPr>
              <w:jc w:val="center"/>
              <w:rPr>
                <w:rFonts w:ascii="Arial Narrow" w:hAnsi="Arial Narrow" w:cs="Segoe UI"/>
                <w:b/>
                <w:bCs/>
                <w:sz w:val="16"/>
                <w:szCs w:val="16"/>
              </w:rPr>
            </w:pPr>
            <w:r>
              <w:rPr>
                <w:rFonts w:ascii="Arial Narrow" w:hAnsi="Arial Narrow" w:cs="Segoe UI"/>
                <w:b/>
                <w:bCs/>
                <w:sz w:val="16"/>
                <w:szCs w:val="16"/>
              </w:rPr>
              <w:t>2020</w:t>
            </w:r>
          </w:p>
          <w:p w:rsidR="004E0933" w:rsidRDefault="004E0933" w:rsidP="0054537C">
            <w:pPr>
              <w:jc w:val="center"/>
              <w:rPr>
                <w:rFonts w:ascii="Arial Narrow" w:hAnsi="Arial Narrow" w:cs="Segoe UI"/>
                <w:b/>
                <w:bCs/>
                <w:sz w:val="16"/>
                <w:szCs w:val="16"/>
              </w:rPr>
            </w:pPr>
            <w:r>
              <w:rPr>
                <w:rFonts w:ascii="Arial Narrow" w:hAnsi="Arial Narrow" w:cs="Segoe UI"/>
                <w:b/>
                <w:bCs/>
                <w:sz w:val="16"/>
                <w:szCs w:val="16"/>
              </w:rPr>
              <w:t>Εκτιμήσεις</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0933" w:rsidRPr="006325A0" w:rsidRDefault="008F2982" w:rsidP="0054537C">
            <w:pPr>
              <w:jc w:val="center"/>
              <w:rPr>
                <w:rFonts w:ascii="Arial Narrow" w:hAnsi="Arial Narrow" w:cs="Segoe UI"/>
                <w:b/>
                <w:bCs/>
                <w:sz w:val="16"/>
                <w:szCs w:val="16"/>
              </w:rPr>
            </w:pPr>
            <w:r>
              <w:rPr>
                <w:rFonts w:ascii="Arial Narrow" w:hAnsi="Arial Narrow" w:cs="Segoe UI"/>
                <w:b/>
                <w:bCs/>
                <w:sz w:val="16"/>
                <w:szCs w:val="16"/>
              </w:rPr>
              <w:t>2021</w:t>
            </w:r>
          </w:p>
          <w:p w:rsidR="004E0933" w:rsidRDefault="004E0933" w:rsidP="0054537C">
            <w:pPr>
              <w:jc w:val="center"/>
              <w:rPr>
                <w:rFonts w:ascii="Arial Narrow" w:hAnsi="Arial Narrow" w:cs="Segoe UI"/>
                <w:b/>
                <w:bCs/>
                <w:sz w:val="16"/>
                <w:szCs w:val="16"/>
              </w:rPr>
            </w:pPr>
            <w:r>
              <w:rPr>
                <w:rFonts w:ascii="Arial Narrow" w:hAnsi="Arial Narrow" w:cs="Segoe UI"/>
                <w:b/>
                <w:bCs/>
                <w:sz w:val="16"/>
                <w:szCs w:val="16"/>
              </w:rPr>
              <w:t>Προβλέψεις</w:t>
            </w:r>
          </w:p>
        </w:tc>
      </w:tr>
      <w:tr w:rsidR="008F2982" w:rsidRPr="006325A0" w:rsidTr="0069738C">
        <w:trPr>
          <w:trHeight w:val="198"/>
          <w:jc w:val="center"/>
        </w:trPr>
        <w:tc>
          <w:tcPr>
            <w:tcW w:w="462" w:type="dxa"/>
            <w:tcBorders>
              <w:top w:val="nil"/>
              <w:left w:val="single" w:sz="4" w:space="0" w:color="auto"/>
              <w:bottom w:val="nil"/>
              <w:right w:val="nil"/>
            </w:tcBorders>
            <w:shd w:val="clear" w:color="auto" w:fill="D9D9D9" w:themeFill="background1" w:themeFillShade="D9"/>
            <w:hideMark/>
          </w:tcPr>
          <w:p w:rsidR="008F2982" w:rsidRPr="006325A0" w:rsidRDefault="008F2982" w:rsidP="0069738C">
            <w:pPr>
              <w:jc w:val="center"/>
              <w:rPr>
                <w:rFonts w:ascii="Arial Narrow" w:hAnsi="Arial Narrow" w:cs="Segoe UI"/>
                <w:b/>
                <w:bCs/>
                <w:sz w:val="16"/>
                <w:szCs w:val="16"/>
              </w:rPr>
            </w:pPr>
            <w:r>
              <w:rPr>
                <w:rFonts w:ascii="Arial Narrow" w:hAnsi="Arial Narrow" w:cs="Segoe UI"/>
                <w:b/>
                <w:bCs/>
                <w:sz w:val="16"/>
                <w:szCs w:val="16"/>
              </w:rPr>
              <w:t>1</w:t>
            </w:r>
          </w:p>
        </w:tc>
        <w:tc>
          <w:tcPr>
            <w:tcW w:w="4788" w:type="dxa"/>
            <w:tcBorders>
              <w:top w:val="nil"/>
              <w:left w:val="nil"/>
              <w:bottom w:val="nil"/>
              <w:right w:val="nil"/>
            </w:tcBorders>
            <w:shd w:val="clear" w:color="auto" w:fill="D9D9D9" w:themeFill="background1" w:themeFillShade="D9"/>
            <w:vAlign w:val="center"/>
            <w:hideMark/>
          </w:tcPr>
          <w:p w:rsidR="008F2982" w:rsidRPr="006325A0" w:rsidRDefault="008F2982" w:rsidP="0069738C">
            <w:pPr>
              <w:rPr>
                <w:rFonts w:ascii="Arial Narrow" w:hAnsi="Arial Narrow"/>
                <w:b/>
                <w:bCs/>
                <w:sz w:val="16"/>
                <w:szCs w:val="16"/>
              </w:rPr>
            </w:pPr>
            <w:r>
              <w:rPr>
                <w:rFonts w:ascii="Arial Narrow" w:hAnsi="Arial Narrow"/>
                <w:b/>
                <w:bCs/>
                <w:sz w:val="16"/>
                <w:szCs w:val="16"/>
              </w:rPr>
              <w:t>Προεδρία της Κυβέρνησης</w:t>
            </w:r>
          </w:p>
        </w:tc>
        <w:tc>
          <w:tcPr>
            <w:tcW w:w="1701" w:type="dxa"/>
            <w:tcBorders>
              <w:top w:val="nil"/>
              <w:left w:val="nil"/>
              <w:bottom w:val="nil"/>
              <w:right w:val="nil"/>
            </w:tcBorders>
            <w:shd w:val="clear" w:color="auto" w:fill="D9D9D9" w:themeFill="background1" w:themeFillShade="D9"/>
            <w:vAlign w:val="bottom"/>
            <w:hideMark/>
          </w:tcPr>
          <w:p w:rsidR="008F2982" w:rsidRPr="005E50F5" w:rsidRDefault="008F2982" w:rsidP="0069738C">
            <w:pPr>
              <w:ind w:right="602"/>
              <w:jc w:val="right"/>
              <w:rPr>
                <w:rFonts w:ascii="Arial Narrow" w:hAnsi="Arial Narrow"/>
                <w:b/>
                <w:bCs/>
                <w:color w:val="000000"/>
                <w:sz w:val="16"/>
                <w:szCs w:val="16"/>
              </w:rPr>
            </w:pPr>
            <w:r>
              <w:rPr>
                <w:rFonts w:ascii="Arial Narrow" w:hAnsi="Arial Narrow"/>
                <w:b/>
                <w:bCs/>
                <w:color w:val="000000"/>
                <w:sz w:val="16"/>
                <w:szCs w:val="16"/>
              </w:rPr>
              <w:t>-</w:t>
            </w:r>
          </w:p>
        </w:tc>
        <w:tc>
          <w:tcPr>
            <w:tcW w:w="1559" w:type="dxa"/>
            <w:tcBorders>
              <w:top w:val="nil"/>
              <w:left w:val="nil"/>
              <w:bottom w:val="nil"/>
              <w:right w:val="single" w:sz="4" w:space="0" w:color="auto"/>
            </w:tcBorders>
            <w:shd w:val="clear" w:color="auto" w:fill="D9D9D9" w:themeFill="background1" w:themeFillShade="D9"/>
            <w:vAlign w:val="bottom"/>
            <w:hideMark/>
          </w:tcPr>
          <w:p w:rsidR="008F2982" w:rsidRPr="005E50F5" w:rsidRDefault="008F2982" w:rsidP="0069738C">
            <w:pPr>
              <w:ind w:right="602"/>
              <w:jc w:val="right"/>
              <w:rPr>
                <w:rFonts w:ascii="Arial Narrow" w:hAnsi="Arial Narrow"/>
                <w:b/>
                <w:bCs/>
                <w:color w:val="000000"/>
                <w:sz w:val="16"/>
                <w:szCs w:val="16"/>
              </w:rPr>
            </w:pPr>
            <w:r w:rsidRPr="005E50F5">
              <w:rPr>
                <w:rFonts w:ascii="Arial Narrow" w:hAnsi="Arial Narrow"/>
                <w:b/>
                <w:bCs/>
                <w:color w:val="000000"/>
                <w:sz w:val="16"/>
                <w:szCs w:val="16"/>
              </w:rPr>
              <w:t>8</w:t>
            </w:r>
          </w:p>
        </w:tc>
      </w:tr>
      <w:tr w:rsidR="008F2982" w:rsidRPr="006325A0" w:rsidTr="0069738C">
        <w:trPr>
          <w:trHeight w:val="198"/>
          <w:jc w:val="center"/>
        </w:trPr>
        <w:tc>
          <w:tcPr>
            <w:tcW w:w="462" w:type="dxa"/>
            <w:tcBorders>
              <w:top w:val="nil"/>
              <w:left w:val="single" w:sz="4" w:space="0" w:color="auto"/>
              <w:bottom w:val="nil"/>
              <w:right w:val="nil"/>
            </w:tcBorders>
            <w:hideMark/>
          </w:tcPr>
          <w:p w:rsidR="008F2982" w:rsidRPr="006325A0" w:rsidRDefault="008F2982" w:rsidP="0069738C">
            <w:pPr>
              <w:rPr>
                <w:rFonts w:ascii="Arial Narrow" w:eastAsiaTheme="minorEastAsia" w:hAnsi="Arial Narrow" w:cstheme="minorBidi"/>
                <w:sz w:val="16"/>
                <w:szCs w:val="16"/>
                <w:highlight w:val="yellow"/>
              </w:rPr>
            </w:pPr>
          </w:p>
        </w:tc>
        <w:tc>
          <w:tcPr>
            <w:tcW w:w="4788" w:type="dxa"/>
            <w:tcBorders>
              <w:top w:val="nil"/>
              <w:left w:val="nil"/>
              <w:bottom w:val="nil"/>
              <w:right w:val="nil"/>
            </w:tcBorders>
            <w:vAlign w:val="center"/>
            <w:hideMark/>
          </w:tcPr>
          <w:p w:rsidR="008F2982" w:rsidRPr="006325A0" w:rsidRDefault="008F2982" w:rsidP="0069738C">
            <w:pPr>
              <w:rPr>
                <w:rFonts w:ascii="Arial Narrow" w:hAnsi="Arial Narrow"/>
                <w:i/>
                <w:iCs/>
                <w:sz w:val="16"/>
                <w:szCs w:val="16"/>
              </w:rPr>
            </w:pPr>
            <w:r w:rsidRPr="006325A0">
              <w:rPr>
                <w:rFonts w:ascii="Arial Narrow" w:hAnsi="Arial Narrow"/>
                <w:i/>
                <w:iCs/>
                <w:sz w:val="16"/>
                <w:szCs w:val="16"/>
              </w:rPr>
              <w:t>Ισοζύγιο</w:t>
            </w:r>
          </w:p>
        </w:tc>
        <w:tc>
          <w:tcPr>
            <w:tcW w:w="1701" w:type="dxa"/>
            <w:tcBorders>
              <w:top w:val="nil"/>
              <w:left w:val="nil"/>
              <w:bottom w:val="nil"/>
              <w:right w:val="nil"/>
            </w:tcBorders>
            <w:vAlign w:val="bottom"/>
            <w:hideMark/>
          </w:tcPr>
          <w:p w:rsidR="008F2982" w:rsidRPr="005E50F5" w:rsidRDefault="008F2982" w:rsidP="0069738C">
            <w:pPr>
              <w:ind w:right="602"/>
              <w:jc w:val="right"/>
              <w:rPr>
                <w:rFonts w:ascii="Arial Narrow" w:hAnsi="Arial Narrow"/>
                <w:i/>
                <w:iCs/>
                <w:color w:val="000000"/>
                <w:sz w:val="16"/>
                <w:szCs w:val="16"/>
              </w:rPr>
            </w:pPr>
            <w:r>
              <w:rPr>
                <w:rFonts w:ascii="Arial Narrow" w:hAnsi="Arial Narrow"/>
                <w:i/>
                <w:iCs/>
                <w:color w:val="000000"/>
                <w:sz w:val="16"/>
                <w:szCs w:val="16"/>
              </w:rPr>
              <w:t>-</w:t>
            </w:r>
          </w:p>
        </w:tc>
        <w:tc>
          <w:tcPr>
            <w:tcW w:w="1559" w:type="dxa"/>
            <w:tcBorders>
              <w:top w:val="nil"/>
              <w:left w:val="nil"/>
              <w:bottom w:val="nil"/>
              <w:right w:val="single" w:sz="4" w:space="0" w:color="auto"/>
            </w:tcBorders>
            <w:vAlign w:val="bottom"/>
            <w:hideMark/>
          </w:tcPr>
          <w:p w:rsidR="008F2982" w:rsidRPr="005E50F5" w:rsidRDefault="008F2982" w:rsidP="0069738C">
            <w:pPr>
              <w:ind w:right="602"/>
              <w:jc w:val="right"/>
              <w:rPr>
                <w:rFonts w:ascii="Arial Narrow" w:hAnsi="Arial Narrow"/>
                <w:i/>
                <w:iCs/>
                <w:color w:val="000000"/>
                <w:sz w:val="16"/>
                <w:szCs w:val="16"/>
              </w:rPr>
            </w:pPr>
            <w:r w:rsidRPr="005E50F5">
              <w:rPr>
                <w:rFonts w:ascii="Arial Narrow" w:hAnsi="Arial Narrow"/>
                <w:i/>
                <w:iCs/>
                <w:color w:val="000000"/>
                <w:sz w:val="16"/>
                <w:szCs w:val="16"/>
              </w:rPr>
              <w:t>8</w:t>
            </w:r>
          </w:p>
        </w:tc>
      </w:tr>
      <w:tr w:rsidR="008F2982" w:rsidRPr="006325A0" w:rsidTr="0069738C">
        <w:trPr>
          <w:trHeight w:val="198"/>
          <w:jc w:val="center"/>
        </w:trPr>
        <w:tc>
          <w:tcPr>
            <w:tcW w:w="462" w:type="dxa"/>
            <w:tcBorders>
              <w:top w:val="nil"/>
              <w:left w:val="single" w:sz="4" w:space="0" w:color="auto"/>
              <w:bottom w:val="nil"/>
              <w:right w:val="nil"/>
            </w:tcBorders>
            <w:hideMark/>
          </w:tcPr>
          <w:p w:rsidR="008F2982" w:rsidRPr="006325A0" w:rsidRDefault="008F2982" w:rsidP="0069738C">
            <w:pPr>
              <w:rPr>
                <w:rFonts w:ascii="Arial Narrow" w:eastAsiaTheme="minorEastAsia" w:hAnsi="Arial Narrow" w:cstheme="minorBidi"/>
                <w:sz w:val="16"/>
                <w:szCs w:val="16"/>
                <w:highlight w:val="yellow"/>
              </w:rPr>
            </w:pPr>
          </w:p>
        </w:tc>
        <w:tc>
          <w:tcPr>
            <w:tcW w:w="4788" w:type="dxa"/>
            <w:tcBorders>
              <w:top w:val="nil"/>
              <w:left w:val="nil"/>
              <w:bottom w:val="nil"/>
              <w:right w:val="nil"/>
            </w:tcBorders>
            <w:vAlign w:val="center"/>
            <w:hideMark/>
          </w:tcPr>
          <w:p w:rsidR="008F2982" w:rsidRPr="006325A0" w:rsidRDefault="008F2982" w:rsidP="0069738C">
            <w:pPr>
              <w:rPr>
                <w:rFonts w:ascii="Arial Narrow" w:hAnsi="Arial Narrow"/>
                <w:i/>
                <w:iCs/>
                <w:sz w:val="16"/>
                <w:szCs w:val="16"/>
              </w:rPr>
            </w:pPr>
            <w:r w:rsidRPr="006325A0">
              <w:rPr>
                <w:rFonts w:ascii="Arial Narrow" w:hAnsi="Arial Narrow"/>
                <w:i/>
                <w:iCs/>
                <w:sz w:val="16"/>
                <w:szCs w:val="16"/>
              </w:rPr>
              <w:t>Εθνικολογιστικές προσαρμογές</w:t>
            </w:r>
          </w:p>
        </w:tc>
        <w:tc>
          <w:tcPr>
            <w:tcW w:w="1701" w:type="dxa"/>
            <w:tcBorders>
              <w:top w:val="nil"/>
              <w:left w:val="nil"/>
              <w:bottom w:val="nil"/>
              <w:right w:val="nil"/>
            </w:tcBorders>
            <w:vAlign w:val="bottom"/>
            <w:hideMark/>
          </w:tcPr>
          <w:p w:rsidR="008F2982" w:rsidRPr="005E50F5" w:rsidRDefault="008F2982" w:rsidP="0069738C">
            <w:pPr>
              <w:ind w:right="602"/>
              <w:jc w:val="right"/>
              <w:rPr>
                <w:rFonts w:ascii="Arial Narrow" w:hAnsi="Arial Narrow"/>
                <w:i/>
                <w:iCs/>
                <w:color w:val="000000"/>
                <w:sz w:val="16"/>
                <w:szCs w:val="16"/>
              </w:rPr>
            </w:pPr>
            <w:r>
              <w:rPr>
                <w:rFonts w:ascii="Arial Narrow" w:hAnsi="Arial Narrow"/>
                <w:i/>
                <w:iCs/>
                <w:color w:val="000000"/>
                <w:sz w:val="16"/>
                <w:szCs w:val="16"/>
              </w:rPr>
              <w:t>-</w:t>
            </w:r>
          </w:p>
        </w:tc>
        <w:tc>
          <w:tcPr>
            <w:tcW w:w="1559" w:type="dxa"/>
            <w:tcBorders>
              <w:top w:val="nil"/>
              <w:left w:val="nil"/>
              <w:bottom w:val="nil"/>
              <w:right w:val="single" w:sz="4" w:space="0" w:color="auto"/>
            </w:tcBorders>
            <w:vAlign w:val="bottom"/>
            <w:hideMark/>
          </w:tcPr>
          <w:p w:rsidR="008F2982" w:rsidRPr="005E50F5" w:rsidRDefault="008F2982" w:rsidP="0069738C">
            <w:pPr>
              <w:ind w:right="602"/>
              <w:jc w:val="right"/>
              <w:rPr>
                <w:rFonts w:ascii="Arial Narrow" w:hAnsi="Arial Narrow"/>
                <w:i/>
                <w:iCs/>
                <w:color w:val="000000"/>
                <w:sz w:val="16"/>
                <w:szCs w:val="16"/>
              </w:rPr>
            </w:pPr>
            <w:r w:rsidRPr="005E50F5">
              <w:rPr>
                <w:rFonts w:ascii="Arial Narrow" w:hAnsi="Arial Narrow"/>
                <w:i/>
                <w:iCs/>
                <w:color w:val="000000"/>
                <w:sz w:val="16"/>
                <w:szCs w:val="16"/>
              </w:rPr>
              <w:t>0</w:t>
            </w:r>
          </w:p>
        </w:tc>
      </w:tr>
      <w:tr w:rsidR="004E0933" w:rsidRPr="006325A0" w:rsidTr="0054537C">
        <w:trPr>
          <w:trHeight w:val="198"/>
          <w:jc w:val="center"/>
        </w:trPr>
        <w:tc>
          <w:tcPr>
            <w:tcW w:w="462" w:type="dxa"/>
            <w:tcBorders>
              <w:top w:val="nil"/>
              <w:left w:val="single" w:sz="4" w:space="0" w:color="auto"/>
              <w:bottom w:val="nil"/>
              <w:right w:val="nil"/>
            </w:tcBorders>
            <w:shd w:val="clear" w:color="auto" w:fill="D9D9D9" w:themeFill="background1" w:themeFillShade="D9"/>
            <w:hideMark/>
          </w:tcPr>
          <w:p w:rsidR="004E0933" w:rsidRPr="006325A0" w:rsidRDefault="008F2982" w:rsidP="0054537C">
            <w:pPr>
              <w:jc w:val="center"/>
              <w:rPr>
                <w:rFonts w:ascii="Arial Narrow" w:hAnsi="Arial Narrow" w:cs="Segoe UI"/>
                <w:b/>
                <w:bCs/>
                <w:sz w:val="16"/>
                <w:szCs w:val="16"/>
              </w:rPr>
            </w:pPr>
            <w:r>
              <w:rPr>
                <w:rFonts w:ascii="Arial Narrow" w:hAnsi="Arial Narrow" w:cs="Segoe UI"/>
                <w:b/>
                <w:bCs/>
                <w:sz w:val="16"/>
                <w:szCs w:val="16"/>
              </w:rPr>
              <w:t>2</w:t>
            </w:r>
          </w:p>
        </w:tc>
        <w:tc>
          <w:tcPr>
            <w:tcW w:w="4788" w:type="dxa"/>
            <w:tcBorders>
              <w:top w:val="nil"/>
              <w:left w:val="nil"/>
              <w:bottom w:val="nil"/>
              <w:right w:val="nil"/>
            </w:tcBorders>
            <w:shd w:val="clear" w:color="auto" w:fill="D9D9D9" w:themeFill="background1" w:themeFillShade="D9"/>
            <w:vAlign w:val="center"/>
            <w:hideMark/>
          </w:tcPr>
          <w:p w:rsidR="004E0933" w:rsidRPr="006325A0" w:rsidRDefault="004E0933" w:rsidP="0054537C">
            <w:pPr>
              <w:rPr>
                <w:rFonts w:ascii="Arial Narrow" w:hAnsi="Arial Narrow"/>
                <w:b/>
                <w:bCs/>
                <w:sz w:val="16"/>
                <w:szCs w:val="16"/>
                <w:highlight w:val="yellow"/>
              </w:rPr>
            </w:pPr>
            <w:r w:rsidRPr="006325A0">
              <w:rPr>
                <w:rFonts w:ascii="Arial Narrow" w:hAnsi="Arial Narrow"/>
                <w:b/>
                <w:bCs/>
                <w:sz w:val="16"/>
                <w:szCs w:val="16"/>
              </w:rPr>
              <w:t xml:space="preserve">Υπουργείο Εθνικής Άμυνας </w:t>
            </w:r>
          </w:p>
        </w:tc>
        <w:tc>
          <w:tcPr>
            <w:tcW w:w="1701" w:type="dxa"/>
            <w:tcBorders>
              <w:top w:val="nil"/>
              <w:left w:val="nil"/>
              <w:bottom w:val="nil"/>
              <w:right w:val="nil"/>
            </w:tcBorders>
            <w:shd w:val="clear" w:color="auto" w:fill="D9D9D9" w:themeFill="background1" w:themeFillShade="D9"/>
            <w:vAlign w:val="bottom"/>
            <w:hideMark/>
          </w:tcPr>
          <w:p w:rsidR="004E0933" w:rsidRPr="005E50F5" w:rsidRDefault="004E0933" w:rsidP="004E0933">
            <w:pPr>
              <w:ind w:right="602"/>
              <w:jc w:val="right"/>
              <w:rPr>
                <w:rFonts w:ascii="Arial Narrow" w:hAnsi="Arial Narrow"/>
                <w:b/>
                <w:bCs/>
                <w:color w:val="000000"/>
                <w:sz w:val="16"/>
                <w:szCs w:val="16"/>
              </w:rPr>
            </w:pPr>
            <w:r w:rsidRPr="005E50F5">
              <w:rPr>
                <w:rFonts w:ascii="Arial Narrow" w:hAnsi="Arial Narrow"/>
                <w:b/>
                <w:bCs/>
                <w:color w:val="000000"/>
                <w:sz w:val="16"/>
                <w:szCs w:val="16"/>
              </w:rPr>
              <w:t>47</w:t>
            </w:r>
          </w:p>
        </w:tc>
        <w:tc>
          <w:tcPr>
            <w:tcW w:w="1559" w:type="dxa"/>
            <w:tcBorders>
              <w:top w:val="nil"/>
              <w:left w:val="nil"/>
              <w:bottom w:val="nil"/>
              <w:right w:val="single" w:sz="4" w:space="0" w:color="auto"/>
            </w:tcBorders>
            <w:shd w:val="clear" w:color="auto" w:fill="D9D9D9" w:themeFill="background1" w:themeFillShade="D9"/>
            <w:vAlign w:val="bottom"/>
            <w:hideMark/>
          </w:tcPr>
          <w:p w:rsidR="004E0933" w:rsidRPr="005E50F5" w:rsidRDefault="004E0933" w:rsidP="004E0933">
            <w:pPr>
              <w:ind w:right="602"/>
              <w:jc w:val="right"/>
              <w:rPr>
                <w:rFonts w:ascii="Arial Narrow" w:hAnsi="Arial Narrow"/>
                <w:b/>
                <w:bCs/>
                <w:color w:val="000000"/>
                <w:sz w:val="16"/>
                <w:szCs w:val="16"/>
              </w:rPr>
            </w:pPr>
            <w:r w:rsidRPr="005E50F5">
              <w:rPr>
                <w:rFonts w:ascii="Arial Narrow" w:hAnsi="Arial Narrow"/>
                <w:b/>
                <w:bCs/>
                <w:color w:val="000000"/>
                <w:sz w:val="16"/>
                <w:szCs w:val="16"/>
              </w:rPr>
              <w:t>34</w:t>
            </w:r>
          </w:p>
        </w:tc>
      </w:tr>
      <w:tr w:rsidR="004E0933" w:rsidRPr="006325A0" w:rsidTr="0054537C">
        <w:trPr>
          <w:trHeight w:val="198"/>
          <w:jc w:val="center"/>
        </w:trPr>
        <w:tc>
          <w:tcPr>
            <w:tcW w:w="462" w:type="dxa"/>
            <w:tcBorders>
              <w:top w:val="nil"/>
              <w:left w:val="single" w:sz="4" w:space="0" w:color="auto"/>
              <w:bottom w:val="nil"/>
              <w:right w:val="nil"/>
            </w:tcBorders>
            <w:hideMark/>
          </w:tcPr>
          <w:p w:rsidR="004E0933" w:rsidRPr="006325A0" w:rsidRDefault="004E0933" w:rsidP="0054537C">
            <w:pPr>
              <w:rPr>
                <w:rFonts w:ascii="Arial Narrow" w:eastAsiaTheme="minorEastAsia" w:hAnsi="Arial Narrow" w:cstheme="minorBidi"/>
                <w:sz w:val="16"/>
                <w:szCs w:val="16"/>
              </w:rPr>
            </w:pPr>
          </w:p>
        </w:tc>
        <w:tc>
          <w:tcPr>
            <w:tcW w:w="4788" w:type="dxa"/>
            <w:tcBorders>
              <w:top w:val="nil"/>
              <w:left w:val="nil"/>
              <w:bottom w:val="nil"/>
              <w:right w:val="nil"/>
            </w:tcBorders>
            <w:vAlign w:val="center"/>
            <w:hideMark/>
          </w:tcPr>
          <w:p w:rsidR="004E0933" w:rsidRPr="006325A0" w:rsidRDefault="004E0933" w:rsidP="0054537C">
            <w:pPr>
              <w:rPr>
                <w:rFonts w:ascii="Arial Narrow" w:hAnsi="Arial Narrow"/>
                <w:i/>
                <w:iCs/>
                <w:sz w:val="16"/>
                <w:szCs w:val="16"/>
              </w:rPr>
            </w:pPr>
            <w:r w:rsidRPr="006325A0">
              <w:rPr>
                <w:rFonts w:ascii="Arial Narrow" w:hAnsi="Arial Narrow"/>
                <w:i/>
                <w:iCs/>
                <w:sz w:val="16"/>
                <w:szCs w:val="16"/>
              </w:rPr>
              <w:t>Ισοζύγιο</w:t>
            </w:r>
          </w:p>
        </w:tc>
        <w:tc>
          <w:tcPr>
            <w:tcW w:w="1701" w:type="dxa"/>
            <w:tcBorders>
              <w:top w:val="nil"/>
              <w:left w:val="nil"/>
              <w:bottom w:val="nil"/>
              <w:right w:val="nil"/>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9</w:t>
            </w:r>
          </w:p>
        </w:tc>
        <w:tc>
          <w:tcPr>
            <w:tcW w:w="1559" w:type="dxa"/>
            <w:tcBorders>
              <w:top w:val="nil"/>
              <w:left w:val="nil"/>
              <w:bottom w:val="nil"/>
              <w:right w:val="single" w:sz="4" w:space="0" w:color="auto"/>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-2</w:t>
            </w:r>
          </w:p>
        </w:tc>
      </w:tr>
      <w:tr w:rsidR="004E0933" w:rsidRPr="006325A0" w:rsidTr="0054537C">
        <w:trPr>
          <w:trHeight w:val="198"/>
          <w:jc w:val="center"/>
        </w:trPr>
        <w:tc>
          <w:tcPr>
            <w:tcW w:w="462" w:type="dxa"/>
            <w:tcBorders>
              <w:top w:val="nil"/>
              <w:left w:val="single" w:sz="4" w:space="0" w:color="auto"/>
              <w:bottom w:val="nil"/>
              <w:right w:val="nil"/>
            </w:tcBorders>
            <w:hideMark/>
          </w:tcPr>
          <w:p w:rsidR="004E0933" w:rsidRPr="006325A0" w:rsidRDefault="004E0933" w:rsidP="0054537C">
            <w:pPr>
              <w:rPr>
                <w:rFonts w:ascii="Arial Narrow" w:eastAsiaTheme="minorEastAsia" w:hAnsi="Arial Narrow" w:cstheme="minorBidi"/>
                <w:sz w:val="16"/>
                <w:szCs w:val="16"/>
              </w:rPr>
            </w:pPr>
          </w:p>
        </w:tc>
        <w:tc>
          <w:tcPr>
            <w:tcW w:w="4788" w:type="dxa"/>
            <w:tcBorders>
              <w:top w:val="nil"/>
              <w:left w:val="nil"/>
              <w:bottom w:val="nil"/>
              <w:right w:val="nil"/>
            </w:tcBorders>
            <w:vAlign w:val="center"/>
            <w:hideMark/>
          </w:tcPr>
          <w:p w:rsidR="004E0933" w:rsidRPr="006325A0" w:rsidRDefault="004E0933" w:rsidP="0054537C">
            <w:pPr>
              <w:rPr>
                <w:rFonts w:ascii="Arial Narrow" w:hAnsi="Arial Narrow"/>
                <w:i/>
                <w:iCs/>
                <w:sz w:val="16"/>
                <w:szCs w:val="16"/>
              </w:rPr>
            </w:pPr>
            <w:r w:rsidRPr="006325A0">
              <w:rPr>
                <w:rFonts w:ascii="Arial Narrow" w:hAnsi="Arial Narrow"/>
                <w:i/>
                <w:iCs/>
                <w:sz w:val="16"/>
                <w:szCs w:val="16"/>
              </w:rPr>
              <w:t xml:space="preserve">Εθνικολογιστικές </w:t>
            </w:r>
            <w:r>
              <w:rPr>
                <w:rFonts w:ascii="Arial Narrow" w:hAnsi="Arial Narrow"/>
                <w:i/>
                <w:iCs/>
                <w:sz w:val="16"/>
                <w:szCs w:val="16"/>
              </w:rPr>
              <w:t>π</w:t>
            </w:r>
            <w:r w:rsidRPr="006325A0">
              <w:rPr>
                <w:rFonts w:ascii="Arial Narrow" w:hAnsi="Arial Narrow"/>
                <w:i/>
                <w:iCs/>
                <w:sz w:val="16"/>
                <w:szCs w:val="16"/>
              </w:rPr>
              <w:t>ροσαρμογές</w:t>
            </w:r>
          </w:p>
        </w:tc>
        <w:tc>
          <w:tcPr>
            <w:tcW w:w="1701" w:type="dxa"/>
            <w:tcBorders>
              <w:top w:val="nil"/>
              <w:left w:val="nil"/>
              <w:bottom w:val="nil"/>
              <w:right w:val="nil"/>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37</w:t>
            </w:r>
          </w:p>
        </w:tc>
        <w:tc>
          <w:tcPr>
            <w:tcW w:w="1559" w:type="dxa"/>
            <w:tcBorders>
              <w:top w:val="nil"/>
              <w:left w:val="nil"/>
              <w:bottom w:val="nil"/>
              <w:right w:val="single" w:sz="4" w:space="0" w:color="auto"/>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36</w:t>
            </w:r>
          </w:p>
        </w:tc>
      </w:tr>
      <w:tr w:rsidR="004E0933" w:rsidRPr="006325A0" w:rsidTr="0054537C">
        <w:trPr>
          <w:trHeight w:val="198"/>
          <w:jc w:val="center"/>
        </w:trPr>
        <w:tc>
          <w:tcPr>
            <w:tcW w:w="462" w:type="dxa"/>
            <w:tcBorders>
              <w:top w:val="nil"/>
              <w:left w:val="single" w:sz="4" w:space="0" w:color="auto"/>
              <w:bottom w:val="nil"/>
              <w:right w:val="nil"/>
            </w:tcBorders>
            <w:shd w:val="clear" w:color="auto" w:fill="D9D9D9" w:themeFill="background1" w:themeFillShade="D9"/>
            <w:hideMark/>
          </w:tcPr>
          <w:p w:rsidR="004E0933" w:rsidRPr="006325A0" w:rsidRDefault="008F2982" w:rsidP="0054537C">
            <w:pPr>
              <w:jc w:val="center"/>
              <w:rPr>
                <w:rFonts w:ascii="Arial Narrow" w:hAnsi="Arial Narrow" w:cs="Segoe UI"/>
                <w:b/>
                <w:bCs/>
                <w:sz w:val="16"/>
                <w:szCs w:val="16"/>
              </w:rPr>
            </w:pPr>
            <w:r>
              <w:rPr>
                <w:rFonts w:ascii="Arial Narrow" w:hAnsi="Arial Narrow" w:cs="Segoe UI"/>
                <w:b/>
                <w:bCs/>
                <w:sz w:val="16"/>
                <w:szCs w:val="16"/>
              </w:rPr>
              <w:t>3</w:t>
            </w:r>
          </w:p>
        </w:tc>
        <w:tc>
          <w:tcPr>
            <w:tcW w:w="4788" w:type="dxa"/>
            <w:tcBorders>
              <w:top w:val="nil"/>
              <w:left w:val="nil"/>
              <w:bottom w:val="nil"/>
              <w:right w:val="nil"/>
            </w:tcBorders>
            <w:shd w:val="clear" w:color="auto" w:fill="D9D9D9" w:themeFill="background1" w:themeFillShade="D9"/>
            <w:vAlign w:val="center"/>
            <w:hideMark/>
          </w:tcPr>
          <w:p w:rsidR="004E0933" w:rsidRPr="006325A0" w:rsidRDefault="004E0933" w:rsidP="0054537C">
            <w:pPr>
              <w:rPr>
                <w:rFonts w:ascii="Arial Narrow" w:hAnsi="Arial Narrow"/>
                <w:b/>
                <w:bCs/>
                <w:sz w:val="16"/>
                <w:szCs w:val="16"/>
              </w:rPr>
            </w:pPr>
            <w:r w:rsidRPr="006325A0">
              <w:rPr>
                <w:rFonts w:ascii="Arial Narrow" w:hAnsi="Arial Narrow"/>
                <w:b/>
                <w:bCs/>
                <w:sz w:val="16"/>
                <w:szCs w:val="16"/>
              </w:rPr>
              <w:t xml:space="preserve">Υπουργείο Υγείας </w:t>
            </w:r>
          </w:p>
        </w:tc>
        <w:tc>
          <w:tcPr>
            <w:tcW w:w="1701" w:type="dxa"/>
            <w:tcBorders>
              <w:top w:val="nil"/>
              <w:left w:val="nil"/>
              <w:bottom w:val="nil"/>
              <w:right w:val="nil"/>
            </w:tcBorders>
            <w:shd w:val="clear" w:color="auto" w:fill="D9D9D9" w:themeFill="background1" w:themeFillShade="D9"/>
            <w:vAlign w:val="bottom"/>
            <w:hideMark/>
          </w:tcPr>
          <w:p w:rsidR="004E0933" w:rsidRPr="005E50F5" w:rsidRDefault="004E0933" w:rsidP="004E0933">
            <w:pPr>
              <w:ind w:right="602"/>
              <w:jc w:val="right"/>
              <w:rPr>
                <w:rFonts w:ascii="Arial Narrow" w:hAnsi="Arial Narrow"/>
                <w:b/>
                <w:bCs/>
                <w:color w:val="000000"/>
                <w:sz w:val="16"/>
                <w:szCs w:val="16"/>
              </w:rPr>
            </w:pPr>
            <w:r w:rsidRPr="005E50F5">
              <w:rPr>
                <w:rFonts w:ascii="Arial Narrow" w:hAnsi="Arial Narrow"/>
                <w:b/>
                <w:bCs/>
                <w:color w:val="000000"/>
                <w:sz w:val="16"/>
                <w:szCs w:val="16"/>
              </w:rPr>
              <w:t>9</w:t>
            </w:r>
          </w:p>
        </w:tc>
        <w:tc>
          <w:tcPr>
            <w:tcW w:w="1559" w:type="dxa"/>
            <w:tcBorders>
              <w:top w:val="nil"/>
              <w:left w:val="nil"/>
              <w:bottom w:val="nil"/>
              <w:right w:val="single" w:sz="4" w:space="0" w:color="auto"/>
            </w:tcBorders>
            <w:shd w:val="clear" w:color="auto" w:fill="D9D9D9" w:themeFill="background1" w:themeFillShade="D9"/>
            <w:vAlign w:val="bottom"/>
            <w:hideMark/>
          </w:tcPr>
          <w:p w:rsidR="004E0933" w:rsidRPr="005E50F5" w:rsidRDefault="004E0933" w:rsidP="004E0933">
            <w:pPr>
              <w:ind w:right="602"/>
              <w:jc w:val="right"/>
              <w:rPr>
                <w:rFonts w:ascii="Arial Narrow" w:hAnsi="Arial Narrow"/>
                <w:b/>
                <w:bCs/>
                <w:color w:val="000000"/>
                <w:sz w:val="16"/>
                <w:szCs w:val="16"/>
              </w:rPr>
            </w:pPr>
            <w:r w:rsidRPr="005E50F5">
              <w:rPr>
                <w:rFonts w:ascii="Arial Narrow" w:hAnsi="Arial Narrow"/>
                <w:b/>
                <w:bCs/>
                <w:color w:val="000000"/>
                <w:sz w:val="16"/>
                <w:szCs w:val="16"/>
              </w:rPr>
              <w:t>1</w:t>
            </w:r>
          </w:p>
        </w:tc>
      </w:tr>
      <w:tr w:rsidR="004E0933" w:rsidRPr="006325A0" w:rsidTr="0054537C">
        <w:trPr>
          <w:trHeight w:val="198"/>
          <w:jc w:val="center"/>
        </w:trPr>
        <w:tc>
          <w:tcPr>
            <w:tcW w:w="462" w:type="dxa"/>
            <w:tcBorders>
              <w:top w:val="nil"/>
              <w:left w:val="single" w:sz="4" w:space="0" w:color="auto"/>
              <w:bottom w:val="nil"/>
              <w:right w:val="nil"/>
            </w:tcBorders>
            <w:hideMark/>
          </w:tcPr>
          <w:p w:rsidR="004E0933" w:rsidRPr="006325A0" w:rsidRDefault="004E0933" w:rsidP="0054537C">
            <w:pPr>
              <w:rPr>
                <w:rFonts w:ascii="Arial Narrow" w:eastAsiaTheme="minorEastAsia" w:hAnsi="Arial Narrow" w:cstheme="minorBidi"/>
                <w:sz w:val="16"/>
                <w:szCs w:val="16"/>
              </w:rPr>
            </w:pPr>
          </w:p>
        </w:tc>
        <w:tc>
          <w:tcPr>
            <w:tcW w:w="4788" w:type="dxa"/>
            <w:tcBorders>
              <w:top w:val="nil"/>
              <w:left w:val="nil"/>
              <w:bottom w:val="nil"/>
              <w:right w:val="nil"/>
            </w:tcBorders>
            <w:vAlign w:val="center"/>
            <w:hideMark/>
          </w:tcPr>
          <w:p w:rsidR="004E0933" w:rsidRPr="006325A0" w:rsidRDefault="004E0933" w:rsidP="0054537C">
            <w:pPr>
              <w:rPr>
                <w:rFonts w:ascii="Arial Narrow" w:hAnsi="Arial Narrow"/>
                <w:i/>
                <w:iCs/>
                <w:sz w:val="16"/>
                <w:szCs w:val="16"/>
              </w:rPr>
            </w:pPr>
            <w:r w:rsidRPr="006325A0">
              <w:rPr>
                <w:rFonts w:ascii="Arial Narrow" w:hAnsi="Arial Narrow"/>
                <w:i/>
                <w:iCs/>
                <w:sz w:val="16"/>
                <w:szCs w:val="16"/>
              </w:rPr>
              <w:t>Ισοζύγιο</w:t>
            </w:r>
          </w:p>
        </w:tc>
        <w:tc>
          <w:tcPr>
            <w:tcW w:w="1701" w:type="dxa"/>
            <w:tcBorders>
              <w:top w:val="nil"/>
              <w:left w:val="nil"/>
              <w:bottom w:val="nil"/>
              <w:right w:val="nil"/>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9</w:t>
            </w:r>
          </w:p>
        </w:tc>
        <w:tc>
          <w:tcPr>
            <w:tcW w:w="1559" w:type="dxa"/>
            <w:tcBorders>
              <w:top w:val="nil"/>
              <w:left w:val="nil"/>
              <w:bottom w:val="nil"/>
              <w:right w:val="single" w:sz="4" w:space="0" w:color="auto"/>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1</w:t>
            </w:r>
          </w:p>
        </w:tc>
      </w:tr>
      <w:tr w:rsidR="004E0933" w:rsidRPr="006325A0" w:rsidTr="0054537C">
        <w:trPr>
          <w:trHeight w:val="198"/>
          <w:jc w:val="center"/>
        </w:trPr>
        <w:tc>
          <w:tcPr>
            <w:tcW w:w="462" w:type="dxa"/>
            <w:tcBorders>
              <w:top w:val="nil"/>
              <w:left w:val="single" w:sz="4" w:space="0" w:color="auto"/>
              <w:bottom w:val="nil"/>
              <w:right w:val="nil"/>
            </w:tcBorders>
            <w:hideMark/>
          </w:tcPr>
          <w:p w:rsidR="004E0933" w:rsidRPr="006325A0" w:rsidRDefault="004E0933" w:rsidP="0054537C">
            <w:pPr>
              <w:rPr>
                <w:rFonts w:ascii="Arial Narrow" w:eastAsiaTheme="minorEastAsia" w:hAnsi="Arial Narrow" w:cstheme="minorBidi"/>
                <w:sz w:val="16"/>
                <w:szCs w:val="16"/>
              </w:rPr>
            </w:pPr>
          </w:p>
        </w:tc>
        <w:tc>
          <w:tcPr>
            <w:tcW w:w="4788" w:type="dxa"/>
            <w:tcBorders>
              <w:top w:val="nil"/>
              <w:left w:val="nil"/>
              <w:bottom w:val="nil"/>
              <w:right w:val="nil"/>
            </w:tcBorders>
            <w:vAlign w:val="center"/>
            <w:hideMark/>
          </w:tcPr>
          <w:p w:rsidR="004E0933" w:rsidRPr="006325A0" w:rsidRDefault="004E0933" w:rsidP="0054537C">
            <w:pPr>
              <w:rPr>
                <w:rFonts w:ascii="Arial Narrow" w:hAnsi="Arial Narrow"/>
                <w:i/>
                <w:iCs/>
                <w:sz w:val="16"/>
                <w:szCs w:val="16"/>
              </w:rPr>
            </w:pPr>
            <w:r w:rsidRPr="006325A0">
              <w:rPr>
                <w:rFonts w:ascii="Arial Narrow" w:hAnsi="Arial Narrow"/>
                <w:i/>
                <w:iCs/>
                <w:sz w:val="16"/>
                <w:szCs w:val="16"/>
              </w:rPr>
              <w:t>Εθνικολογιστικές προσαρμογές</w:t>
            </w:r>
          </w:p>
        </w:tc>
        <w:tc>
          <w:tcPr>
            <w:tcW w:w="1701" w:type="dxa"/>
            <w:tcBorders>
              <w:top w:val="nil"/>
              <w:left w:val="nil"/>
              <w:bottom w:val="nil"/>
              <w:right w:val="nil"/>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0</w:t>
            </w:r>
          </w:p>
        </w:tc>
        <w:tc>
          <w:tcPr>
            <w:tcW w:w="1559" w:type="dxa"/>
            <w:tcBorders>
              <w:top w:val="nil"/>
              <w:left w:val="nil"/>
              <w:bottom w:val="nil"/>
              <w:right w:val="single" w:sz="4" w:space="0" w:color="auto"/>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0</w:t>
            </w:r>
          </w:p>
        </w:tc>
      </w:tr>
      <w:tr w:rsidR="004E0933" w:rsidRPr="006325A0" w:rsidTr="0054537C">
        <w:trPr>
          <w:trHeight w:val="198"/>
          <w:jc w:val="center"/>
        </w:trPr>
        <w:tc>
          <w:tcPr>
            <w:tcW w:w="462" w:type="dxa"/>
            <w:tcBorders>
              <w:top w:val="nil"/>
              <w:left w:val="single" w:sz="4" w:space="0" w:color="auto"/>
              <w:bottom w:val="nil"/>
              <w:right w:val="nil"/>
            </w:tcBorders>
            <w:shd w:val="clear" w:color="auto" w:fill="D9D9D9" w:themeFill="background1" w:themeFillShade="D9"/>
            <w:hideMark/>
          </w:tcPr>
          <w:p w:rsidR="004E0933" w:rsidRPr="006325A0" w:rsidRDefault="008F2982" w:rsidP="0054537C">
            <w:pPr>
              <w:jc w:val="center"/>
              <w:rPr>
                <w:rFonts w:ascii="Arial Narrow" w:hAnsi="Arial Narrow" w:cs="Segoe UI"/>
                <w:b/>
                <w:bCs/>
                <w:sz w:val="16"/>
                <w:szCs w:val="16"/>
              </w:rPr>
            </w:pPr>
            <w:r>
              <w:rPr>
                <w:rFonts w:ascii="Arial Narrow" w:hAnsi="Arial Narrow" w:cs="Segoe UI"/>
                <w:b/>
                <w:bCs/>
                <w:sz w:val="16"/>
                <w:szCs w:val="16"/>
              </w:rPr>
              <w:t>4</w:t>
            </w:r>
          </w:p>
        </w:tc>
        <w:tc>
          <w:tcPr>
            <w:tcW w:w="4788" w:type="dxa"/>
            <w:tcBorders>
              <w:top w:val="nil"/>
              <w:left w:val="nil"/>
              <w:bottom w:val="nil"/>
              <w:right w:val="nil"/>
            </w:tcBorders>
            <w:shd w:val="clear" w:color="auto" w:fill="D9D9D9" w:themeFill="background1" w:themeFillShade="D9"/>
            <w:vAlign w:val="center"/>
            <w:hideMark/>
          </w:tcPr>
          <w:p w:rsidR="004E0933" w:rsidRPr="006325A0" w:rsidRDefault="004E0933" w:rsidP="0054537C">
            <w:pPr>
              <w:rPr>
                <w:rFonts w:ascii="Arial Narrow" w:hAnsi="Arial Narrow"/>
                <w:b/>
                <w:bCs/>
                <w:sz w:val="16"/>
                <w:szCs w:val="16"/>
              </w:rPr>
            </w:pPr>
            <w:r w:rsidRPr="006325A0">
              <w:rPr>
                <w:rFonts w:ascii="Arial Narrow" w:hAnsi="Arial Narrow"/>
                <w:b/>
                <w:bCs/>
                <w:sz w:val="16"/>
                <w:szCs w:val="16"/>
              </w:rPr>
              <w:t>Υπουργείο Οικονομικών</w:t>
            </w:r>
          </w:p>
        </w:tc>
        <w:tc>
          <w:tcPr>
            <w:tcW w:w="1701" w:type="dxa"/>
            <w:tcBorders>
              <w:top w:val="nil"/>
              <w:left w:val="nil"/>
              <w:bottom w:val="nil"/>
              <w:right w:val="nil"/>
            </w:tcBorders>
            <w:shd w:val="clear" w:color="auto" w:fill="D9D9D9" w:themeFill="background1" w:themeFillShade="D9"/>
            <w:vAlign w:val="bottom"/>
            <w:hideMark/>
          </w:tcPr>
          <w:p w:rsidR="004E0933" w:rsidRPr="005E50F5" w:rsidRDefault="004E0933" w:rsidP="004E0933">
            <w:pPr>
              <w:ind w:right="602"/>
              <w:jc w:val="right"/>
              <w:rPr>
                <w:rFonts w:ascii="Arial Narrow" w:hAnsi="Arial Narrow"/>
                <w:b/>
                <w:bCs/>
                <w:color w:val="000000"/>
                <w:sz w:val="16"/>
                <w:szCs w:val="16"/>
              </w:rPr>
            </w:pPr>
            <w:r w:rsidRPr="005E50F5">
              <w:rPr>
                <w:rFonts w:ascii="Arial Narrow" w:hAnsi="Arial Narrow"/>
                <w:b/>
                <w:bCs/>
                <w:color w:val="000000"/>
                <w:sz w:val="16"/>
                <w:szCs w:val="16"/>
              </w:rPr>
              <w:t>19</w:t>
            </w:r>
          </w:p>
        </w:tc>
        <w:tc>
          <w:tcPr>
            <w:tcW w:w="1559" w:type="dxa"/>
            <w:tcBorders>
              <w:top w:val="nil"/>
              <w:left w:val="nil"/>
              <w:bottom w:val="nil"/>
              <w:right w:val="single" w:sz="4" w:space="0" w:color="auto"/>
            </w:tcBorders>
            <w:shd w:val="clear" w:color="auto" w:fill="D9D9D9" w:themeFill="background1" w:themeFillShade="D9"/>
            <w:vAlign w:val="bottom"/>
            <w:hideMark/>
          </w:tcPr>
          <w:p w:rsidR="004E0933" w:rsidRPr="005E50F5" w:rsidRDefault="004E0933" w:rsidP="004E0933">
            <w:pPr>
              <w:ind w:right="602"/>
              <w:jc w:val="right"/>
              <w:rPr>
                <w:rFonts w:ascii="Arial Narrow" w:hAnsi="Arial Narrow"/>
                <w:b/>
                <w:bCs/>
                <w:color w:val="000000"/>
                <w:sz w:val="16"/>
                <w:szCs w:val="16"/>
              </w:rPr>
            </w:pPr>
            <w:r w:rsidRPr="005E50F5">
              <w:rPr>
                <w:rFonts w:ascii="Arial Narrow" w:hAnsi="Arial Narrow"/>
                <w:b/>
                <w:bCs/>
                <w:color w:val="000000"/>
                <w:sz w:val="16"/>
                <w:szCs w:val="16"/>
              </w:rPr>
              <w:t>1</w:t>
            </w:r>
          </w:p>
        </w:tc>
      </w:tr>
      <w:tr w:rsidR="004E0933" w:rsidRPr="006325A0" w:rsidTr="0054537C">
        <w:trPr>
          <w:trHeight w:val="198"/>
          <w:jc w:val="center"/>
        </w:trPr>
        <w:tc>
          <w:tcPr>
            <w:tcW w:w="462" w:type="dxa"/>
            <w:tcBorders>
              <w:top w:val="nil"/>
              <w:left w:val="single" w:sz="4" w:space="0" w:color="auto"/>
              <w:bottom w:val="nil"/>
              <w:right w:val="nil"/>
            </w:tcBorders>
            <w:hideMark/>
          </w:tcPr>
          <w:p w:rsidR="004E0933" w:rsidRPr="006325A0" w:rsidRDefault="004E0933" w:rsidP="0054537C">
            <w:pPr>
              <w:rPr>
                <w:rFonts w:ascii="Arial Narrow" w:eastAsiaTheme="minorEastAsia" w:hAnsi="Arial Narrow" w:cstheme="minorBidi"/>
                <w:sz w:val="16"/>
                <w:szCs w:val="16"/>
              </w:rPr>
            </w:pPr>
          </w:p>
        </w:tc>
        <w:tc>
          <w:tcPr>
            <w:tcW w:w="4788" w:type="dxa"/>
            <w:tcBorders>
              <w:top w:val="nil"/>
              <w:left w:val="nil"/>
              <w:bottom w:val="nil"/>
              <w:right w:val="nil"/>
            </w:tcBorders>
            <w:vAlign w:val="center"/>
            <w:hideMark/>
          </w:tcPr>
          <w:p w:rsidR="004E0933" w:rsidRPr="006325A0" w:rsidRDefault="004E0933" w:rsidP="0054537C">
            <w:pPr>
              <w:rPr>
                <w:rFonts w:ascii="Arial Narrow" w:hAnsi="Arial Narrow"/>
                <w:i/>
                <w:iCs/>
                <w:sz w:val="16"/>
                <w:szCs w:val="16"/>
              </w:rPr>
            </w:pPr>
            <w:r w:rsidRPr="006325A0">
              <w:rPr>
                <w:rFonts w:ascii="Arial Narrow" w:hAnsi="Arial Narrow"/>
                <w:i/>
                <w:iCs/>
                <w:sz w:val="16"/>
                <w:szCs w:val="16"/>
              </w:rPr>
              <w:t>Ισοζύγιο</w:t>
            </w:r>
          </w:p>
        </w:tc>
        <w:tc>
          <w:tcPr>
            <w:tcW w:w="1701" w:type="dxa"/>
            <w:tcBorders>
              <w:top w:val="nil"/>
              <w:left w:val="nil"/>
              <w:bottom w:val="nil"/>
              <w:right w:val="nil"/>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19</w:t>
            </w:r>
          </w:p>
        </w:tc>
        <w:tc>
          <w:tcPr>
            <w:tcW w:w="1559" w:type="dxa"/>
            <w:tcBorders>
              <w:top w:val="nil"/>
              <w:left w:val="nil"/>
              <w:bottom w:val="nil"/>
              <w:right w:val="single" w:sz="4" w:space="0" w:color="auto"/>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1</w:t>
            </w:r>
          </w:p>
        </w:tc>
      </w:tr>
      <w:tr w:rsidR="004E0933" w:rsidRPr="006325A0" w:rsidTr="0054537C">
        <w:trPr>
          <w:trHeight w:val="198"/>
          <w:jc w:val="center"/>
        </w:trPr>
        <w:tc>
          <w:tcPr>
            <w:tcW w:w="462" w:type="dxa"/>
            <w:tcBorders>
              <w:top w:val="nil"/>
              <w:left w:val="single" w:sz="4" w:space="0" w:color="auto"/>
              <w:bottom w:val="nil"/>
              <w:right w:val="nil"/>
            </w:tcBorders>
            <w:hideMark/>
          </w:tcPr>
          <w:p w:rsidR="004E0933" w:rsidRPr="006325A0" w:rsidRDefault="004E0933" w:rsidP="0054537C">
            <w:pPr>
              <w:rPr>
                <w:rFonts w:ascii="Arial Narrow" w:eastAsiaTheme="minorEastAsia" w:hAnsi="Arial Narrow" w:cstheme="minorBidi"/>
                <w:sz w:val="16"/>
                <w:szCs w:val="16"/>
              </w:rPr>
            </w:pPr>
          </w:p>
        </w:tc>
        <w:tc>
          <w:tcPr>
            <w:tcW w:w="4788" w:type="dxa"/>
            <w:tcBorders>
              <w:top w:val="nil"/>
              <w:left w:val="nil"/>
              <w:bottom w:val="nil"/>
              <w:right w:val="nil"/>
            </w:tcBorders>
            <w:vAlign w:val="center"/>
            <w:hideMark/>
          </w:tcPr>
          <w:p w:rsidR="004E0933" w:rsidRPr="006325A0" w:rsidRDefault="004E0933" w:rsidP="0054537C">
            <w:pPr>
              <w:rPr>
                <w:rFonts w:ascii="Arial Narrow" w:hAnsi="Arial Narrow"/>
                <w:i/>
                <w:iCs/>
                <w:sz w:val="16"/>
                <w:szCs w:val="16"/>
              </w:rPr>
            </w:pPr>
            <w:r w:rsidRPr="006325A0">
              <w:rPr>
                <w:rFonts w:ascii="Arial Narrow" w:hAnsi="Arial Narrow"/>
                <w:i/>
                <w:iCs/>
                <w:sz w:val="16"/>
                <w:szCs w:val="16"/>
              </w:rPr>
              <w:t>Εθνικολογιστικές προσαρμογές</w:t>
            </w:r>
          </w:p>
        </w:tc>
        <w:tc>
          <w:tcPr>
            <w:tcW w:w="1701" w:type="dxa"/>
            <w:tcBorders>
              <w:top w:val="nil"/>
              <w:left w:val="nil"/>
              <w:bottom w:val="nil"/>
              <w:right w:val="nil"/>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0</w:t>
            </w:r>
          </w:p>
        </w:tc>
        <w:tc>
          <w:tcPr>
            <w:tcW w:w="1559" w:type="dxa"/>
            <w:tcBorders>
              <w:top w:val="nil"/>
              <w:left w:val="nil"/>
              <w:bottom w:val="nil"/>
              <w:right w:val="single" w:sz="4" w:space="0" w:color="auto"/>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0</w:t>
            </w:r>
          </w:p>
        </w:tc>
      </w:tr>
      <w:tr w:rsidR="004E0933" w:rsidRPr="006325A0" w:rsidTr="0054537C">
        <w:trPr>
          <w:trHeight w:val="198"/>
          <w:jc w:val="center"/>
        </w:trPr>
        <w:tc>
          <w:tcPr>
            <w:tcW w:w="462" w:type="dxa"/>
            <w:tcBorders>
              <w:top w:val="nil"/>
              <w:left w:val="single" w:sz="4" w:space="0" w:color="auto"/>
              <w:bottom w:val="nil"/>
              <w:right w:val="nil"/>
            </w:tcBorders>
            <w:shd w:val="clear" w:color="auto" w:fill="D9D9D9" w:themeFill="background1" w:themeFillShade="D9"/>
            <w:hideMark/>
          </w:tcPr>
          <w:p w:rsidR="004E0933" w:rsidRPr="006325A0" w:rsidRDefault="008F2982" w:rsidP="0054537C">
            <w:pPr>
              <w:jc w:val="center"/>
              <w:rPr>
                <w:rFonts w:ascii="Arial Narrow" w:hAnsi="Arial Narrow" w:cs="Segoe UI"/>
                <w:b/>
                <w:bCs/>
                <w:sz w:val="16"/>
                <w:szCs w:val="16"/>
              </w:rPr>
            </w:pPr>
            <w:r>
              <w:rPr>
                <w:rFonts w:ascii="Arial Narrow" w:hAnsi="Arial Narrow" w:cs="Segoe UI"/>
                <w:b/>
                <w:bCs/>
                <w:sz w:val="16"/>
                <w:szCs w:val="16"/>
              </w:rPr>
              <w:t>5</w:t>
            </w:r>
          </w:p>
        </w:tc>
        <w:tc>
          <w:tcPr>
            <w:tcW w:w="4788" w:type="dxa"/>
            <w:tcBorders>
              <w:top w:val="nil"/>
              <w:left w:val="nil"/>
              <w:bottom w:val="nil"/>
              <w:right w:val="nil"/>
            </w:tcBorders>
            <w:shd w:val="clear" w:color="auto" w:fill="D9D9D9" w:themeFill="background1" w:themeFillShade="D9"/>
            <w:vAlign w:val="center"/>
            <w:hideMark/>
          </w:tcPr>
          <w:p w:rsidR="004E0933" w:rsidRPr="006325A0" w:rsidRDefault="004E0933" w:rsidP="0054537C">
            <w:pPr>
              <w:rPr>
                <w:rFonts w:ascii="Arial Narrow" w:hAnsi="Arial Narrow"/>
                <w:b/>
                <w:bCs/>
                <w:sz w:val="16"/>
                <w:szCs w:val="16"/>
              </w:rPr>
            </w:pPr>
            <w:r w:rsidRPr="006325A0">
              <w:rPr>
                <w:rFonts w:ascii="Arial Narrow" w:hAnsi="Arial Narrow"/>
                <w:b/>
                <w:bCs/>
                <w:sz w:val="16"/>
                <w:szCs w:val="16"/>
              </w:rPr>
              <w:t>Υπουργείο Αγροτικής Ανάπτυξης και Τροφίμων</w:t>
            </w:r>
          </w:p>
        </w:tc>
        <w:tc>
          <w:tcPr>
            <w:tcW w:w="1701" w:type="dxa"/>
            <w:tcBorders>
              <w:top w:val="nil"/>
              <w:left w:val="nil"/>
              <w:bottom w:val="nil"/>
              <w:right w:val="nil"/>
            </w:tcBorders>
            <w:shd w:val="clear" w:color="auto" w:fill="D9D9D9" w:themeFill="background1" w:themeFillShade="D9"/>
            <w:vAlign w:val="bottom"/>
            <w:hideMark/>
          </w:tcPr>
          <w:p w:rsidR="004E0933" w:rsidRPr="005E50F5" w:rsidRDefault="004E0933" w:rsidP="004E0933">
            <w:pPr>
              <w:ind w:right="602"/>
              <w:jc w:val="right"/>
              <w:rPr>
                <w:rFonts w:ascii="Arial Narrow" w:hAnsi="Arial Narrow"/>
                <w:b/>
                <w:bCs/>
                <w:color w:val="000000"/>
                <w:sz w:val="16"/>
                <w:szCs w:val="16"/>
              </w:rPr>
            </w:pPr>
            <w:r w:rsidRPr="005E50F5">
              <w:rPr>
                <w:rFonts w:ascii="Arial Narrow" w:hAnsi="Arial Narrow"/>
                <w:b/>
                <w:bCs/>
                <w:color w:val="000000"/>
                <w:sz w:val="16"/>
                <w:szCs w:val="16"/>
              </w:rPr>
              <w:t>349</w:t>
            </w:r>
          </w:p>
        </w:tc>
        <w:tc>
          <w:tcPr>
            <w:tcW w:w="1559" w:type="dxa"/>
            <w:tcBorders>
              <w:top w:val="nil"/>
              <w:left w:val="nil"/>
              <w:bottom w:val="nil"/>
              <w:right w:val="single" w:sz="4" w:space="0" w:color="auto"/>
            </w:tcBorders>
            <w:shd w:val="clear" w:color="auto" w:fill="D9D9D9" w:themeFill="background1" w:themeFillShade="D9"/>
            <w:vAlign w:val="bottom"/>
            <w:hideMark/>
          </w:tcPr>
          <w:p w:rsidR="004E0933" w:rsidRPr="005E50F5" w:rsidRDefault="004E0933" w:rsidP="004E0933">
            <w:pPr>
              <w:ind w:right="602"/>
              <w:jc w:val="right"/>
              <w:rPr>
                <w:rFonts w:ascii="Arial Narrow" w:hAnsi="Arial Narrow"/>
                <w:b/>
                <w:bCs/>
                <w:color w:val="000000"/>
                <w:sz w:val="16"/>
                <w:szCs w:val="16"/>
              </w:rPr>
            </w:pPr>
            <w:r w:rsidRPr="005E50F5">
              <w:rPr>
                <w:rFonts w:ascii="Arial Narrow" w:hAnsi="Arial Narrow"/>
                <w:b/>
                <w:bCs/>
                <w:color w:val="000000"/>
                <w:sz w:val="16"/>
                <w:szCs w:val="16"/>
              </w:rPr>
              <w:t>91</w:t>
            </w:r>
          </w:p>
        </w:tc>
      </w:tr>
      <w:tr w:rsidR="004E0933" w:rsidRPr="006325A0" w:rsidTr="0054537C">
        <w:trPr>
          <w:trHeight w:val="198"/>
          <w:jc w:val="center"/>
        </w:trPr>
        <w:tc>
          <w:tcPr>
            <w:tcW w:w="462" w:type="dxa"/>
            <w:tcBorders>
              <w:top w:val="nil"/>
              <w:left w:val="single" w:sz="4" w:space="0" w:color="auto"/>
              <w:bottom w:val="nil"/>
              <w:right w:val="nil"/>
            </w:tcBorders>
            <w:hideMark/>
          </w:tcPr>
          <w:p w:rsidR="004E0933" w:rsidRPr="006325A0" w:rsidRDefault="004E0933" w:rsidP="0054537C">
            <w:pPr>
              <w:rPr>
                <w:rFonts w:ascii="Arial Narrow" w:eastAsiaTheme="minorEastAsia" w:hAnsi="Arial Narrow" w:cstheme="minorBidi"/>
                <w:sz w:val="16"/>
                <w:szCs w:val="16"/>
              </w:rPr>
            </w:pPr>
          </w:p>
        </w:tc>
        <w:tc>
          <w:tcPr>
            <w:tcW w:w="4788" w:type="dxa"/>
            <w:tcBorders>
              <w:top w:val="nil"/>
              <w:left w:val="nil"/>
              <w:bottom w:val="nil"/>
              <w:right w:val="nil"/>
            </w:tcBorders>
            <w:vAlign w:val="center"/>
            <w:hideMark/>
          </w:tcPr>
          <w:p w:rsidR="004E0933" w:rsidRPr="006325A0" w:rsidRDefault="004E0933" w:rsidP="0054537C">
            <w:pPr>
              <w:rPr>
                <w:rFonts w:ascii="Arial Narrow" w:hAnsi="Arial Narrow"/>
                <w:i/>
                <w:iCs/>
                <w:sz w:val="16"/>
                <w:szCs w:val="16"/>
              </w:rPr>
            </w:pPr>
            <w:r w:rsidRPr="006325A0">
              <w:rPr>
                <w:rFonts w:ascii="Arial Narrow" w:hAnsi="Arial Narrow"/>
                <w:i/>
                <w:iCs/>
                <w:sz w:val="16"/>
                <w:szCs w:val="16"/>
              </w:rPr>
              <w:t>Ισοζύγιο</w:t>
            </w:r>
          </w:p>
        </w:tc>
        <w:tc>
          <w:tcPr>
            <w:tcW w:w="1701" w:type="dxa"/>
            <w:tcBorders>
              <w:top w:val="nil"/>
              <w:left w:val="nil"/>
              <w:bottom w:val="nil"/>
              <w:right w:val="nil"/>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349</w:t>
            </w:r>
          </w:p>
        </w:tc>
        <w:tc>
          <w:tcPr>
            <w:tcW w:w="1559" w:type="dxa"/>
            <w:tcBorders>
              <w:top w:val="nil"/>
              <w:left w:val="nil"/>
              <w:bottom w:val="nil"/>
              <w:right w:val="single" w:sz="4" w:space="0" w:color="auto"/>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91</w:t>
            </w:r>
          </w:p>
        </w:tc>
      </w:tr>
      <w:tr w:rsidR="004E0933" w:rsidRPr="006325A0" w:rsidTr="0054537C">
        <w:trPr>
          <w:trHeight w:val="198"/>
          <w:jc w:val="center"/>
        </w:trPr>
        <w:tc>
          <w:tcPr>
            <w:tcW w:w="462" w:type="dxa"/>
            <w:tcBorders>
              <w:top w:val="nil"/>
              <w:left w:val="single" w:sz="4" w:space="0" w:color="auto"/>
              <w:bottom w:val="nil"/>
              <w:right w:val="nil"/>
            </w:tcBorders>
            <w:hideMark/>
          </w:tcPr>
          <w:p w:rsidR="004E0933" w:rsidRPr="006325A0" w:rsidRDefault="004E0933" w:rsidP="0054537C">
            <w:pPr>
              <w:rPr>
                <w:rFonts w:ascii="Arial Narrow" w:eastAsiaTheme="minorEastAsia" w:hAnsi="Arial Narrow" w:cstheme="minorBidi"/>
                <w:sz w:val="16"/>
                <w:szCs w:val="16"/>
              </w:rPr>
            </w:pPr>
          </w:p>
        </w:tc>
        <w:tc>
          <w:tcPr>
            <w:tcW w:w="4788" w:type="dxa"/>
            <w:tcBorders>
              <w:top w:val="nil"/>
              <w:left w:val="nil"/>
              <w:bottom w:val="nil"/>
              <w:right w:val="nil"/>
            </w:tcBorders>
            <w:vAlign w:val="center"/>
            <w:hideMark/>
          </w:tcPr>
          <w:p w:rsidR="004E0933" w:rsidRPr="006325A0" w:rsidRDefault="004E0933" w:rsidP="0054537C">
            <w:pPr>
              <w:rPr>
                <w:rFonts w:ascii="Arial Narrow" w:hAnsi="Arial Narrow"/>
                <w:i/>
                <w:iCs/>
                <w:sz w:val="16"/>
                <w:szCs w:val="16"/>
              </w:rPr>
            </w:pPr>
            <w:r w:rsidRPr="006325A0">
              <w:rPr>
                <w:rFonts w:ascii="Arial Narrow" w:hAnsi="Arial Narrow"/>
                <w:i/>
                <w:iCs/>
                <w:sz w:val="16"/>
                <w:szCs w:val="16"/>
              </w:rPr>
              <w:t>Εθνικολογιστικές προσαρμογές</w:t>
            </w:r>
          </w:p>
        </w:tc>
        <w:tc>
          <w:tcPr>
            <w:tcW w:w="1701" w:type="dxa"/>
            <w:tcBorders>
              <w:top w:val="nil"/>
              <w:left w:val="nil"/>
              <w:bottom w:val="nil"/>
              <w:right w:val="nil"/>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0</w:t>
            </w:r>
          </w:p>
        </w:tc>
        <w:tc>
          <w:tcPr>
            <w:tcW w:w="1559" w:type="dxa"/>
            <w:tcBorders>
              <w:top w:val="nil"/>
              <w:left w:val="nil"/>
              <w:bottom w:val="nil"/>
              <w:right w:val="single" w:sz="4" w:space="0" w:color="auto"/>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0</w:t>
            </w:r>
          </w:p>
        </w:tc>
      </w:tr>
      <w:tr w:rsidR="004E0933" w:rsidRPr="006325A0" w:rsidTr="0054537C">
        <w:trPr>
          <w:trHeight w:val="198"/>
          <w:jc w:val="center"/>
        </w:trPr>
        <w:tc>
          <w:tcPr>
            <w:tcW w:w="462" w:type="dxa"/>
            <w:tcBorders>
              <w:top w:val="nil"/>
              <w:left w:val="single" w:sz="4" w:space="0" w:color="auto"/>
              <w:bottom w:val="nil"/>
              <w:right w:val="nil"/>
            </w:tcBorders>
            <w:shd w:val="clear" w:color="auto" w:fill="D9D9D9" w:themeFill="background1" w:themeFillShade="D9"/>
            <w:hideMark/>
          </w:tcPr>
          <w:p w:rsidR="004E0933" w:rsidRPr="006325A0" w:rsidRDefault="008F2982" w:rsidP="0054537C">
            <w:pPr>
              <w:jc w:val="center"/>
              <w:rPr>
                <w:rFonts w:ascii="Arial Narrow" w:hAnsi="Arial Narrow" w:cs="Segoe UI"/>
                <w:b/>
                <w:bCs/>
                <w:sz w:val="16"/>
                <w:szCs w:val="16"/>
              </w:rPr>
            </w:pPr>
            <w:r>
              <w:rPr>
                <w:rFonts w:ascii="Arial Narrow" w:hAnsi="Arial Narrow" w:cs="Segoe UI"/>
                <w:b/>
                <w:bCs/>
                <w:sz w:val="16"/>
                <w:szCs w:val="16"/>
              </w:rPr>
              <w:t>6</w:t>
            </w:r>
          </w:p>
        </w:tc>
        <w:tc>
          <w:tcPr>
            <w:tcW w:w="4788" w:type="dxa"/>
            <w:tcBorders>
              <w:top w:val="nil"/>
              <w:left w:val="nil"/>
              <w:bottom w:val="nil"/>
              <w:right w:val="nil"/>
            </w:tcBorders>
            <w:shd w:val="clear" w:color="auto" w:fill="D9D9D9" w:themeFill="background1" w:themeFillShade="D9"/>
            <w:vAlign w:val="center"/>
            <w:hideMark/>
          </w:tcPr>
          <w:p w:rsidR="004E0933" w:rsidRPr="006325A0" w:rsidRDefault="004E0933" w:rsidP="0054537C">
            <w:pPr>
              <w:rPr>
                <w:rFonts w:ascii="Arial Narrow" w:hAnsi="Arial Narrow"/>
                <w:b/>
                <w:bCs/>
                <w:sz w:val="16"/>
                <w:szCs w:val="16"/>
              </w:rPr>
            </w:pPr>
            <w:r w:rsidRPr="006325A0">
              <w:rPr>
                <w:rFonts w:ascii="Arial Narrow" w:hAnsi="Arial Narrow"/>
                <w:b/>
                <w:bCs/>
                <w:sz w:val="16"/>
                <w:szCs w:val="16"/>
              </w:rPr>
              <w:t xml:space="preserve">Υπουργείο Περιβάλλοντος και Ενέργειας </w:t>
            </w:r>
          </w:p>
        </w:tc>
        <w:tc>
          <w:tcPr>
            <w:tcW w:w="1701" w:type="dxa"/>
            <w:tcBorders>
              <w:top w:val="nil"/>
              <w:left w:val="nil"/>
              <w:bottom w:val="nil"/>
              <w:right w:val="nil"/>
            </w:tcBorders>
            <w:shd w:val="clear" w:color="auto" w:fill="D9D9D9" w:themeFill="background1" w:themeFillShade="D9"/>
            <w:vAlign w:val="bottom"/>
            <w:hideMark/>
          </w:tcPr>
          <w:p w:rsidR="004E0933" w:rsidRPr="005E50F5" w:rsidRDefault="004E0933" w:rsidP="004E0933">
            <w:pPr>
              <w:ind w:right="602"/>
              <w:jc w:val="right"/>
              <w:rPr>
                <w:rFonts w:ascii="Arial Narrow" w:hAnsi="Arial Narrow"/>
                <w:b/>
                <w:bCs/>
                <w:color w:val="000000"/>
                <w:sz w:val="16"/>
                <w:szCs w:val="16"/>
              </w:rPr>
            </w:pPr>
            <w:r w:rsidRPr="005E50F5">
              <w:rPr>
                <w:rFonts w:ascii="Arial Narrow" w:hAnsi="Arial Narrow"/>
                <w:b/>
                <w:bCs/>
                <w:color w:val="000000"/>
                <w:sz w:val="16"/>
                <w:szCs w:val="16"/>
              </w:rPr>
              <w:t>240</w:t>
            </w:r>
          </w:p>
        </w:tc>
        <w:tc>
          <w:tcPr>
            <w:tcW w:w="1559" w:type="dxa"/>
            <w:tcBorders>
              <w:top w:val="nil"/>
              <w:left w:val="nil"/>
              <w:bottom w:val="nil"/>
              <w:right w:val="single" w:sz="4" w:space="0" w:color="auto"/>
            </w:tcBorders>
            <w:shd w:val="clear" w:color="auto" w:fill="D9D9D9" w:themeFill="background1" w:themeFillShade="D9"/>
            <w:vAlign w:val="bottom"/>
            <w:hideMark/>
          </w:tcPr>
          <w:p w:rsidR="004E0933" w:rsidRPr="005E50F5" w:rsidRDefault="004E0933" w:rsidP="004E0933">
            <w:pPr>
              <w:ind w:right="602"/>
              <w:jc w:val="right"/>
              <w:rPr>
                <w:rFonts w:ascii="Arial Narrow" w:hAnsi="Arial Narrow"/>
                <w:b/>
                <w:bCs/>
                <w:color w:val="000000"/>
                <w:sz w:val="16"/>
                <w:szCs w:val="16"/>
              </w:rPr>
            </w:pPr>
            <w:r w:rsidRPr="005E50F5">
              <w:rPr>
                <w:rFonts w:ascii="Arial Narrow" w:hAnsi="Arial Narrow"/>
                <w:b/>
                <w:bCs/>
                <w:color w:val="000000"/>
                <w:sz w:val="16"/>
                <w:szCs w:val="16"/>
              </w:rPr>
              <w:t>172</w:t>
            </w:r>
          </w:p>
        </w:tc>
      </w:tr>
      <w:tr w:rsidR="004E0933" w:rsidRPr="006325A0" w:rsidTr="0054537C">
        <w:trPr>
          <w:trHeight w:val="198"/>
          <w:jc w:val="center"/>
        </w:trPr>
        <w:tc>
          <w:tcPr>
            <w:tcW w:w="462" w:type="dxa"/>
            <w:tcBorders>
              <w:top w:val="nil"/>
              <w:left w:val="single" w:sz="4" w:space="0" w:color="auto"/>
              <w:bottom w:val="nil"/>
              <w:right w:val="nil"/>
            </w:tcBorders>
            <w:hideMark/>
          </w:tcPr>
          <w:p w:rsidR="004E0933" w:rsidRPr="006325A0" w:rsidRDefault="004E0933" w:rsidP="0054537C">
            <w:pPr>
              <w:rPr>
                <w:rFonts w:ascii="Arial Narrow" w:eastAsiaTheme="minorEastAsia" w:hAnsi="Arial Narrow" w:cstheme="minorBidi"/>
                <w:sz w:val="16"/>
                <w:szCs w:val="16"/>
              </w:rPr>
            </w:pPr>
          </w:p>
        </w:tc>
        <w:tc>
          <w:tcPr>
            <w:tcW w:w="4788" w:type="dxa"/>
            <w:tcBorders>
              <w:top w:val="nil"/>
              <w:left w:val="nil"/>
              <w:bottom w:val="nil"/>
              <w:right w:val="nil"/>
            </w:tcBorders>
            <w:vAlign w:val="center"/>
            <w:hideMark/>
          </w:tcPr>
          <w:p w:rsidR="004E0933" w:rsidRPr="006325A0" w:rsidRDefault="004E0933" w:rsidP="0054537C">
            <w:pPr>
              <w:rPr>
                <w:rFonts w:ascii="Arial Narrow" w:hAnsi="Arial Narrow"/>
                <w:i/>
                <w:iCs/>
                <w:sz w:val="16"/>
                <w:szCs w:val="16"/>
              </w:rPr>
            </w:pPr>
            <w:r w:rsidRPr="006325A0">
              <w:rPr>
                <w:rFonts w:ascii="Arial Narrow" w:hAnsi="Arial Narrow"/>
                <w:i/>
                <w:iCs/>
                <w:sz w:val="16"/>
                <w:szCs w:val="16"/>
              </w:rPr>
              <w:t>Ισοζύγιο</w:t>
            </w:r>
          </w:p>
        </w:tc>
        <w:tc>
          <w:tcPr>
            <w:tcW w:w="1701" w:type="dxa"/>
            <w:tcBorders>
              <w:top w:val="nil"/>
              <w:left w:val="nil"/>
              <w:bottom w:val="nil"/>
              <w:right w:val="nil"/>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240</w:t>
            </w:r>
          </w:p>
        </w:tc>
        <w:tc>
          <w:tcPr>
            <w:tcW w:w="1559" w:type="dxa"/>
            <w:tcBorders>
              <w:top w:val="nil"/>
              <w:left w:val="nil"/>
              <w:bottom w:val="nil"/>
              <w:right w:val="single" w:sz="4" w:space="0" w:color="auto"/>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172</w:t>
            </w:r>
          </w:p>
        </w:tc>
      </w:tr>
      <w:tr w:rsidR="004E0933" w:rsidRPr="006325A0" w:rsidTr="0054537C">
        <w:trPr>
          <w:trHeight w:val="198"/>
          <w:jc w:val="center"/>
        </w:trPr>
        <w:tc>
          <w:tcPr>
            <w:tcW w:w="462" w:type="dxa"/>
            <w:tcBorders>
              <w:top w:val="nil"/>
              <w:left w:val="single" w:sz="4" w:space="0" w:color="auto"/>
              <w:bottom w:val="nil"/>
              <w:right w:val="nil"/>
            </w:tcBorders>
            <w:hideMark/>
          </w:tcPr>
          <w:p w:rsidR="004E0933" w:rsidRPr="006325A0" w:rsidRDefault="004E0933" w:rsidP="0054537C">
            <w:pPr>
              <w:rPr>
                <w:rFonts w:ascii="Arial Narrow" w:eastAsiaTheme="minorEastAsia" w:hAnsi="Arial Narrow" w:cstheme="minorBidi"/>
                <w:sz w:val="16"/>
                <w:szCs w:val="16"/>
              </w:rPr>
            </w:pPr>
          </w:p>
        </w:tc>
        <w:tc>
          <w:tcPr>
            <w:tcW w:w="4788" w:type="dxa"/>
            <w:tcBorders>
              <w:top w:val="nil"/>
              <w:left w:val="nil"/>
              <w:bottom w:val="nil"/>
              <w:right w:val="nil"/>
            </w:tcBorders>
            <w:vAlign w:val="center"/>
            <w:hideMark/>
          </w:tcPr>
          <w:p w:rsidR="004E0933" w:rsidRPr="006325A0" w:rsidRDefault="004E0933" w:rsidP="0054537C">
            <w:pPr>
              <w:rPr>
                <w:rFonts w:ascii="Arial Narrow" w:hAnsi="Arial Narrow"/>
                <w:i/>
                <w:iCs/>
                <w:sz w:val="16"/>
                <w:szCs w:val="16"/>
              </w:rPr>
            </w:pPr>
            <w:r w:rsidRPr="006325A0">
              <w:rPr>
                <w:rFonts w:ascii="Arial Narrow" w:hAnsi="Arial Narrow"/>
                <w:i/>
                <w:iCs/>
                <w:sz w:val="16"/>
                <w:szCs w:val="16"/>
              </w:rPr>
              <w:t>Εθνικολογιστικές προσαρμογές</w:t>
            </w:r>
          </w:p>
        </w:tc>
        <w:tc>
          <w:tcPr>
            <w:tcW w:w="1701" w:type="dxa"/>
            <w:tcBorders>
              <w:top w:val="nil"/>
              <w:left w:val="nil"/>
              <w:bottom w:val="nil"/>
              <w:right w:val="nil"/>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0</w:t>
            </w:r>
          </w:p>
        </w:tc>
        <w:tc>
          <w:tcPr>
            <w:tcW w:w="1559" w:type="dxa"/>
            <w:tcBorders>
              <w:top w:val="nil"/>
              <w:left w:val="nil"/>
              <w:bottom w:val="nil"/>
              <w:right w:val="single" w:sz="4" w:space="0" w:color="auto"/>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0</w:t>
            </w:r>
          </w:p>
        </w:tc>
      </w:tr>
      <w:tr w:rsidR="004E0933" w:rsidRPr="006325A0" w:rsidTr="0054537C">
        <w:trPr>
          <w:trHeight w:val="198"/>
          <w:jc w:val="center"/>
        </w:trPr>
        <w:tc>
          <w:tcPr>
            <w:tcW w:w="462" w:type="dxa"/>
            <w:tcBorders>
              <w:top w:val="nil"/>
              <w:left w:val="single" w:sz="4" w:space="0" w:color="auto"/>
              <w:bottom w:val="nil"/>
              <w:right w:val="nil"/>
            </w:tcBorders>
            <w:shd w:val="clear" w:color="auto" w:fill="D9D9D9" w:themeFill="background1" w:themeFillShade="D9"/>
            <w:hideMark/>
          </w:tcPr>
          <w:p w:rsidR="004E0933" w:rsidRPr="006325A0" w:rsidRDefault="008F2982" w:rsidP="0054537C">
            <w:pPr>
              <w:jc w:val="center"/>
              <w:rPr>
                <w:rFonts w:ascii="Arial Narrow" w:hAnsi="Arial Narrow" w:cs="Segoe UI"/>
                <w:b/>
                <w:bCs/>
                <w:sz w:val="16"/>
                <w:szCs w:val="16"/>
              </w:rPr>
            </w:pPr>
            <w:r>
              <w:rPr>
                <w:rFonts w:ascii="Arial Narrow" w:hAnsi="Arial Narrow" w:cs="Segoe UI"/>
                <w:b/>
                <w:bCs/>
                <w:sz w:val="16"/>
                <w:szCs w:val="16"/>
              </w:rPr>
              <w:t>7</w:t>
            </w:r>
          </w:p>
        </w:tc>
        <w:tc>
          <w:tcPr>
            <w:tcW w:w="4788" w:type="dxa"/>
            <w:tcBorders>
              <w:top w:val="nil"/>
              <w:left w:val="nil"/>
              <w:bottom w:val="nil"/>
              <w:right w:val="nil"/>
            </w:tcBorders>
            <w:shd w:val="clear" w:color="auto" w:fill="D9D9D9" w:themeFill="background1" w:themeFillShade="D9"/>
            <w:vAlign w:val="center"/>
            <w:hideMark/>
          </w:tcPr>
          <w:p w:rsidR="004E0933" w:rsidRPr="006325A0" w:rsidRDefault="004E0933" w:rsidP="0054537C">
            <w:pPr>
              <w:rPr>
                <w:rFonts w:ascii="Arial Narrow" w:hAnsi="Arial Narrow"/>
                <w:b/>
                <w:bCs/>
                <w:sz w:val="16"/>
                <w:szCs w:val="16"/>
              </w:rPr>
            </w:pPr>
            <w:r w:rsidRPr="006325A0">
              <w:rPr>
                <w:rFonts w:ascii="Arial Narrow" w:hAnsi="Arial Narrow"/>
                <w:b/>
                <w:bCs/>
                <w:sz w:val="16"/>
                <w:szCs w:val="16"/>
              </w:rPr>
              <w:t xml:space="preserve">Υπουργείο Ανάπτυξης και Επενδύσεων </w:t>
            </w:r>
          </w:p>
        </w:tc>
        <w:tc>
          <w:tcPr>
            <w:tcW w:w="1701" w:type="dxa"/>
            <w:tcBorders>
              <w:top w:val="nil"/>
              <w:left w:val="nil"/>
              <w:bottom w:val="nil"/>
              <w:right w:val="nil"/>
            </w:tcBorders>
            <w:shd w:val="clear" w:color="auto" w:fill="D9D9D9" w:themeFill="background1" w:themeFillShade="D9"/>
            <w:vAlign w:val="bottom"/>
            <w:hideMark/>
          </w:tcPr>
          <w:p w:rsidR="004E0933" w:rsidRPr="005E50F5" w:rsidRDefault="004E0933" w:rsidP="004E0933">
            <w:pPr>
              <w:ind w:right="602"/>
              <w:jc w:val="right"/>
              <w:rPr>
                <w:rFonts w:ascii="Arial Narrow" w:hAnsi="Arial Narrow"/>
                <w:b/>
                <w:bCs/>
                <w:color w:val="000000"/>
                <w:sz w:val="16"/>
                <w:szCs w:val="16"/>
              </w:rPr>
            </w:pPr>
            <w:r w:rsidRPr="005E50F5">
              <w:rPr>
                <w:rFonts w:ascii="Arial Narrow" w:hAnsi="Arial Narrow"/>
                <w:b/>
                <w:bCs/>
                <w:color w:val="000000"/>
                <w:sz w:val="16"/>
                <w:szCs w:val="16"/>
              </w:rPr>
              <w:t>0</w:t>
            </w:r>
          </w:p>
        </w:tc>
        <w:tc>
          <w:tcPr>
            <w:tcW w:w="1559" w:type="dxa"/>
            <w:tcBorders>
              <w:top w:val="nil"/>
              <w:left w:val="nil"/>
              <w:bottom w:val="nil"/>
              <w:right w:val="single" w:sz="4" w:space="0" w:color="auto"/>
            </w:tcBorders>
            <w:shd w:val="clear" w:color="auto" w:fill="D9D9D9" w:themeFill="background1" w:themeFillShade="D9"/>
            <w:vAlign w:val="bottom"/>
            <w:hideMark/>
          </w:tcPr>
          <w:p w:rsidR="004E0933" w:rsidRPr="005E50F5" w:rsidRDefault="004E0933" w:rsidP="004E0933">
            <w:pPr>
              <w:ind w:right="602"/>
              <w:jc w:val="right"/>
              <w:rPr>
                <w:rFonts w:ascii="Arial Narrow" w:hAnsi="Arial Narrow"/>
                <w:b/>
                <w:bCs/>
                <w:color w:val="000000"/>
                <w:sz w:val="16"/>
                <w:szCs w:val="16"/>
              </w:rPr>
            </w:pPr>
            <w:r w:rsidRPr="005E50F5">
              <w:rPr>
                <w:rFonts w:ascii="Arial Narrow" w:hAnsi="Arial Narrow"/>
                <w:b/>
                <w:bCs/>
                <w:color w:val="000000"/>
                <w:sz w:val="16"/>
                <w:szCs w:val="16"/>
              </w:rPr>
              <w:t>0</w:t>
            </w:r>
          </w:p>
        </w:tc>
      </w:tr>
      <w:tr w:rsidR="004E0933" w:rsidRPr="006325A0" w:rsidTr="0054537C">
        <w:trPr>
          <w:trHeight w:val="198"/>
          <w:jc w:val="center"/>
        </w:trPr>
        <w:tc>
          <w:tcPr>
            <w:tcW w:w="462" w:type="dxa"/>
            <w:tcBorders>
              <w:top w:val="nil"/>
              <w:left w:val="single" w:sz="4" w:space="0" w:color="auto"/>
              <w:bottom w:val="nil"/>
              <w:right w:val="nil"/>
            </w:tcBorders>
            <w:hideMark/>
          </w:tcPr>
          <w:p w:rsidR="004E0933" w:rsidRPr="006325A0" w:rsidRDefault="004E0933" w:rsidP="0054537C">
            <w:pPr>
              <w:rPr>
                <w:rFonts w:ascii="Arial Narrow" w:eastAsiaTheme="minorEastAsia" w:hAnsi="Arial Narrow" w:cstheme="minorBidi"/>
                <w:sz w:val="16"/>
                <w:szCs w:val="16"/>
              </w:rPr>
            </w:pPr>
          </w:p>
        </w:tc>
        <w:tc>
          <w:tcPr>
            <w:tcW w:w="4788" w:type="dxa"/>
            <w:tcBorders>
              <w:top w:val="nil"/>
              <w:left w:val="nil"/>
              <w:bottom w:val="nil"/>
              <w:right w:val="nil"/>
            </w:tcBorders>
            <w:vAlign w:val="center"/>
            <w:hideMark/>
          </w:tcPr>
          <w:p w:rsidR="004E0933" w:rsidRPr="006325A0" w:rsidRDefault="004E0933" w:rsidP="0054537C">
            <w:pPr>
              <w:rPr>
                <w:rFonts w:ascii="Arial Narrow" w:hAnsi="Arial Narrow"/>
                <w:i/>
                <w:iCs/>
                <w:sz w:val="16"/>
                <w:szCs w:val="16"/>
              </w:rPr>
            </w:pPr>
            <w:r w:rsidRPr="006325A0">
              <w:rPr>
                <w:rFonts w:ascii="Arial Narrow" w:hAnsi="Arial Narrow"/>
                <w:i/>
                <w:iCs/>
                <w:sz w:val="16"/>
                <w:szCs w:val="16"/>
              </w:rPr>
              <w:t>Ισοζύγιο</w:t>
            </w:r>
          </w:p>
        </w:tc>
        <w:tc>
          <w:tcPr>
            <w:tcW w:w="1701" w:type="dxa"/>
            <w:tcBorders>
              <w:top w:val="nil"/>
              <w:left w:val="nil"/>
              <w:bottom w:val="nil"/>
              <w:right w:val="nil"/>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0</w:t>
            </w:r>
          </w:p>
        </w:tc>
        <w:tc>
          <w:tcPr>
            <w:tcW w:w="1559" w:type="dxa"/>
            <w:tcBorders>
              <w:top w:val="nil"/>
              <w:left w:val="nil"/>
              <w:bottom w:val="nil"/>
              <w:right w:val="single" w:sz="4" w:space="0" w:color="auto"/>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0</w:t>
            </w:r>
          </w:p>
        </w:tc>
      </w:tr>
      <w:tr w:rsidR="004E0933" w:rsidRPr="006325A0" w:rsidTr="0054537C">
        <w:trPr>
          <w:trHeight w:val="198"/>
          <w:jc w:val="center"/>
        </w:trPr>
        <w:tc>
          <w:tcPr>
            <w:tcW w:w="462" w:type="dxa"/>
            <w:tcBorders>
              <w:top w:val="nil"/>
              <w:left w:val="single" w:sz="4" w:space="0" w:color="auto"/>
              <w:bottom w:val="nil"/>
              <w:right w:val="nil"/>
            </w:tcBorders>
            <w:hideMark/>
          </w:tcPr>
          <w:p w:rsidR="004E0933" w:rsidRPr="006325A0" w:rsidRDefault="004E0933" w:rsidP="0054537C">
            <w:pPr>
              <w:rPr>
                <w:rFonts w:ascii="Arial Narrow" w:eastAsiaTheme="minorEastAsia" w:hAnsi="Arial Narrow" w:cstheme="minorBidi"/>
                <w:sz w:val="16"/>
                <w:szCs w:val="16"/>
              </w:rPr>
            </w:pPr>
          </w:p>
        </w:tc>
        <w:tc>
          <w:tcPr>
            <w:tcW w:w="4788" w:type="dxa"/>
            <w:tcBorders>
              <w:top w:val="nil"/>
              <w:left w:val="nil"/>
              <w:bottom w:val="nil"/>
              <w:right w:val="nil"/>
            </w:tcBorders>
            <w:vAlign w:val="center"/>
            <w:hideMark/>
          </w:tcPr>
          <w:p w:rsidR="004E0933" w:rsidRPr="006325A0" w:rsidRDefault="004E0933" w:rsidP="0054537C">
            <w:pPr>
              <w:rPr>
                <w:rFonts w:ascii="Arial Narrow" w:hAnsi="Arial Narrow"/>
                <w:i/>
                <w:iCs/>
                <w:sz w:val="16"/>
                <w:szCs w:val="16"/>
              </w:rPr>
            </w:pPr>
            <w:r w:rsidRPr="006325A0">
              <w:rPr>
                <w:rFonts w:ascii="Arial Narrow" w:hAnsi="Arial Narrow"/>
                <w:i/>
                <w:iCs/>
                <w:sz w:val="16"/>
                <w:szCs w:val="16"/>
              </w:rPr>
              <w:t>Εθνικολογιστικές προσαρμογές</w:t>
            </w:r>
          </w:p>
        </w:tc>
        <w:tc>
          <w:tcPr>
            <w:tcW w:w="1701" w:type="dxa"/>
            <w:tcBorders>
              <w:top w:val="nil"/>
              <w:left w:val="nil"/>
              <w:bottom w:val="nil"/>
              <w:right w:val="nil"/>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0</w:t>
            </w:r>
          </w:p>
        </w:tc>
        <w:tc>
          <w:tcPr>
            <w:tcW w:w="1559" w:type="dxa"/>
            <w:tcBorders>
              <w:top w:val="nil"/>
              <w:left w:val="nil"/>
              <w:bottom w:val="nil"/>
              <w:right w:val="single" w:sz="4" w:space="0" w:color="auto"/>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0</w:t>
            </w:r>
          </w:p>
        </w:tc>
      </w:tr>
      <w:tr w:rsidR="004E0933" w:rsidRPr="006325A0" w:rsidTr="0054537C">
        <w:trPr>
          <w:trHeight w:val="198"/>
          <w:jc w:val="center"/>
        </w:trPr>
        <w:tc>
          <w:tcPr>
            <w:tcW w:w="462" w:type="dxa"/>
            <w:tcBorders>
              <w:top w:val="nil"/>
              <w:left w:val="single" w:sz="4" w:space="0" w:color="auto"/>
              <w:bottom w:val="nil"/>
              <w:right w:val="nil"/>
            </w:tcBorders>
            <w:shd w:val="clear" w:color="auto" w:fill="D9D9D9" w:themeFill="background1" w:themeFillShade="D9"/>
            <w:hideMark/>
          </w:tcPr>
          <w:p w:rsidR="004E0933" w:rsidRPr="006325A0" w:rsidRDefault="008F2982" w:rsidP="0054537C">
            <w:pPr>
              <w:jc w:val="center"/>
              <w:rPr>
                <w:rFonts w:ascii="Arial Narrow" w:hAnsi="Arial Narrow" w:cs="Segoe UI"/>
                <w:b/>
                <w:bCs/>
                <w:sz w:val="16"/>
                <w:szCs w:val="16"/>
              </w:rPr>
            </w:pPr>
            <w:r>
              <w:rPr>
                <w:rFonts w:ascii="Arial Narrow" w:hAnsi="Arial Narrow" w:cs="Segoe UI"/>
                <w:b/>
                <w:bCs/>
                <w:sz w:val="16"/>
                <w:szCs w:val="16"/>
              </w:rPr>
              <w:t>8</w:t>
            </w:r>
          </w:p>
        </w:tc>
        <w:tc>
          <w:tcPr>
            <w:tcW w:w="4788" w:type="dxa"/>
            <w:tcBorders>
              <w:top w:val="nil"/>
              <w:left w:val="nil"/>
              <w:bottom w:val="nil"/>
              <w:right w:val="nil"/>
            </w:tcBorders>
            <w:shd w:val="clear" w:color="auto" w:fill="D9D9D9" w:themeFill="background1" w:themeFillShade="D9"/>
            <w:vAlign w:val="center"/>
            <w:hideMark/>
          </w:tcPr>
          <w:p w:rsidR="004E0933" w:rsidRPr="006325A0" w:rsidRDefault="004E0933" w:rsidP="0054537C">
            <w:pPr>
              <w:rPr>
                <w:rFonts w:ascii="Arial Narrow" w:hAnsi="Arial Narrow"/>
                <w:b/>
                <w:bCs/>
                <w:sz w:val="16"/>
                <w:szCs w:val="16"/>
              </w:rPr>
            </w:pPr>
            <w:r w:rsidRPr="006325A0">
              <w:rPr>
                <w:rFonts w:ascii="Arial Narrow" w:hAnsi="Arial Narrow"/>
                <w:b/>
                <w:bCs/>
                <w:sz w:val="16"/>
                <w:szCs w:val="16"/>
              </w:rPr>
              <w:t xml:space="preserve">Υπουργείο Υποδομών και Μεταφορών </w:t>
            </w:r>
          </w:p>
        </w:tc>
        <w:tc>
          <w:tcPr>
            <w:tcW w:w="1701" w:type="dxa"/>
            <w:tcBorders>
              <w:top w:val="nil"/>
              <w:left w:val="nil"/>
              <w:bottom w:val="nil"/>
              <w:right w:val="nil"/>
            </w:tcBorders>
            <w:shd w:val="clear" w:color="auto" w:fill="D9D9D9" w:themeFill="background1" w:themeFillShade="D9"/>
            <w:vAlign w:val="bottom"/>
            <w:hideMark/>
          </w:tcPr>
          <w:p w:rsidR="004E0933" w:rsidRPr="005E50F5" w:rsidRDefault="004E0933" w:rsidP="004E0933">
            <w:pPr>
              <w:ind w:right="602"/>
              <w:jc w:val="right"/>
              <w:rPr>
                <w:rFonts w:ascii="Arial Narrow" w:hAnsi="Arial Narrow"/>
                <w:b/>
                <w:bCs/>
                <w:color w:val="000000"/>
                <w:sz w:val="16"/>
                <w:szCs w:val="16"/>
              </w:rPr>
            </w:pPr>
            <w:r w:rsidRPr="005E50F5">
              <w:rPr>
                <w:rFonts w:ascii="Arial Narrow" w:hAnsi="Arial Narrow"/>
                <w:b/>
                <w:bCs/>
                <w:color w:val="000000"/>
                <w:sz w:val="16"/>
                <w:szCs w:val="16"/>
              </w:rPr>
              <w:t>448</w:t>
            </w:r>
          </w:p>
        </w:tc>
        <w:tc>
          <w:tcPr>
            <w:tcW w:w="1559" w:type="dxa"/>
            <w:tcBorders>
              <w:top w:val="nil"/>
              <w:left w:val="nil"/>
              <w:bottom w:val="nil"/>
              <w:right w:val="single" w:sz="4" w:space="0" w:color="auto"/>
            </w:tcBorders>
            <w:shd w:val="clear" w:color="auto" w:fill="D9D9D9" w:themeFill="background1" w:themeFillShade="D9"/>
            <w:vAlign w:val="bottom"/>
            <w:hideMark/>
          </w:tcPr>
          <w:p w:rsidR="004E0933" w:rsidRPr="005E50F5" w:rsidRDefault="004E0933" w:rsidP="004E0933">
            <w:pPr>
              <w:ind w:right="602"/>
              <w:jc w:val="right"/>
              <w:rPr>
                <w:rFonts w:ascii="Arial Narrow" w:hAnsi="Arial Narrow"/>
                <w:b/>
                <w:bCs/>
                <w:color w:val="000000"/>
                <w:sz w:val="16"/>
                <w:szCs w:val="16"/>
              </w:rPr>
            </w:pPr>
            <w:r w:rsidRPr="005E50F5">
              <w:rPr>
                <w:rFonts w:ascii="Arial Narrow" w:hAnsi="Arial Narrow"/>
                <w:b/>
                <w:bCs/>
                <w:color w:val="000000"/>
                <w:sz w:val="16"/>
                <w:szCs w:val="16"/>
              </w:rPr>
              <w:t>-55</w:t>
            </w:r>
          </w:p>
        </w:tc>
      </w:tr>
      <w:tr w:rsidR="004E0933" w:rsidRPr="006325A0" w:rsidTr="0054537C">
        <w:trPr>
          <w:trHeight w:val="198"/>
          <w:jc w:val="center"/>
        </w:trPr>
        <w:tc>
          <w:tcPr>
            <w:tcW w:w="462" w:type="dxa"/>
            <w:tcBorders>
              <w:top w:val="nil"/>
              <w:left w:val="single" w:sz="4" w:space="0" w:color="auto"/>
              <w:bottom w:val="nil"/>
              <w:right w:val="nil"/>
            </w:tcBorders>
            <w:hideMark/>
          </w:tcPr>
          <w:p w:rsidR="004E0933" w:rsidRPr="006325A0" w:rsidRDefault="004E0933" w:rsidP="0054537C">
            <w:pPr>
              <w:rPr>
                <w:rFonts w:ascii="Arial Narrow" w:eastAsiaTheme="minorEastAsia" w:hAnsi="Arial Narrow" w:cstheme="minorBidi"/>
                <w:sz w:val="16"/>
                <w:szCs w:val="16"/>
              </w:rPr>
            </w:pPr>
          </w:p>
        </w:tc>
        <w:tc>
          <w:tcPr>
            <w:tcW w:w="4788" w:type="dxa"/>
            <w:tcBorders>
              <w:top w:val="nil"/>
              <w:left w:val="nil"/>
              <w:bottom w:val="nil"/>
              <w:right w:val="nil"/>
            </w:tcBorders>
            <w:vAlign w:val="center"/>
            <w:hideMark/>
          </w:tcPr>
          <w:p w:rsidR="004E0933" w:rsidRPr="006325A0" w:rsidRDefault="004E0933" w:rsidP="0054537C">
            <w:pPr>
              <w:rPr>
                <w:rFonts w:ascii="Arial Narrow" w:hAnsi="Arial Narrow"/>
                <w:i/>
                <w:iCs/>
                <w:sz w:val="16"/>
                <w:szCs w:val="16"/>
              </w:rPr>
            </w:pPr>
            <w:r w:rsidRPr="006325A0">
              <w:rPr>
                <w:rFonts w:ascii="Arial Narrow" w:hAnsi="Arial Narrow"/>
                <w:i/>
                <w:iCs/>
                <w:sz w:val="16"/>
                <w:szCs w:val="16"/>
              </w:rPr>
              <w:t>Ισοζύγιο</w:t>
            </w:r>
          </w:p>
        </w:tc>
        <w:tc>
          <w:tcPr>
            <w:tcW w:w="1701" w:type="dxa"/>
            <w:tcBorders>
              <w:top w:val="nil"/>
              <w:left w:val="nil"/>
              <w:bottom w:val="nil"/>
              <w:right w:val="nil"/>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-133</w:t>
            </w:r>
          </w:p>
        </w:tc>
        <w:tc>
          <w:tcPr>
            <w:tcW w:w="1559" w:type="dxa"/>
            <w:tcBorders>
              <w:top w:val="nil"/>
              <w:left w:val="nil"/>
              <w:bottom w:val="nil"/>
              <w:right w:val="single" w:sz="4" w:space="0" w:color="auto"/>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-96</w:t>
            </w:r>
          </w:p>
        </w:tc>
      </w:tr>
      <w:tr w:rsidR="004E0933" w:rsidRPr="006325A0" w:rsidTr="0054537C">
        <w:trPr>
          <w:trHeight w:val="198"/>
          <w:jc w:val="center"/>
        </w:trPr>
        <w:tc>
          <w:tcPr>
            <w:tcW w:w="462" w:type="dxa"/>
            <w:tcBorders>
              <w:top w:val="nil"/>
              <w:left w:val="single" w:sz="4" w:space="0" w:color="auto"/>
              <w:bottom w:val="nil"/>
              <w:right w:val="nil"/>
            </w:tcBorders>
            <w:hideMark/>
          </w:tcPr>
          <w:p w:rsidR="004E0933" w:rsidRPr="006325A0" w:rsidRDefault="004E0933" w:rsidP="0054537C">
            <w:pPr>
              <w:rPr>
                <w:rFonts w:ascii="Arial Narrow" w:eastAsiaTheme="minorEastAsia" w:hAnsi="Arial Narrow" w:cstheme="minorBidi"/>
                <w:sz w:val="16"/>
                <w:szCs w:val="16"/>
              </w:rPr>
            </w:pPr>
          </w:p>
        </w:tc>
        <w:tc>
          <w:tcPr>
            <w:tcW w:w="4788" w:type="dxa"/>
            <w:tcBorders>
              <w:top w:val="nil"/>
              <w:left w:val="nil"/>
              <w:bottom w:val="nil"/>
              <w:right w:val="nil"/>
            </w:tcBorders>
            <w:vAlign w:val="center"/>
            <w:hideMark/>
          </w:tcPr>
          <w:p w:rsidR="004E0933" w:rsidRPr="006325A0" w:rsidRDefault="004E0933" w:rsidP="0054537C">
            <w:pPr>
              <w:rPr>
                <w:rFonts w:ascii="Arial Narrow" w:hAnsi="Arial Narrow"/>
                <w:i/>
                <w:iCs/>
                <w:sz w:val="16"/>
                <w:szCs w:val="16"/>
              </w:rPr>
            </w:pPr>
            <w:r w:rsidRPr="006325A0">
              <w:rPr>
                <w:rFonts w:ascii="Arial Narrow" w:hAnsi="Arial Narrow"/>
                <w:i/>
                <w:iCs/>
                <w:sz w:val="16"/>
                <w:szCs w:val="16"/>
              </w:rPr>
              <w:t>Εθνικολογιστικές προσαρμογές</w:t>
            </w:r>
          </w:p>
        </w:tc>
        <w:tc>
          <w:tcPr>
            <w:tcW w:w="1701" w:type="dxa"/>
            <w:tcBorders>
              <w:top w:val="nil"/>
              <w:left w:val="nil"/>
              <w:bottom w:val="nil"/>
              <w:right w:val="nil"/>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581</w:t>
            </w:r>
          </w:p>
        </w:tc>
        <w:tc>
          <w:tcPr>
            <w:tcW w:w="1559" w:type="dxa"/>
            <w:tcBorders>
              <w:top w:val="nil"/>
              <w:left w:val="nil"/>
              <w:bottom w:val="nil"/>
              <w:right w:val="single" w:sz="4" w:space="0" w:color="auto"/>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41</w:t>
            </w:r>
          </w:p>
        </w:tc>
      </w:tr>
      <w:tr w:rsidR="004E0933" w:rsidRPr="006325A0" w:rsidTr="0054537C">
        <w:trPr>
          <w:trHeight w:val="198"/>
          <w:jc w:val="center"/>
        </w:trPr>
        <w:tc>
          <w:tcPr>
            <w:tcW w:w="462" w:type="dxa"/>
            <w:tcBorders>
              <w:top w:val="nil"/>
              <w:left w:val="single" w:sz="4" w:space="0" w:color="auto"/>
              <w:bottom w:val="nil"/>
              <w:right w:val="nil"/>
            </w:tcBorders>
            <w:shd w:val="clear" w:color="auto" w:fill="D9D9D9" w:themeFill="background1" w:themeFillShade="D9"/>
            <w:hideMark/>
          </w:tcPr>
          <w:p w:rsidR="004E0933" w:rsidRPr="006325A0" w:rsidRDefault="008F2982" w:rsidP="0054537C">
            <w:pPr>
              <w:jc w:val="center"/>
              <w:rPr>
                <w:rFonts w:ascii="Arial Narrow" w:hAnsi="Arial Narrow" w:cs="Segoe UI"/>
                <w:b/>
                <w:bCs/>
                <w:sz w:val="16"/>
                <w:szCs w:val="16"/>
              </w:rPr>
            </w:pPr>
            <w:r>
              <w:rPr>
                <w:rFonts w:ascii="Arial Narrow" w:hAnsi="Arial Narrow" w:cs="Segoe UI"/>
                <w:b/>
                <w:bCs/>
                <w:sz w:val="16"/>
                <w:szCs w:val="16"/>
              </w:rPr>
              <w:t>9</w:t>
            </w:r>
          </w:p>
        </w:tc>
        <w:tc>
          <w:tcPr>
            <w:tcW w:w="4788" w:type="dxa"/>
            <w:tcBorders>
              <w:top w:val="nil"/>
              <w:left w:val="nil"/>
              <w:bottom w:val="nil"/>
              <w:right w:val="nil"/>
            </w:tcBorders>
            <w:shd w:val="clear" w:color="auto" w:fill="D9D9D9" w:themeFill="background1" w:themeFillShade="D9"/>
            <w:vAlign w:val="center"/>
            <w:hideMark/>
          </w:tcPr>
          <w:p w:rsidR="004E0933" w:rsidRPr="006325A0" w:rsidRDefault="004E0933" w:rsidP="0054537C">
            <w:pPr>
              <w:rPr>
                <w:rFonts w:ascii="Arial Narrow" w:hAnsi="Arial Narrow"/>
                <w:b/>
                <w:bCs/>
                <w:sz w:val="16"/>
                <w:szCs w:val="16"/>
              </w:rPr>
            </w:pPr>
            <w:r w:rsidRPr="006325A0">
              <w:rPr>
                <w:rFonts w:ascii="Arial Narrow" w:hAnsi="Arial Narrow"/>
                <w:b/>
                <w:bCs/>
                <w:sz w:val="16"/>
                <w:szCs w:val="16"/>
              </w:rPr>
              <w:t>Υπουργείο Τουρισμού</w:t>
            </w:r>
          </w:p>
        </w:tc>
        <w:tc>
          <w:tcPr>
            <w:tcW w:w="1701" w:type="dxa"/>
            <w:tcBorders>
              <w:top w:val="nil"/>
              <w:left w:val="nil"/>
              <w:bottom w:val="nil"/>
              <w:right w:val="nil"/>
            </w:tcBorders>
            <w:shd w:val="clear" w:color="auto" w:fill="D9D9D9" w:themeFill="background1" w:themeFillShade="D9"/>
            <w:vAlign w:val="bottom"/>
            <w:hideMark/>
          </w:tcPr>
          <w:p w:rsidR="004E0933" w:rsidRPr="005E50F5" w:rsidRDefault="004E0933" w:rsidP="004E0933">
            <w:pPr>
              <w:ind w:right="602"/>
              <w:jc w:val="right"/>
              <w:rPr>
                <w:rFonts w:ascii="Arial Narrow" w:hAnsi="Arial Narrow"/>
                <w:b/>
                <w:bCs/>
                <w:color w:val="000000"/>
                <w:sz w:val="16"/>
                <w:szCs w:val="16"/>
              </w:rPr>
            </w:pPr>
            <w:r w:rsidRPr="005E50F5">
              <w:rPr>
                <w:rFonts w:ascii="Arial Narrow" w:hAnsi="Arial Narrow"/>
                <w:b/>
                <w:bCs/>
                <w:color w:val="000000"/>
                <w:sz w:val="16"/>
                <w:szCs w:val="16"/>
              </w:rPr>
              <w:t>11</w:t>
            </w:r>
          </w:p>
        </w:tc>
        <w:tc>
          <w:tcPr>
            <w:tcW w:w="1559" w:type="dxa"/>
            <w:tcBorders>
              <w:top w:val="nil"/>
              <w:left w:val="nil"/>
              <w:bottom w:val="nil"/>
              <w:right w:val="single" w:sz="4" w:space="0" w:color="auto"/>
            </w:tcBorders>
            <w:shd w:val="clear" w:color="auto" w:fill="D9D9D9" w:themeFill="background1" w:themeFillShade="D9"/>
            <w:vAlign w:val="bottom"/>
            <w:hideMark/>
          </w:tcPr>
          <w:p w:rsidR="004E0933" w:rsidRPr="005E50F5" w:rsidRDefault="004E0933" w:rsidP="004E0933">
            <w:pPr>
              <w:ind w:right="602"/>
              <w:jc w:val="right"/>
              <w:rPr>
                <w:rFonts w:ascii="Arial Narrow" w:hAnsi="Arial Narrow"/>
                <w:b/>
                <w:bCs/>
                <w:color w:val="000000"/>
                <w:sz w:val="16"/>
                <w:szCs w:val="16"/>
              </w:rPr>
            </w:pPr>
            <w:r w:rsidRPr="005E50F5">
              <w:rPr>
                <w:rFonts w:ascii="Arial Narrow" w:hAnsi="Arial Narrow"/>
                <w:b/>
                <w:bCs/>
                <w:color w:val="000000"/>
                <w:sz w:val="16"/>
                <w:szCs w:val="16"/>
              </w:rPr>
              <w:t>5</w:t>
            </w:r>
          </w:p>
        </w:tc>
      </w:tr>
      <w:tr w:rsidR="004E0933" w:rsidRPr="006325A0" w:rsidTr="0054537C">
        <w:trPr>
          <w:trHeight w:val="198"/>
          <w:jc w:val="center"/>
        </w:trPr>
        <w:tc>
          <w:tcPr>
            <w:tcW w:w="462" w:type="dxa"/>
            <w:tcBorders>
              <w:top w:val="nil"/>
              <w:left w:val="single" w:sz="4" w:space="0" w:color="auto"/>
              <w:bottom w:val="nil"/>
              <w:right w:val="nil"/>
            </w:tcBorders>
            <w:hideMark/>
          </w:tcPr>
          <w:p w:rsidR="004E0933" w:rsidRPr="006325A0" w:rsidRDefault="004E0933" w:rsidP="0054537C">
            <w:pPr>
              <w:rPr>
                <w:rFonts w:ascii="Arial Narrow" w:eastAsiaTheme="minorEastAsia" w:hAnsi="Arial Narrow" w:cstheme="minorBidi"/>
                <w:sz w:val="16"/>
                <w:szCs w:val="16"/>
              </w:rPr>
            </w:pPr>
          </w:p>
        </w:tc>
        <w:tc>
          <w:tcPr>
            <w:tcW w:w="4788" w:type="dxa"/>
            <w:tcBorders>
              <w:top w:val="nil"/>
              <w:left w:val="nil"/>
              <w:bottom w:val="nil"/>
              <w:right w:val="nil"/>
            </w:tcBorders>
            <w:vAlign w:val="center"/>
            <w:hideMark/>
          </w:tcPr>
          <w:p w:rsidR="004E0933" w:rsidRPr="006325A0" w:rsidRDefault="004E0933" w:rsidP="0054537C">
            <w:pPr>
              <w:rPr>
                <w:rFonts w:ascii="Arial Narrow" w:hAnsi="Arial Narrow"/>
                <w:i/>
                <w:iCs/>
                <w:sz w:val="16"/>
                <w:szCs w:val="16"/>
              </w:rPr>
            </w:pPr>
            <w:r w:rsidRPr="006325A0">
              <w:rPr>
                <w:rFonts w:ascii="Arial Narrow" w:hAnsi="Arial Narrow"/>
                <w:i/>
                <w:iCs/>
                <w:sz w:val="16"/>
                <w:szCs w:val="16"/>
              </w:rPr>
              <w:t>Ισοζύγιο</w:t>
            </w:r>
          </w:p>
        </w:tc>
        <w:tc>
          <w:tcPr>
            <w:tcW w:w="1701" w:type="dxa"/>
            <w:tcBorders>
              <w:top w:val="nil"/>
              <w:left w:val="nil"/>
              <w:bottom w:val="nil"/>
              <w:right w:val="nil"/>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11</w:t>
            </w:r>
          </w:p>
        </w:tc>
        <w:tc>
          <w:tcPr>
            <w:tcW w:w="1559" w:type="dxa"/>
            <w:tcBorders>
              <w:top w:val="nil"/>
              <w:left w:val="nil"/>
              <w:bottom w:val="nil"/>
              <w:right w:val="single" w:sz="4" w:space="0" w:color="auto"/>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5</w:t>
            </w:r>
          </w:p>
        </w:tc>
      </w:tr>
      <w:tr w:rsidR="004E0933" w:rsidRPr="006325A0" w:rsidTr="0054537C">
        <w:trPr>
          <w:trHeight w:val="198"/>
          <w:jc w:val="center"/>
        </w:trPr>
        <w:tc>
          <w:tcPr>
            <w:tcW w:w="462" w:type="dxa"/>
            <w:tcBorders>
              <w:top w:val="nil"/>
              <w:left w:val="single" w:sz="4" w:space="0" w:color="auto"/>
              <w:bottom w:val="nil"/>
              <w:right w:val="nil"/>
            </w:tcBorders>
            <w:hideMark/>
          </w:tcPr>
          <w:p w:rsidR="004E0933" w:rsidRPr="006325A0" w:rsidRDefault="004E0933" w:rsidP="0054537C">
            <w:pPr>
              <w:rPr>
                <w:rFonts w:ascii="Arial Narrow" w:eastAsiaTheme="minorEastAsia" w:hAnsi="Arial Narrow" w:cstheme="minorBidi"/>
                <w:sz w:val="16"/>
                <w:szCs w:val="16"/>
              </w:rPr>
            </w:pPr>
          </w:p>
        </w:tc>
        <w:tc>
          <w:tcPr>
            <w:tcW w:w="4788" w:type="dxa"/>
            <w:tcBorders>
              <w:top w:val="nil"/>
              <w:left w:val="nil"/>
              <w:bottom w:val="nil"/>
              <w:right w:val="nil"/>
            </w:tcBorders>
            <w:vAlign w:val="center"/>
            <w:hideMark/>
          </w:tcPr>
          <w:p w:rsidR="004E0933" w:rsidRPr="006325A0" w:rsidRDefault="004E0933" w:rsidP="0054537C">
            <w:pPr>
              <w:rPr>
                <w:rFonts w:ascii="Arial Narrow" w:hAnsi="Arial Narrow"/>
                <w:i/>
                <w:iCs/>
                <w:sz w:val="16"/>
                <w:szCs w:val="16"/>
              </w:rPr>
            </w:pPr>
            <w:r w:rsidRPr="006325A0">
              <w:rPr>
                <w:rFonts w:ascii="Arial Narrow" w:hAnsi="Arial Narrow"/>
                <w:i/>
                <w:iCs/>
                <w:sz w:val="16"/>
                <w:szCs w:val="16"/>
              </w:rPr>
              <w:t>Εθνικολογιστικές προσαρμογές</w:t>
            </w:r>
          </w:p>
        </w:tc>
        <w:tc>
          <w:tcPr>
            <w:tcW w:w="1701" w:type="dxa"/>
            <w:tcBorders>
              <w:top w:val="nil"/>
              <w:left w:val="nil"/>
              <w:bottom w:val="nil"/>
              <w:right w:val="nil"/>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0</w:t>
            </w:r>
          </w:p>
        </w:tc>
        <w:tc>
          <w:tcPr>
            <w:tcW w:w="1559" w:type="dxa"/>
            <w:tcBorders>
              <w:top w:val="nil"/>
              <w:left w:val="nil"/>
              <w:bottom w:val="nil"/>
              <w:right w:val="single" w:sz="4" w:space="0" w:color="auto"/>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0</w:t>
            </w:r>
          </w:p>
        </w:tc>
      </w:tr>
      <w:tr w:rsidR="004E0933" w:rsidRPr="006325A0" w:rsidTr="0054537C">
        <w:trPr>
          <w:trHeight w:val="198"/>
          <w:jc w:val="center"/>
        </w:trPr>
        <w:tc>
          <w:tcPr>
            <w:tcW w:w="462" w:type="dxa"/>
            <w:tcBorders>
              <w:top w:val="nil"/>
              <w:left w:val="single" w:sz="4" w:space="0" w:color="auto"/>
              <w:bottom w:val="nil"/>
              <w:right w:val="nil"/>
            </w:tcBorders>
            <w:shd w:val="clear" w:color="auto" w:fill="D9D9D9" w:themeFill="background1" w:themeFillShade="D9"/>
            <w:hideMark/>
          </w:tcPr>
          <w:p w:rsidR="004E0933" w:rsidRPr="006325A0" w:rsidRDefault="008F2982" w:rsidP="0054537C">
            <w:pPr>
              <w:jc w:val="center"/>
              <w:rPr>
                <w:rFonts w:ascii="Arial Narrow" w:hAnsi="Arial Narrow" w:cs="Segoe UI"/>
                <w:b/>
                <w:bCs/>
                <w:sz w:val="16"/>
                <w:szCs w:val="16"/>
              </w:rPr>
            </w:pPr>
            <w:r>
              <w:rPr>
                <w:rFonts w:ascii="Arial Narrow" w:hAnsi="Arial Narrow" w:cs="Segoe UI"/>
                <w:b/>
                <w:bCs/>
                <w:sz w:val="16"/>
                <w:szCs w:val="16"/>
              </w:rPr>
              <w:t>10</w:t>
            </w:r>
          </w:p>
        </w:tc>
        <w:tc>
          <w:tcPr>
            <w:tcW w:w="4788" w:type="dxa"/>
            <w:tcBorders>
              <w:top w:val="nil"/>
              <w:left w:val="nil"/>
              <w:bottom w:val="nil"/>
              <w:right w:val="nil"/>
            </w:tcBorders>
            <w:shd w:val="clear" w:color="auto" w:fill="D9D9D9" w:themeFill="background1" w:themeFillShade="D9"/>
            <w:vAlign w:val="center"/>
            <w:hideMark/>
          </w:tcPr>
          <w:p w:rsidR="004E0933" w:rsidRPr="006325A0" w:rsidRDefault="004E0933" w:rsidP="0054537C">
            <w:pPr>
              <w:rPr>
                <w:rFonts w:ascii="Arial Narrow" w:hAnsi="Arial Narrow"/>
                <w:b/>
                <w:bCs/>
                <w:sz w:val="16"/>
                <w:szCs w:val="16"/>
              </w:rPr>
            </w:pPr>
            <w:r w:rsidRPr="006325A0">
              <w:rPr>
                <w:rFonts w:ascii="Arial Narrow" w:hAnsi="Arial Narrow"/>
                <w:b/>
                <w:bCs/>
                <w:sz w:val="16"/>
                <w:szCs w:val="16"/>
              </w:rPr>
              <w:t>Υπουργείο Ψηφιακής Διακυβέρνησης</w:t>
            </w:r>
          </w:p>
        </w:tc>
        <w:tc>
          <w:tcPr>
            <w:tcW w:w="1701" w:type="dxa"/>
            <w:tcBorders>
              <w:top w:val="nil"/>
              <w:left w:val="nil"/>
              <w:bottom w:val="nil"/>
              <w:right w:val="nil"/>
            </w:tcBorders>
            <w:shd w:val="clear" w:color="auto" w:fill="D9D9D9" w:themeFill="background1" w:themeFillShade="D9"/>
            <w:vAlign w:val="bottom"/>
            <w:hideMark/>
          </w:tcPr>
          <w:p w:rsidR="004E0933" w:rsidRPr="005E50F5" w:rsidRDefault="004E0933" w:rsidP="004E0933">
            <w:pPr>
              <w:ind w:right="602"/>
              <w:jc w:val="right"/>
              <w:rPr>
                <w:rFonts w:ascii="Arial Narrow" w:hAnsi="Arial Narrow"/>
                <w:b/>
                <w:bCs/>
                <w:color w:val="000000"/>
                <w:sz w:val="16"/>
                <w:szCs w:val="16"/>
              </w:rPr>
            </w:pPr>
            <w:r w:rsidRPr="005E50F5">
              <w:rPr>
                <w:rFonts w:ascii="Arial Narrow" w:hAnsi="Arial Narrow"/>
                <w:b/>
                <w:bCs/>
                <w:color w:val="000000"/>
                <w:sz w:val="16"/>
                <w:szCs w:val="16"/>
              </w:rPr>
              <w:t>0</w:t>
            </w:r>
          </w:p>
        </w:tc>
        <w:tc>
          <w:tcPr>
            <w:tcW w:w="1559" w:type="dxa"/>
            <w:tcBorders>
              <w:top w:val="nil"/>
              <w:left w:val="nil"/>
              <w:bottom w:val="nil"/>
              <w:right w:val="single" w:sz="4" w:space="0" w:color="auto"/>
            </w:tcBorders>
            <w:shd w:val="clear" w:color="auto" w:fill="D9D9D9" w:themeFill="background1" w:themeFillShade="D9"/>
            <w:vAlign w:val="bottom"/>
            <w:hideMark/>
          </w:tcPr>
          <w:p w:rsidR="004E0933" w:rsidRPr="005E50F5" w:rsidRDefault="004E0933" w:rsidP="004E0933">
            <w:pPr>
              <w:ind w:right="602"/>
              <w:jc w:val="right"/>
              <w:rPr>
                <w:rFonts w:ascii="Arial Narrow" w:hAnsi="Arial Narrow"/>
                <w:b/>
                <w:bCs/>
                <w:color w:val="000000"/>
                <w:sz w:val="16"/>
                <w:szCs w:val="16"/>
              </w:rPr>
            </w:pPr>
            <w:r w:rsidRPr="005E50F5">
              <w:rPr>
                <w:rFonts w:ascii="Arial Narrow" w:hAnsi="Arial Narrow"/>
                <w:b/>
                <w:bCs/>
                <w:color w:val="000000"/>
                <w:sz w:val="16"/>
                <w:szCs w:val="16"/>
              </w:rPr>
              <w:t>0</w:t>
            </w:r>
          </w:p>
        </w:tc>
      </w:tr>
      <w:tr w:rsidR="004E0933" w:rsidRPr="006325A0" w:rsidTr="0054537C">
        <w:trPr>
          <w:trHeight w:val="198"/>
          <w:jc w:val="center"/>
        </w:trPr>
        <w:tc>
          <w:tcPr>
            <w:tcW w:w="462" w:type="dxa"/>
            <w:tcBorders>
              <w:top w:val="nil"/>
              <w:left w:val="single" w:sz="4" w:space="0" w:color="auto"/>
              <w:bottom w:val="nil"/>
              <w:right w:val="nil"/>
            </w:tcBorders>
            <w:hideMark/>
          </w:tcPr>
          <w:p w:rsidR="004E0933" w:rsidRPr="006325A0" w:rsidRDefault="004E0933" w:rsidP="0054537C">
            <w:pPr>
              <w:rPr>
                <w:rFonts w:ascii="Arial Narrow" w:eastAsiaTheme="minorEastAsia" w:hAnsi="Arial Narrow" w:cstheme="minorBidi"/>
                <w:sz w:val="16"/>
                <w:szCs w:val="16"/>
                <w:highlight w:val="yellow"/>
              </w:rPr>
            </w:pPr>
          </w:p>
        </w:tc>
        <w:tc>
          <w:tcPr>
            <w:tcW w:w="4788" w:type="dxa"/>
            <w:tcBorders>
              <w:top w:val="nil"/>
              <w:left w:val="nil"/>
              <w:bottom w:val="nil"/>
              <w:right w:val="nil"/>
            </w:tcBorders>
            <w:vAlign w:val="center"/>
            <w:hideMark/>
          </w:tcPr>
          <w:p w:rsidR="004E0933" w:rsidRPr="006325A0" w:rsidRDefault="004E0933" w:rsidP="0054537C">
            <w:pPr>
              <w:rPr>
                <w:rFonts w:ascii="Arial Narrow" w:hAnsi="Arial Narrow"/>
                <w:i/>
                <w:iCs/>
                <w:sz w:val="16"/>
                <w:szCs w:val="16"/>
              </w:rPr>
            </w:pPr>
            <w:r w:rsidRPr="006325A0">
              <w:rPr>
                <w:rFonts w:ascii="Arial Narrow" w:hAnsi="Arial Narrow"/>
                <w:i/>
                <w:iCs/>
                <w:sz w:val="16"/>
                <w:szCs w:val="16"/>
              </w:rPr>
              <w:t>Ισοζύγιο</w:t>
            </w:r>
          </w:p>
        </w:tc>
        <w:tc>
          <w:tcPr>
            <w:tcW w:w="1701" w:type="dxa"/>
            <w:tcBorders>
              <w:top w:val="nil"/>
              <w:left w:val="nil"/>
              <w:bottom w:val="nil"/>
              <w:right w:val="nil"/>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0</w:t>
            </w:r>
          </w:p>
        </w:tc>
        <w:tc>
          <w:tcPr>
            <w:tcW w:w="1559" w:type="dxa"/>
            <w:tcBorders>
              <w:top w:val="nil"/>
              <w:left w:val="nil"/>
              <w:bottom w:val="nil"/>
              <w:right w:val="single" w:sz="4" w:space="0" w:color="auto"/>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0</w:t>
            </w:r>
          </w:p>
        </w:tc>
      </w:tr>
      <w:tr w:rsidR="004E0933" w:rsidRPr="006325A0" w:rsidTr="0054537C">
        <w:trPr>
          <w:trHeight w:val="198"/>
          <w:jc w:val="center"/>
        </w:trPr>
        <w:tc>
          <w:tcPr>
            <w:tcW w:w="462" w:type="dxa"/>
            <w:tcBorders>
              <w:top w:val="nil"/>
              <w:left w:val="single" w:sz="4" w:space="0" w:color="auto"/>
              <w:bottom w:val="nil"/>
              <w:right w:val="nil"/>
            </w:tcBorders>
            <w:hideMark/>
          </w:tcPr>
          <w:p w:rsidR="004E0933" w:rsidRPr="006325A0" w:rsidRDefault="004E0933" w:rsidP="0054537C">
            <w:pPr>
              <w:rPr>
                <w:rFonts w:ascii="Arial Narrow" w:eastAsiaTheme="minorEastAsia" w:hAnsi="Arial Narrow" w:cstheme="minorBidi"/>
                <w:sz w:val="16"/>
                <w:szCs w:val="16"/>
                <w:highlight w:val="yellow"/>
              </w:rPr>
            </w:pPr>
          </w:p>
        </w:tc>
        <w:tc>
          <w:tcPr>
            <w:tcW w:w="4788" w:type="dxa"/>
            <w:tcBorders>
              <w:top w:val="nil"/>
              <w:left w:val="nil"/>
              <w:bottom w:val="nil"/>
              <w:right w:val="nil"/>
            </w:tcBorders>
            <w:vAlign w:val="center"/>
            <w:hideMark/>
          </w:tcPr>
          <w:p w:rsidR="004E0933" w:rsidRPr="006325A0" w:rsidRDefault="004E0933" w:rsidP="0054537C">
            <w:pPr>
              <w:rPr>
                <w:rFonts w:ascii="Arial Narrow" w:hAnsi="Arial Narrow"/>
                <w:i/>
                <w:iCs/>
                <w:sz w:val="16"/>
                <w:szCs w:val="16"/>
              </w:rPr>
            </w:pPr>
            <w:r w:rsidRPr="006325A0">
              <w:rPr>
                <w:rFonts w:ascii="Arial Narrow" w:hAnsi="Arial Narrow"/>
                <w:i/>
                <w:iCs/>
                <w:sz w:val="16"/>
                <w:szCs w:val="16"/>
              </w:rPr>
              <w:t>Εθνικολογιστικές προσαρμογές</w:t>
            </w:r>
          </w:p>
        </w:tc>
        <w:tc>
          <w:tcPr>
            <w:tcW w:w="1701" w:type="dxa"/>
            <w:tcBorders>
              <w:top w:val="nil"/>
              <w:left w:val="nil"/>
              <w:bottom w:val="nil"/>
              <w:right w:val="nil"/>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0</w:t>
            </w:r>
          </w:p>
        </w:tc>
        <w:tc>
          <w:tcPr>
            <w:tcW w:w="1559" w:type="dxa"/>
            <w:tcBorders>
              <w:top w:val="nil"/>
              <w:left w:val="nil"/>
              <w:bottom w:val="nil"/>
              <w:right w:val="single" w:sz="4" w:space="0" w:color="auto"/>
            </w:tcBorders>
            <w:vAlign w:val="bottom"/>
            <w:hideMark/>
          </w:tcPr>
          <w:p w:rsidR="004E0933" w:rsidRPr="005E50F5" w:rsidRDefault="004E0933" w:rsidP="004E0933">
            <w:pPr>
              <w:ind w:right="602"/>
              <w:jc w:val="right"/>
              <w:rPr>
                <w:rFonts w:ascii="Arial Narrow" w:hAnsi="Arial Narrow"/>
                <w:i/>
                <w:iCs/>
                <w:color w:val="000000"/>
                <w:sz w:val="16"/>
                <w:szCs w:val="16"/>
              </w:rPr>
            </w:pPr>
            <w:r w:rsidRPr="005E50F5">
              <w:rPr>
                <w:rFonts w:ascii="Arial Narrow" w:hAnsi="Arial Narrow"/>
                <w:i/>
                <w:iCs/>
                <w:color w:val="000000"/>
                <w:sz w:val="16"/>
                <w:szCs w:val="16"/>
              </w:rPr>
              <w:t>0</w:t>
            </w:r>
          </w:p>
        </w:tc>
      </w:tr>
      <w:tr w:rsidR="004E0933" w:rsidRPr="006325A0" w:rsidTr="0054537C">
        <w:trPr>
          <w:trHeight w:val="198"/>
          <w:jc w:val="center"/>
        </w:trPr>
        <w:tc>
          <w:tcPr>
            <w:tcW w:w="462" w:type="dxa"/>
            <w:tcBorders>
              <w:top w:val="nil"/>
              <w:left w:val="single" w:sz="4" w:space="0" w:color="auto"/>
              <w:bottom w:val="nil"/>
              <w:right w:val="nil"/>
            </w:tcBorders>
            <w:shd w:val="clear" w:color="auto" w:fill="D9D9D9" w:themeFill="background1" w:themeFillShade="D9"/>
            <w:hideMark/>
          </w:tcPr>
          <w:p w:rsidR="004E0933" w:rsidRPr="006325A0" w:rsidRDefault="004E0933" w:rsidP="0054537C">
            <w:pPr>
              <w:rPr>
                <w:rFonts w:ascii="Arial Narrow" w:eastAsiaTheme="minorEastAsia" w:hAnsi="Arial Narrow" w:cstheme="minorBidi"/>
                <w:sz w:val="16"/>
                <w:szCs w:val="16"/>
              </w:rPr>
            </w:pPr>
          </w:p>
        </w:tc>
        <w:tc>
          <w:tcPr>
            <w:tcW w:w="4788" w:type="dxa"/>
            <w:tcBorders>
              <w:top w:val="nil"/>
              <w:left w:val="nil"/>
              <w:bottom w:val="nil"/>
              <w:right w:val="nil"/>
            </w:tcBorders>
            <w:shd w:val="clear" w:color="auto" w:fill="D9D9D9" w:themeFill="background1" w:themeFillShade="D9"/>
            <w:vAlign w:val="center"/>
            <w:hideMark/>
          </w:tcPr>
          <w:p w:rsidR="004E0933" w:rsidRPr="006325A0" w:rsidRDefault="004E0933" w:rsidP="0054537C">
            <w:pPr>
              <w:rPr>
                <w:rFonts w:ascii="Arial Narrow" w:hAnsi="Arial Narrow"/>
                <w:b/>
                <w:bCs/>
                <w:sz w:val="16"/>
                <w:szCs w:val="16"/>
              </w:rPr>
            </w:pPr>
            <w:r w:rsidRPr="006325A0">
              <w:rPr>
                <w:rFonts w:ascii="Arial Narrow" w:hAnsi="Arial Narrow"/>
                <w:b/>
                <w:bCs/>
                <w:sz w:val="16"/>
                <w:szCs w:val="16"/>
              </w:rPr>
              <w:t>Σύνολο Υπουργείων κατά ESA (με καταπτώσεις εγγυήσεων)</w:t>
            </w:r>
          </w:p>
        </w:tc>
        <w:tc>
          <w:tcPr>
            <w:tcW w:w="1701" w:type="dxa"/>
            <w:tcBorders>
              <w:top w:val="nil"/>
              <w:left w:val="nil"/>
              <w:bottom w:val="nil"/>
              <w:right w:val="nil"/>
            </w:tcBorders>
            <w:shd w:val="clear" w:color="auto" w:fill="D9D9D9" w:themeFill="background1" w:themeFillShade="D9"/>
            <w:vAlign w:val="bottom"/>
            <w:hideMark/>
          </w:tcPr>
          <w:p w:rsidR="004E0933" w:rsidRPr="005E50F5" w:rsidRDefault="004E0933" w:rsidP="004E0933">
            <w:pPr>
              <w:ind w:right="602"/>
              <w:jc w:val="right"/>
              <w:rPr>
                <w:rFonts w:ascii="Arial Narrow" w:hAnsi="Arial Narrow"/>
                <w:b/>
                <w:bCs/>
                <w:color w:val="000000"/>
                <w:sz w:val="16"/>
                <w:szCs w:val="16"/>
              </w:rPr>
            </w:pPr>
            <w:r w:rsidRPr="005E50F5">
              <w:rPr>
                <w:rFonts w:ascii="Arial Narrow" w:hAnsi="Arial Narrow"/>
                <w:b/>
                <w:bCs/>
                <w:color w:val="000000"/>
                <w:sz w:val="16"/>
                <w:szCs w:val="16"/>
              </w:rPr>
              <w:t>1</w:t>
            </w:r>
            <w:r>
              <w:rPr>
                <w:rFonts w:ascii="Arial Narrow" w:hAnsi="Arial Narrow"/>
                <w:b/>
                <w:bCs/>
                <w:color w:val="000000"/>
                <w:sz w:val="16"/>
                <w:szCs w:val="16"/>
              </w:rPr>
              <w:t>.</w:t>
            </w:r>
            <w:r w:rsidRPr="005E50F5">
              <w:rPr>
                <w:rFonts w:ascii="Arial Narrow" w:hAnsi="Arial Narrow"/>
                <w:b/>
                <w:bCs/>
                <w:color w:val="000000"/>
                <w:sz w:val="16"/>
                <w:szCs w:val="16"/>
              </w:rPr>
              <w:t>122</w:t>
            </w:r>
          </w:p>
        </w:tc>
        <w:tc>
          <w:tcPr>
            <w:tcW w:w="1559" w:type="dxa"/>
            <w:tcBorders>
              <w:top w:val="nil"/>
              <w:left w:val="nil"/>
              <w:bottom w:val="nil"/>
              <w:right w:val="single" w:sz="4" w:space="0" w:color="auto"/>
            </w:tcBorders>
            <w:shd w:val="clear" w:color="auto" w:fill="D9D9D9" w:themeFill="background1" w:themeFillShade="D9"/>
            <w:vAlign w:val="bottom"/>
            <w:hideMark/>
          </w:tcPr>
          <w:p w:rsidR="004E0933" w:rsidRPr="005E50F5" w:rsidRDefault="004E0933" w:rsidP="004E0933">
            <w:pPr>
              <w:ind w:right="602"/>
              <w:jc w:val="right"/>
              <w:rPr>
                <w:rFonts w:ascii="Arial Narrow" w:hAnsi="Arial Narrow"/>
                <w:b/>
                <w:bCs/>
                <w:color w:val="000000"/>
                <w:sz w:val="16"/>
                <w:szCs w:val="16"/>
              </w:rPr>
            </w:pPr>
            <w:r w:rsidRPr="005E50F5">
              <w:rPr>
                <w:rFonts w:ascii="Arial Narrow" w:hAnsi="Arial Narrow"/>
                <w:b/>
                <w:bCs/>
                <w:color w:val="000000"/>
                <w:sz w:val="16"/>
                <w:szCs w:val="16"/>
              </w:rPr>
              <w:t>257</w:t>
            </w:r>
          </w:p>
        </w:tc>
      </w:tr>
      <w:tr w:rsidR="004E0933" w:rsidRPr="006325A0" w:rsidTr="0054537C">
        <w:trPr>
          <w:trHeight w:val="198"/>
          <w:jc w:val="center"/>
        </w:trPr>
        <w:tc>
          <w:tcPr>
            <w:tcW w:w="462" w:type="dxa"/>
            <w:tcBorders>
              <w:top w:val="nil"/>
              <w:left w:val="single" w:sz="4" w:space="0" w:color="auto"/>
              <w:bottom w:val="nil"/>
              <w:right w:val="nil"/>
            </w:tcBorders>
            <w:shd w:val="clear" w:color="auto" w:fill="D9D9D9" w:themeFill="background1" w:themeFillShade="D9"/>
            <w:hideMark/>
          </w:tcPr>
          <w:p w:rsidR="004E0933" w:rsidRPr="006325A0" w:rsidRDefault="004E0933" w:rsidP="0054537C">
            <w:pPr>
              <w:rPr>
                <w:rFonts w:ascii="Arial Narrow" w:eastAsiaTheme="minorEastAsia" w:hAnsi="Arial Narrow" w:cstheme="minorBidi"/>
                <w:sz w:val="16"/>
                <w:szCs w:val="16"/>
              </w:rPr>
            </w:pPr>
          </w:p>
        </w:tc>
        <w:tc>
          <w:tcPr>
            <w:tcW w:w="4788" w:type="dxa"/>
            <w:tcBorders>
              <w:top w:val="nil"/>
              <w:left w:val="nil"/>
              <w:bottom w:val="nil"/>
              <w:right w:val="nil"/>
            </w:tcBorders>
            <w:shd w:val="clear" w:color="auto" w:fill="D9D9D9" w:themeFill="background1" w:themeFillShade="D9"/>
            <w:vAlign w:val="center"/>
            <w:hideMark/>
          </w:tcPr>
          <w:p w:rsidR="004E0933" w:rsidRPr="006325A0" w:rsidRDefault="004E0933" w:rsidP="0054537C">
            <w:pPr>
              <w:rPr>
                <w:rFonts w:ascii="Arial Narrow" w:hAnsi="Arial Narrow"/>
                <w:b/>
                <w:bCs/>
                <w:sz w:val="16"/>
                <w:szCs w:val="16"/>
              </w:rPr>
            </w:pPr>
            <w:r w:rsidRPr="006325A0">
              <w:rPr>
                <w:rFonts w:ascii="Arial Narrow" w:hAnsi="Arial Narrow"/>
                <w:b/>
                <w:bCs/>
                <w:sz w:val="16"/>
                <w:szCs w:val="16"/>
              </w:rPr>
              <w:t>Ισοζύγιο (προ καταπτώσεων εγγυήσεων)</w:t>
            </w:r>
          </w:p>
        </w:tc>
        <w:tc>
          <w:tcPr>
            <w:tcW w:w="1701" w:type="dxa"/>
            <w:tcBorders>
              <w:top w:val="nil"/>
              <w:left w:val="nil"/>
              <w:bottom w:val="nil"/>
              <w:right w:val="nil"/>
            </w:tcBorders>
            <w:shd w:val="clear" w:color="auto" w:fill="D9D9D9" w:themeFill="background1" w:themeFillShade="D9"/>
            <w:vAlign w:val="bottom"/>
            <w:hideMark/>
          </w:tcPr>
          <w:p w:rsidR="004E0933" w:rsidRPr="005E50F5" w:rsidRDefault="004E0933" w:rsidP="004E0933">
            <w:pPr>
              <w:ind w:right="602"/>
              <w:jc w:val="right"/>
              <w:rPr>
                <w:rFonts w:ascii="Arial Narrow" w:hAnsi="Arial Narrow"/>
                <w:b/>
                <w:bCs/>
                <w:color w:val="000000"/>
                <w:sz w:val="16"/>
                <w:szCs w:val="16"/>
              </w:rPr>
            </w:pPr>
            <w:r w:rsidRPr="005E50F5">
              <w:rPr>
                <w:rFonts w:ascii="Arial Narrow" w:hAnsi="Arial Narrow"/>
                <w:b/>
                <w:bCs/>
                <w:color w:val="000000"/>
                <w:sz w:val="16"/>
                <w:szCs w:val="16"/>
              </w:rPr>
              <w:t>504</w:t>
            </w:r>
          </w:p>
        </w:tc>
        <w:tc>
          <w:tcPr>
            <w:tcW w:w="1559" w:type="dxa"/>
            <w:tcBorders>
              <w:top w:val="nil"/>
              <w:left w:val="nil"/>
              <w:bottom w:val="nil"/>
              <w:right w:val="single" w:sz="4" w:space="0" w:color="auto"/>
            </w:tcBorders>
            <w:shd w:val="clear" w:color="auto" w:fill="D9D9D9" w:themeFill="background1" w:themeFillShade="D9"/>
            <w:vAlign w:val="bottom"/>
            <w:hideMark/>
          </w:tcPr>
          <w:p w:rsidR="004E0933" w:rsidRPr="005E50F5" w:rsidRDefault="004E0933" w:rsidP="004E0933">
            <w:pPr>
              <w:ind w:right="602"/>
              <w:jc w:val="right"/>
              <w:rPr>
                <w:rFonts w:ascii="Arial Narrow" w:hAnsi="Arial Narrow"/>
                <w:b/>
                <w:bCs/>
                <w:color w:val="000000"/>
                <w:sz w:val="16"/>
                <w:szCs w:val="16"/>
              </w:rPr>
            </w:pPr>
            <w:r w:rsidRPr="005E50F5">
              <w:rPr>
                <w:rFonts w:ascii="Arial Narrow" w:hAnsi="Arial Narrow"/>
                <w:b/>
                <w:bCs/>
                <w:color w:val="000000"/>
                <w:sz w:val="16"/>
                <w:szCs w:val="16"/>
              </w:rPr>
              <w:t>180</w:t>
            </w:r>
          </w:p>
        </w:tc>
      </w:tr>
      <w:tr w:rsidR="004E0933" w:rsidRPr="006325A0" w:rsidTr="0054537C">
        <w:trPr>
          <w:trHeight w:val="198"/>
          <w:jc w:val="center"/>
        </w:trPr>
        <w:tc>
          <w:tcPr>
            <w:tcW w:w="462" w:type="dxa"/>
            <w:tcBorders>
              <w:top w:val="nil"/>
              <w:left w:val="single" w:sz="4" w:space="0" w:color="auto"/>
              <w:bottom w:val="single" w:sz="4" w:space="0" w:color="auto"/>
              <w:right w:val="nil"/>
            </w:tcBorders>
            <w:shd w:val="clear" w:color="auto" w:fill="D9D9D9" w:themeFill="background1" w:themeFillShade="D9"/>
            <w:hideMark/>
          </w:tcPr>
          <w:p w:rsidR="004E0933" w:rsidRPr="006325A0" w:rsidRDefault="004E0933" w:rsidP="0054537C">
            <w:pPr>
              <w:rPr>
                <w:rFonts w:ascii="Arial Narrow" w:eastAsiaTheme="minorEastAsia" w:hAnsi="Arial Narrow" w:cstheme="minorBidi"/>
                <w:sz w:val="16"/>
                <w:szCs w:val="16"/>
              </w:rPr>
            </w:pPr>
          </w:p>
        </w:tc>
        <w:tc>
          <w:tcPr>
            <w:tcW w:w="4788" w:type="dxa"/>
            <w:tcBorders>
              <w:top w:val="nil"/>
              <w:left w:val="nil"/>
              <w:bottom w:val="single" w:sz="4" w:space="0" w:color="auto"/>
              <w:right w:val="nil"/>
            </w:tcBorders>
            <w:shd w:val="clear" w:color="auto" w:fill="D9D9D9" w:themeFill="background1" w:themeFillShade="D9"/>
            <w:vAlign w:val="center"/>
            <w:hideMark/>
          </w:tcPr>
          <w:p w:rsidR="004E0933" w:rsidRPr="006325A0" w:rsidRDefault="004E0933" w:rsidP="0054537C">
            <w:pPr>
              <w:rPr>
                <w:rFonts w:ascii="Arial Narrow" w:hAnsi="Arial Narrow"/>
                <w:b/>
                <w:bCs/>
                <w:sz w:val="16"/>
                <w:szCs w:val="16"/>
              </w:rPr>
            </w:pPr>
            <w:r w:rsidRPr="006325A0">
              <w:rPr>
                <w:rFonts w:ascii="Arial Narrow" w:hAnsi="Arial Narrow"/>
                <w:b/>
                <w:bCs/>
                <w:sz w:val="16"/>
                <w:szCs w:val="16"/>
              </w:rPr>
              <w:t>Λοιπές εθνικολογιστικές προσαρμογές (καταπτώσεις εγγυήσεων)</w:t>
            </w:r>
          </w:p>
        </w:tc>
        <w:tc>
          <w:tcPr>
            <w:tcW w:w="1701" w:type="dxa"/>
            <w:tcBorders>
              <w:top w:val="nil"/>
              <w:left w:val="nil"/>
              <w:bottom w:val="single" w:sz="4" w:space="0" w:color="auto"/>
              <w:right w:val="nil"/>
            </w:tcBorders>
            <w:shd w:val="clear" w:color="auto" w:fill="D9D9D9" w:themeFill="background1" w:themeFillShade="D9"/>
            <w:vAlign w:val="bottom"/>
            <w:hideMark/>
          </w:tcPr>
          <w:p w:rsidR="004E0933" w:rsidRPr="005E50F5" w:rsidRDefault="004E0933" w:rsidP="004E0933">
            <w:pPr>
              <w:ind w:right="602"/>
              <w:jc w:val="right"/>
              <w:rPr>
                <w:rFonts w:ascii="Arial Narrow" w:hAnsi="Arial Narrow"/>
                <w:b/>
                <w:bCs/>
                <w:color w:val="000000"/>
                <w:sz w:val="16"/>
                <w:szCs w:val="16"/>
              </w:rPr>
            </w:pPr>
            <w:r w:rsidRPr="005E50F5">
              <w:rPr>
                <w:rFonts w:ascii="Arial Narrow" w:hAnsi="Arial Narrow"/>
                <w:b/>
                <w:bCs/>
                <w:color w:val="000000"/>
                <w:sz w:val="16"/>
                <w:szCs w:val="16"/>
              </w:rPr>
              <w:t>618</w:t>
            </w:r>
          </w:p>
        </w:tc>
        <w:tc>
          <w:tcPr>
            <w:tcW w:w="1559" w:type="dxa"/>
            <w:tcBorders>
              <w:top w:val="nil"/>
              <w:left w:val="nil"/>
              <w:bottom w:val="single" w:sz="4" w:space="0" w:color="auto"/>
              <w:right w:val="single" w:sz="4" w:space="0" w:color="auto"/>
            </w:tcBorders>
            <w:shd w:val="clear" w:color="auto" w:fill="D9D9D9" w:themeFill="background1" w:themeFillShade="D9"/>
            <w:vAlign w:val="bottom"/>
            <w:hideMark/>
          </w:tcPr>
          <w:p w:rsidR="004E0933" w:rsidRPr="005E50F5" w:rsidRDefault="004E0933" w:rsidP="004E0933">
            <w:pPr>
              <w:ind w:right="602"/>
              <w:jc w:val="right"/>
              <w:rPr>
                <w:rFonts w:ascii="Arial Narrow" w:hAnsi="Arial Narrow"/>
                <w:b/>
                <w:bCs/>
                <w:color w:val="000000"/>
                <w:sz w:val="16"/>
                <w:szCs w:val="16"/>
              </w:rPr>
            </w:pPr>
            <w:r w:rsidRPr="005E50F5">
              <w:rPr>
                <w:rFonts w:ascii="Arial Narrow" w:hAnsi="Arial Narrow"/>
                <w:b/>
                <w:bCs/>
                <w:color w:val="000000"/>
                <w:sz w:val="16"/>
                <w:szCs w:val="16"/>
              </w:rPr>
              <w:t>77</w:t>
            </w:r>
          </w:p>
        </w:tc>
      </w:tr>
    </w:tbl>
    <w:p w:rsidR="004E0933" w:rsidRDefault="004E0933" w:rsidP="004E0933">
      <w:pPr>
        <w:rPr>
          <w:sz w:val="22"/>
          <w:highlight w:val="yellow"/>
        </w:rPr>
      </w:pPr>
    </w:p>
    <w:p w:rsidR="004E0933" w:rsidRPr="00775C1E" w:rsidRDefault="004E0933" w:rsidP="004E0933">
      <w:pPr>
        <w:rPr>
          <w:sz w:val="22"/>
          <w:highlight w:val="yellow"/>
        </w:rPr>
      </w:pPr>
    </w:p>
    <w:p w:rsidR="004E0933" w:rsidRPr="00527DA8" w:rsidRDefault="004E0933" w:rsidP="004E0933">
      <w:pPr>
        <w:jc w:val="both"/>
        <w:rPr>
          <w:sz w:val="22"/>
        </w:rPr>
      </w:pPr>
      <w:r w:rsidRPr="00527DA8">
        <w:rPr>
          <w:sz w:val="22"/>
        </w:rPr>
        <w:t xml:space="preserve">Όπως προκύπτει από τα στοιχεία του ανωτέρω πίνακα </w:t>
      </w:r>
      <w:r w:rsidR="006D58F6">
        <w:rPr>
          <w:sz w:val="22"/>
        </w:rPr>
        <w:t xml:space="preserve">3.23 </w:t>
      </w:r>
      <w:r w:rsidRPr="00527DA8">
        <w:rPr>
          <w:sz w:val="22"/>
        </w:rPr>
        <w:t>το ισοζύγιο των ΔΕΚΟ κατά Ε</w:t>
      </w:r>
      <w:r w:rsidRPr="00527DA8">
        <w:rPr>
          <w:sz w:val="22"/>
          <w:lang w:val="en-US"/>
        </w:rPr>
        <w:t>SA</w:t>
      </w:r>
      <w:r w:rsidRPr="00527DA8">
        <w:rPr>
          <w:sz w:val="22"/>
        </w:rPr>
        <w:t xml:space="preserve"> (με κ</w:t>
      </w:r>
      <w:r w:rsidRPr="00527DA8">
        <w:rPr>
          <w:sz w:val="22"/>
        </w:rPr>
        <w:t>α</w:t>
      </w:r>
      <w:r w:rsidRPr="00527DA8">
        <w:rPr>
          <w:sz w:val="22"/>
        </w:rPr>
        <w:t>ταπτώσεις εγγυήσεων</w:t>
      </w:r>
      <w:r>
        <w:rPr>
          <w:sz w:val="22"/>
        </w:rPr>
        <w:t>)</w:t>
      </w:r>
      <w:r w:rsidRPr="003332A8">
        <w:rPr>
          <w:sz w:val="22"/>
        </w:rPr>
        <w:t xml:space="preserve"> </w:t>
      </w:r>
      <w:r>
        <w:rPr>
          <w:sz w:val="22"/>
        </w:rPr>
        <w:t>στο έτος 2021</w:t>
      </w:r>
      <w:r w:rsidRPr="00527DA8">
        <w:rPr>
          <w:sz w:val="22"/>
        </w:rPr>
        <w:t>, πρ</w:t>
      </w:r>
      <w:r>
        <w:rPr>
          <w:sz w:val="22"/>
        </w:rPr>
        <w:t>οβλέπεται σε πλεόνασμα ύψους 257 εκατ. ευρώ</w:t>
      </w:r>
      <w:r w:rsidRPr="00527DA8">
        <w:rPr>
          <w:sz w:val="22"/>
        </w:rPr>
        <w:t xml:space="preserve">, έναντι </w:t>
      </w:r>
      <w:r>
        <w:rPr>
          <w:sz w:val="22"/>
        </w:rPr>
        <w:t>εκτ</w:t>
      </w:r>
      <w:r>
        <w:rPr>
          <w:sz w:val="22"/>
        </w:rPr>
        <w:t>ί</w:t>
      </w:r>
      <w:r>
        <w:rPr>
          <w:sz w:val="22"/>
        </w:rPr>
        <w:t>μησης για πλεόνασμα ποσού 1.122</w:t>
      </w:r>
      <w:r w:rsidRPr="00527DA8">
        <w:rPr>
          <w:sz w:val="22"/>
        </w:rPr>
        <w:t xml:space="preserve"> εκατ. ευρώ</w:t>
      </w:r>
      <w:r>
        <w:rPr>
          <w:sz w:val="22"/>
        </w:rPr>
        <w:t xml:space="preserve"> στο </w:t>
      </w:r>
      <w:r w:rsidRPr="00527DA8">
        <w:rPr>
          <w:sz w:val="22"/>
        </w:rPr>
        <w:t>έτος 20</w:t>
      </w:r>
      <w:r>
        <w:rPr>
          <w:sz w:val="22"/>
        </w:rPr>
        <w:t>20</w:t>
      </w:r>
      <w:r w:rsidRPr="00527DA8">
        <w:rPr>
          <w:sz w:val="22"/>
        </w:rPr>
        <w:t xml:space="preserve">. </w:t>
      </w:r>
    </w:p>
    <w:p w:rsidR="004E0933" w:rsidRPr="00527DA8" w:rsidRDefault="004E0933" w:rsidP="004E0933">
      <w:pPr>
        <w:jc w:val="both"/>
        <w:rPr>
          <w:sz w:val="22"/>
        </w:rPr>
      </w:pPr>
    </w:p>
    <w:p w:rsidR="004E0933" w:rsidRPr="00174C87" w:rsidRDefault="004E0933" w:rsidP="004E0933">
      <w:pPr>
        <w:jc w:val="both"/>
        <w:rPr>
          <w:sz w:val="22"/>
          <w:highlight w:val="yellow"/>
        </w:rPr>
      </w:pPr>
      <w:r w:rsidRPr="00527DA8">
        <w:rPr>
          <w:sz w:val="22"/>
        </w:rPr>
        <w:t xml:space="preserve">Η </w:t>
      </w:r>
      <w:r>
        <w:rPr>
          <w:sz w:val="22"/>
        </w:rPr>
        <w:t>μείω</w:t>
      </w:r>
      <w:r w:rsidRPr="00527DA8">
        <w:rPr>
          <w:sz w:val="22"/>
        </w:rPr>
        <w:t xml:space="preserve">ση αυτή προκύπτει </w:t>
      </w:r>
      <w:r>
        <w:rPr>
          <w:sz w:val="22"/>
        </w:rPr>
        <w:t xml:space="preserve">κυρίως από </w:t>
      </w:r>
      <w:r w:rsidRPr="00527DA8">
        <w:rPr>
          <w:sz w:val="22"/>
        </w:rPr>
        <w:t>τη</w:t>
      </w:r>
      <w:r>
        <w:rPr>
          <w:sz w:val="22"/>
        </w:rPr>
        <w:t xml:space="preserve"> διαμόρφωση</w:t>
      </w:r>
      <w:r w:rsidRPr="00527DA8">
        <w:rPr>
          <w:sz w:val="22"/>
        </w:rPr>
        <w:t xml:space="preserve"> στο έτος 202</w:t>
      </w:r>
      <w:r>
        <w:rPr>
          <w:sz w:val="22"/>
        </w:rPr>
        <w:t>1</w:t>
      </w:r>
      <w:r w:rsidRPr="00527DA8">
        <w:rPr>
          <w:sz w:val="22"/>
        </w:rPr>
        <w:t xml:space="preserve"> του ποσού των </w:t>
      </w:r>
      <w:r>
        <w:rPr>
          <w:sz w:val="22"/>
        </w:rPr>
        <w:t>καταπτώσεων εγγυήσεων σε ιδιαίτερα χαμηλότερα επίπεδα (77</w:t>
      </w:r>
      <w:r w:rsidRPr="00527DA8">
        <w:rPr>
          <w:sz w:val="22"/>
        </w:rPr>
        <w:t xml:space="preserve"> εκατ. ευρώ στο έτος 202</w:t>
      </w:r>
      <w:r>
        <w:rPr>
          <w:sz w:val="22"/>
        </w:rPr>
        <w:t>1</w:t>
      </w:r>
      <w:r w:rsidRPr="00527DA8">
        <w:rPr>
          <w:sz w:val="22"/>
        </w:rPr>
        <w:t xml:space="preserve">, έναντι </w:t>
      </w:r>
      <w:r>
        <w:rPr>
          <w:sz w:val="22"/>
        </w:rPr>
        <w:t>618</w:t>
      </w:r>
      <w:r w:rsidRPr="00527DA8">
        <w:rPr>
          <w:sz w:val="22"/>
        </w:rPr>
        <w:t xml:space="preserve"> εκατ. ευρώ στο έτος </w:t>
      </w:r>
      <w:r w:rsidRPr="006162BD">
        <w:rPr>
          <w:sz w:val="22"/>
        </w:rPr>
        <w:t>2020)</w:t>
      </w:r>
      <w:r w:rsidR="00174C87">
        <w:rPr>
          <w:sz w:val="22"/>
        </w:rPr>
        <w:t xml:space="preserve">, </w:t>
      </w:r>
      <w:r w:rsidR="00687ED4" w:rsidRPr="00687ED4">
        <w:rPr>
          <w:sz w:val="22"/>
        </w:rPr>
        <w:t>επίπτωση η οποία ωστόσο είναι ουδέτερη σε επίπεδο γενικής κυβέρνησης</w:t>
      </w:r>
      <w:r w:rsidRPr="00174C87">
        <w:rPr>
          <w:sz w:val="22"/>
        </w:rPr>
        <w:t>.</w:t>
      </w:r>
    </w:p>
    <w:p w:rsidR="004E0933" w:rsidRPr="00775C1E" w:rsidRDefault="004E0933" w:rsidP="004E0933">
      <w:pPr>
        <w:jc w:val="both"/>
        <w:rPr>
          <w:sz w:val="22"/>
          <w:highlight w:val="yellow"/>
        </w:rPr>
      </w:pPr>
    </w:p>
    <w:p w:rsidR="004E0933" w:rsidRPr="0052273A" w:rsidRDefault="004E0933" w:rsidP="004E0933">
      <w:pPr>
        <w:jc w:val="both"/>
        <w:rPr>
          <w:sz w:val="22"/>
        </w:rPr>
      </w:pPr>
      <w:r w:rsidRPr="0052273A">
        <w:rPr>
          <w:sz w:val="22"/>
        </w:rPr>
        <w:t xml:space="preserve">Κύριες πηγές εσόδων των ανωτέρω φορέων, αποτελούν </w:t>
      </w:r>
      <w:r w:rsidR="00FF08B3">
        <w:rPr>
          <w:sz w:val="22"/>
        </w:rPr>
        <w:t>τα έσοδα από πωλήσεις υπηρεσιών και</w:t>
      </w:r>
      <w:r w:rsidRPr="0052273A">
        <w:rPr>
          <w:sz w:val="22"/>
        </w:rPr>
        <w:t xml:space="preserve"> οι επ</w:t>
      </w:r>
      <w:r w:rsidRPr="0052273A">
        <w:rPr>
          <w:sz w:val="22"/>
        </w:rPr>
        <w:t>ι</w:t>
      </w:r>
      <w:r w:rsidRPr="0052273A">
        <w:rPr>
          <w:sz w:val="22"/>
        </w:rPr>
        <w:t xml:space="preserve">χορηγήσεις </w:t>
      </w:r>
      <w:r>
        <w:rPr>
          <w:sz w:val="22"/>
        </w:rPr>
        <w:t xml:space="preserve">του Κρατικού Προϋπολογισμού </w:t>
      </w:r>
      <w:r w:rsidRPr="0052273A">
        <w:rPr>
          <w:sz w:val="22"/>
        </w:rPr>
        <w:t>για την υλοποίηση επενδυτικών δαπανών, ιδιαίτερα στους τομείς των μεταφορών, των υποδομών, της πληροφορικής, των επικοινωνιών και των νέων τεχνολ</w:t>
      </w:r>
      <w:r w:rsidRPr="0052273A">
        <w:rPr>
          <w:sz w:val="22"/>
        </w:rPr>
        <w:t>ο</w:t>
      </w:r>
      <w:r w:rsidRPr="0052273A">
        <w:rPr>
          <w:sz w:val="22"/>
        </w:rPr>
        <w:t>γιών.</w:t>
      </w:r>
    </w:p>
    <w:p w:rsidR="004E0933" w:rsidRPr="00775C1E" w:rsidRDefault="004E0933" w:rsidP="004E0933">
      <w:pPr>
        <w:jc w:val="both"/>
        <w:rPr>
          <w:sz w:val="22"/>
          <w:highlight w:val="yellow"/>
        </w:rPr>
      </w:pPr>
    </w:p>
    <w:p w:rsidR="004E0933" w:rsidRPr="0052273A" w:rsidRDefault="004E0933" w:rsidP="004E0933">
      <w:pPr>
        <w:jc w:val="both"/>
        <w:rPr>
          <w:sz w:val="22"/>
        </w:rPr>
      </w:pPr>
      <w:r w:rsidRPr="0052273A">
        <w:rPr>
          <w:sz w:val="22"/>
        </w:rPr>
        <w:t>Η ανάλυση των ΔΕΚΟ ανά Υπουργείο, έχει ως εξής:</w:t>
      </w:r>
    </w:p>
    <w:p w:rsidR="004E0933" w:rsidRDefault="004E0933" w:rsidP="004E0933">
      <w:pPr>
        <w:jc w:val="both"/>
        <w:rPr>
          <w:sz w:val="22"/>
          <w:highlight w:val="yellow"/>
        </w:rPr>
      </w:pPr>
    </w:p>
    <w:p w:rsidR="008F2982" w:rsidRPr="008F2982" w:rsidRDefault="008F2982" w:rsidP="008F2982">
      <w:pPr>
        <w:numPr>
          <w:ilvl w:val="0"/>
          <w:numId w:val="4"/>
        </w:numPr>
        <w:ind w:left="284" w:hanging="284"/>
        <w:jc w:val="both"/>
        <w:rPr>
          <w:sz w:val="22"/>
        </w:rPr>
      </w:pPr>
      <w:r>
        <w:rPr>
          <w:sz w:val="22"/>
          <w:szCs w:val="22"/>
        </w:rPr>
        <w:t>Σ</w:t>
      </w:r>
      <w:r w:rsidRPr="00337275">
        <w:rPr>
          <w:sz w:val="22"/>
          <w:szCs w:val="22"/>
        </w:rPr>
        <w:t xml:space="preserve">την Προεδρία της Κυβέρνησης ανήκει η εποπτεία της </w:t>
      </w:r>
      <w:r>
        <w:rPr>
          <w:sz w:val="22"/>
          <w:szCs w:val="22"/>
        </w:rPr>
        <w:t>Ελληνικής</w:t>
      </w:r>
      <w:r w:rsidRPr="00337275">
        <w:rPr>
          <w:sz w:val="22"/>
          <w:szCs w:val="22"/>
        </w:rPr>
        <w:t xml:space="preserve"> Ραδιοφωνίας και Τηλεόρασης (ΕΡΤ ΑΕ), βασική αποστολή της οποίας είναι η ποιοτική και πολυδιάστατη ενημέρωση και ψυχ</w:t>
      </w:r>
      <w:r w:rsidRPr="00337275">
        <w:rPr>
          <w:sz w:val="22"/>
          <w:szCs w:val="22"/>
        </w:rPr>
        <w:t>α</w:t>
      </w:r>
      <w:r w:rsidRPr="00337275">
        <w:rPr>
          <w:sz w:val="22"/>
          <w:szCs w:val="22"/>
        </w:rPr>
        <w:lastRenderedPageBreak/>
        <w:t>γωγία του κοινωνικού συνόλου, μέσω της συνεχούς αναβάθμισης του ραδιοτηλεοπτικού προγρά</w:t>
      </w:r>
      <w:r w:rsidRPr="00337275">
        <w:rPr>
          <w:sz w:val="22"/>
          <w:szCs w:val="22"/>
        </w:rPr>
        <w:t>μ</w:t>
      </w:r>
      <w:r w:rsidRPr="00337275">
        <w:rPr>
          <w:sz w:val="22"/>
          <w:szCs w:val="22"/>
        </w:rPr>
        <w:t xml:space="preserve">ματος, με ελεύθερη πρόσβαση του περιεχομένου του σε όλες τις μορφές μετάδοσης, τόσο για το σύνολο της Επικράτειας όσο και για τον απόδημο ελληνισμό. </w:t>
      </w:r>
      <w:r w:rsidRPr="00667F4B">
        <w:rPr>
          <w:sz w:val="22"/>
          <w:szCs w:val="22"/>
        </w:rPr>
        <w:t>Το δημοσιονομικό αποτέλεσμα της ΕΡΤ για το έτος 2021 προβλέπεται θετικό</w:t>
      </w:r>
      <w:r w:rsidRPr="00337275">
        <w:rPr>
          <w:sz w:val="22"/>
          <w:szCs w:val="22"/>
        </w:rPr>
        <w:t xml:space="preserve"> </w:t>
      </w:r>
      <w:r>
        <w:rPr>
          <w:sz w:val="22"/>
          <w:szCs w:val="22"/>
        </w:rPr>
        <w:t xml:space="preserve">στο ποσό των </w:t>
      </w:r>
      <w:r w:rsidRPr="00667F4B">
        <w:rPr>
          <w:sz w:val="22"/>
          <w:szCs w:val="22"/>
        </w:rPr>
        <w:t>8 εκατ. ευρώ,</w:t>
      </w:r>
      <w:r w:rsidRPr="00337275">
        <w:rPr>
          <w:sz w:val="22"/>
          <w:szCs w:val="22"/>
        </w:rPr>
        <w:t xml:space="preserve"> στο οποίο περιλαμβάνεται και απόδοση μερίσματος στο Ελληνικό Δημόσιο</w:t>
      </w:r>
      <w:r>
        <w:rPr>
          <w:sz w:val="22"/>
          <w:szCs w:val="22"/>
        </w:rPr>
        <w:t xml:space="preserve"> ποσού 16 εκατ. ευρώ</w:t>
      </w:r>
      <w:r w:rsidRPr="00337275">
        <w:rPr>
          <w:sz w:val="22"/>
          <w:szCs w:val="22"/>
        </w:rPr>
        <w:t xml:space="preserve">. </w:t>
      </w:r>
      <w:r>
        <w:rPr>
          <w:sz w:val="22"/>
          <w:szCs w:val="22"/>
        </w:rPr>
        <w:t>Η μείωση</w:t>
      </w:r>
      <w:r w:rsidRPr="00337275">
        <w:rPr>
          <w:sz w:val="22"/>
          <w:szCs w:val="22"/>
        </w:rPr>
        <w:t xml:space="preserve"> του</w:t>
      </w:r>
      <w:r>
        <w:rPr>
          <w:sz w:val="22"/>
          <w:szCs w:val="22"/>
        </w:rPr>
        <w:t xml:space="preserve"> αποτελέσμ</w:t>
      </w:r>
      <w:r>
        <w:rPr>
          <w:sz w:val="22"/>
          <w:szCs w:val="22"/>
        </w:rPr>
        <w:t>α</w:t>
      </w:r>
      <w:r>
        <w:rPr>
          <w:sz w:val="22"/>
          <w:szCs w:val="22"/>
        </w:rPr>
        <w:t xml:space="preserve">τος στο έτος </w:t>
      </w:r>
      <w:r w:rsidRPr="00337275">
        <w:rPr>
          <w:sz w:val="22"/>
          <w:szCs w:val="22"/>
        </w:rPr>
        <w:t xml:space="preserve">2021 </w:t>
      </w:r>
      <w:r>
        <w:rPr>
          <w:sz w:val="22"/>
          <w:szCs w:val="22"/>
        </w:rPr>
        <w:t>σε σχέση</w:t>
      </w:r>
      <w:r w:rsidR="00D93C7B">
        <w:rPr>
          <w:sz w:val="22"/>
          <w:szCs w:val="22"/>
        </w:rPr>
        <w:t xml:space="preserve"> με το έτος 2020, κατά το οποίο υπαγόταν στο Υπουργείο Οικονομ</w:t>
      </w:r>
      <w:r w:rsidR="00D93C7B">
        <w:rPr>
          <w:sz w:val="22"/>
          <w:szCs w:val="22"/>
        </w:rPr>
        <w:t>ι</w:t>
      </w:r>
      <w:r w:rsidR="00D93C7B">
        <w:rPr>
          <w:sz w:val="22"/>
          <w:szCs w:val="22"/>
        </w:rPr>
        <w:t xml:space="preserve">κών, </w:t>
      </w:r>
      <w:r w:rsidR="00687ED4" w:rsidRPr="00055CBD">
        <w:rPr>
          <w:sz w:val="22"/>
          <w:szCs w:val="22"/>
        </w:rPr>
        <w:t>μ</w:t>
      </w:r>
      <w:r w:rsidR="00055CBD">
        <w:rPr>
          <w:sz w:val="22"/>
          <w:szCs w:val="22"/>
        </w:rPr>
        <w:t>ε εκτιμώμενο αποτέλεσμα ποσού 40</w:t>
      </w:r>
      <w:r w:rsidR="00687ED4" w:rsidRPr="00055CBD">
        <w:rPr>
          <w:sz w:val="22"/>
          <w:szCs w:val="22"/>
        </w:rPr>
        <w:t xml:space="preserve"> εκατ. ευρώ</w:t>
      </w:r>
      <w:r w:rsidR="00D93C7B" w:rsidRPr="00055CBD">
        <w:rPr>
          <w:sz w:val="22"/>
          <w:szCs w:val="22"/>
        </w:rPr>
        <w:t>,</w:t>
      </w:r>
      <w:r w:rsidRPr="00055CBD">
        <w:rPr>
          <w:sz w:val="22"/>
          <w:szCs w:val="22"/>
        </w:rPr>
        <w:t xml:space="preserve"> οφείλεται</w:t>
      </w:r>
      <w:r>
        <w:rPr>
          <w:sz w:val="22"/>
          <w:szCs w:val="22"/>
        </w:rPr>
        <w:t xml:space="preserve"> κυρίως </w:t>
      </w:r>
      <w:r w:rsidRPr="00337275">
        <w:rPr>
          <w:sz w:val="22"/>
          <w:szCs w:val="22"/>
        </w:rPr>
        <w:t>στις αυξημένες δαπάνες που προβλέπονται</w:t>
      </w:r>
      <w:r>
        <w:rPr>
          <w:sz w:val="22"/>
          <w:szCs w:val="22"/>
        </w:rPr>
        <w:t xml:space="preserve"> </w:t>
      </w:r>
      <w:r w:rsidRPr="00337275">
        <w:rPr>
          <w:sz w:val="22"/>
          <w:szCs w:val="22"/>
        </w:rPr>
        <w:t>για την ανάπτυξη του ενημερωτικού και ψυχαγωγικού προγράμματος</w:t>
      </w:r>
      <w:r>
        <w:rPr>
          <w:sz w:val="22"/>
          <w:szCs w:val="22"/>
        </w:rPr>
        <w:t>.</w:t>
      </w:r>
      <w:r w:rsidRPr="00337275">
        <w:rPr>
          <w:sz w:val="22"/>
          <w:szCs w:val="22"/>
        </w:rPr>
        <w:t xml:space="preserve"> </w:t>
      </w:r>
    </w:p>
    <w:p w:rsidR="008F2982" w:rsidRPr="004A74B8" w:rsidRDefault="008F2982" w:rsidP="008F2982">
      <w:pPr>
        <w:ind w:left="284"/>
        <w:jc w:val="both"/>
        <w:rPr>
          <w:sz w:val="22"/>
        </w:rPr>
      </w:pPr>
    </w:p>
    <w:p w:rsidR="004E0933" w:rsidRPr="000B1923" w:rsidRDefault="004E0933" w:rsidP="004E0933">
      <w:pPr>
        <w:numPr>
          <w:ilvl w:val="0"/>
          <w:numId w:val="7"/>
        </w:numPr>
        <w:ind w:left="284" w:hanging="284"/>
        <w:jc w:val="both"/>
        <w:rPr>
          <w:sz w:val="22"/>
          <w:szCs w:val="22"/>
        </w:rPr>
      </w:pPr>
      <w:r w:rsidRPr="00A64F88">
        <w:rPr>
          <w:sz w:val="22"/>
          <w:szCs w:val="22"/>
        </w:rPr>
        <w:t>Στο Υπουργείο Εθνικής Άμ</w:t>
      </w:r>
      <w:r>
        <w:rPr>
          <w:sz w:val="22"/>
          <w:szCs w:val="22"/>
        </w:rPr>
        <w:t xml:space="preserve">υνας περιλαμβάνεται η εταιρεία </w:t>
      </w:r>
      <w:r w:rsidRPr="00A64F88">
        <w:rPr>
          <w:sz w:val="22"/>
          <w:szCs w:val="22"/>
        </w:rPr>
        <w:t xml:space="preserve">Ελληνικά Αμυντικά Συστήματα </w:t>
      </w:r>
      <w:r>
        <w:rPr>
          <w:sz w:val="22"/>
          <w:szCs w:val="22"/>
        </w:rPr>
        <w:t>(ΕΑΣ) ΑΒΕΕ</w:t>
      </w:r>
      <w:r w:rsidRPr="00A64F88">
        <w:rPr>
          <w:sz w:val="22"/>
          <w:szCs w:val="22"/>
        </w:rPr>
        <w:t xml:space="preserve">, </w:t>
      </w:r>
      <w:r w:rsidRPr="000B1923">
        <w:rPr>
          <w:sz w:val="22"/>
          <w:szCs w:val="22"/>
        </w:rPr>
        <w:t>το δημοσιονομικό αποτέλεσμα της οποίας</w:t>
      </w:r>
      <w:r w:rsidR="00AA7676">
        <w:rPr>
          <w:sz w:val="22"/>
          <w:szCs w:val="22"/>
        </w:rPr>
        <w:t xml:space="preserve"> </w:t>
      </w:r>
      <w:r w:rsidRPr="000B1923">
        <w:rPr>
          <w:sz w:val="22"/>
          <w:szCs w:val="22"/>
        </w:rPr>
        <w:t xml:space="preserve">προβλέπεται θετικό </w:t>
      </w:r>
      <w:r w:rsidR="008B0104">
        <w:rPr>
          <w:sz w:val="22"/>
          <w:szCs w:val="22"/>
        </w:rPr>
        <w:t xml:space="preserve">στα </w:t>
      </w:r>
      <w:r w:rsidR="00D93C7B">
        <w:rPr>
          <w:sz w:val="22"/>
          <w:szCs w:val="22"/>
        </w:rPr>
        <w:t>34</w:t>
      </w:r>
      <w:r>
        <w:rPr>
          <w:sz w:val="22"/>
          <w:szCs w:val="22"/>
        </w:rPr>
        <w:t xml:space="preserve"> εκατ. ευρώ στο έτος 2021, </w:t>
      </w:r>
      <w:r w:rsidR="00D93C7B">
        <w:rPr>
          <w:sz w:val="22"/>
          <w:szCs w:val="22"/>
        </w:rPr>
        <w:t xml:space="preserve">έναντι του ποσού των 47 εκατ. ευρώ στο έτος </w:t>
      </w:r>
      <w:r>
        <w:rPr>
          <w:sz w:val="22"/>
          <w:szCs w:val="22"/>
        </w:rPr>
        <w:t xml:space="preserve">2020. </w:t>
      </w:r>
    </w:p>
    <w:p w:rsidR="004E0933" w:rsidRPr="00645C8D" w:rsidRDefault="004E0933" w:rsidP="004E0933">
      <w:pPr>
        <w:ind w:left="284"/>
        <w:jc w:val="both"/>
        <w:rPr>
          <w:sz w:val="22"/>
          <w:u w:val="single"/>
        </w:rPr>
      </w:pPr>
    </w:p>
    <w:p w:rsidR="004E0933" w:rsidRPr="00552DF3" w:rsidRDefault="004E0933" w:rsidP="004E0933">
      <w:pPr>
        <w:numPr>
          <w:ilvl w:val="0"/>
          <w:numId w:val="7"/>
        </w:numPr>
        <w:ind w:left="284" w:hanging="284"/>
        <w:jc w:val="both"/>
        <w:rPr>
          <w:sz w:val="22"/>
          <w:szCs w:val="22"/>
        </w:rPr>
      </w:pPr>
      <w:r w:rsidRPr="00552DF3">
        <w:rPr>
          <w:sz w:val="22"/>
          <w:szCs w:val="22"/>
        </w:rPr>
        <w:t>Στο Υπουργείο Υγείας εποπτευόμενη ΔΕΚΟ είναι ο Εθνικός Ορ</w:t>
      </w:r>
      <w:r>
        <w:rPr>
          <w:sz w:val="22"/>
          <w:szCs w:val="22"/>
        </w:rPr>
        <w:t>γανισμός Δημόσιας Υγείας (ΕΟΔΥ), σκοπός του οποίου είναι η παροχή υπηρεσιών</w:t>
      </w:r>
      <w:r w:rsidRPr="00552DF3">
        <w:rPr>
          <w:sz w:val="22"/>
          <w:szCs w:val="22"/>
        </w:rPr>
        <w:t xml:space="preserve"> </w:t>
      </w:r>
      <w:r>
        <w:rPr>
          <w:sz w:val="22"/>
          <w:szCs w:val="22"/>
        </w:rPr>
        <w:t xml:space="preserve">για την </w:t>
      </w:r>
      <w:r w:rsidRPr="00552DF3">
        <w:rPr>
          <w:sz w:val="22"/>
          <w:szCs w:val="22"/>
        </w:rPr>
        <w:t xml:space="preserve">προστασία και </w:t>
      </w:r>
      <w:r>
        <w:rPr>
          <w:sz w:val="22"/>
          <w:szCs w:val="22"/>
        </w:rPr>
        <w:t xml:space="preserve">τη </w:t>
      </w:r>
      <w:r w:rsidRPr="00552DF3">
        <w:rPr>
          <w:sz w:val="22"/>
          <w:szCs w:val="22"/>
        </w:rPr>
        <w:t xml:space="preserve">βελτίωση της </w:t>
      </w:r>
      <w:r w:rsidRPr="00552DF3">
        <w:rPr>
          <w:sz w:val="22"/>
          <w:szCs w:val="22"/>
        </w:rPr>
        <w:t>υ</w:t>
      </w:r>
      <w:r w:rsidRPr="00552DF3">
        <w:rPr>
          <w:sz w:val="22"/>
          <w:szCs w:val="22"/>
        </w:rPr>
        <w:t>γείας και την αύξηση του προσδόκιμου επιβίωσης του πληθυσμού, ενισχύοντας την ικανότητα του Εθνικού Συστήματος Υγείας</w:t>
      </w:r>
      <w:r>
        <w:rPr>
          <w:sz w:val="22"/>
          <w:szCs w:val="22"/>
        </w:rPr>
        <w:t>,</w:t>
      </w:r>
      <w:r w:rsidRPr="00552DF3">
        <w:rPr>
          <w:sz w:val="22"/>
          <w:szCs w:val="22"/>
        </w:rPr>
        <w:t xml:space="preserve"> </w:t>
      </w:r>
      <w:r>
        <w:rPr>
          <w:sz w:val="22"/>
          <w:szCs w:val="22"/>
        </w:rPr>
        <w:t>με στόχο</w:t>
      </w:r>
      <w:r w:rsidRPr="00552DF3">
        <w:rPr>
          <w:sz w:val="22"/>
          <w:szCs w:val="22"/>
        </w:rPr>
        <w:t xml:space="preserve"> την αποτελεσματική αντ</w:t>
      </w:r>
      <w:r>
        <w:rPr>
          <w:sz w:val="22"/>
          <w:szCs w:val="22"/>
        </w:rPr>
        <w:t>ιμετώπιση των απειλών από μετ</w:t>
      </w:r>
      <w:r>
        <w:rPr>
          <w:sz w:val="22"/>
          <w:szCs w:val="22"/>
        </w:rPr>
        <w:t>α</w:t>
      </w:r>
      <w:r>
        <w:rPr>
          <w:sz w:val="22"/>
          <w:szCs w:val="22"/>
        </w:rPr>
        <w:t>διδόμενα</w:t>
      </w:r>
      <w:r w:rsidRPr="00552DF3">
        <w:rPr>
          <w:sz w:val="22"/>
          <w:szCs w:val="22"/>
        </w:rPr>
        <w:t xml:space="preserve"> νοσήματα.</w:t>
      </w:r>
      <w:r w:rsidR="00AA7676">
        <w:rPr>
          <w:sz w:val="22"/>
          <w:szCs w:val="22"/>
        </w:rPr>
        <w:t xml:space="preserve"> </w:t>
      </w:r>
      <w:r>
        <w:rPr>
          <w:sz w:val="22"/>
          <w:szCs w:val="22"/>
        </w:rPr>
        <w:t>Για το έτος 2021</w:t>
      </w:r>
      <w:r w:rsidRPr="00552DF3">
        <w:rPr>
          <w:sz w:val="22"/>
          <w:szCs w:val="22"/>
        </w:rPr>
        <w:t xml:space="preserve"> προβ</w:t>
      </w:r>
      <w:r>
        <w:rPr>
          <w:sz w:val="22"/>
          <w:szCs w:val="22"/>
        </w:rPr>
        <w:t>λέπεται πλεόνασμα ποσού 1 εκατ. ευρώ</w:t>
      </w:r>
      <w:r w:rsidRPr="00552DF3">
        <w:rPr>
          <w:sz w:val="22"/>
          <w:szCs w:val="22"/>
        </w:rPr>
        <w:t xml:space="preserve">, έναντι </w:t>
      </w:r>
      <w:r>
        <w:rPr>
          <w:sz w:val="22"/>
          <w:szCs w:val="22"/>
        </w:rPr>
        <w:t>9 εκατ. ευρώ στο έτος 2020</w:t>
      </w:r>
      <w:r w:rsidRPr="00552DF3">
        <w:rPr>
          <w:sz w:val="22"/>
          <w:szCs w:val="22"/>
        </w:rPr>
        <w:t xml:space="preserve">. </w:t>
      </w:r>
    </w:p>
    <w:p w:rsidR="004E0933" w:rsidRPr="00DB5254" w:rsidRDefault="004E0933" w:rsidP="004E0933">
      <w:pPr>
        <w:ind w:left="284"/>
        <w:jc w:val="both"/>
        <w:rPr>
          <w:i/>
          <w:iCs/>
          <w:sz w:val="22"/>
          <w:szCs w:val="22"/>
        </w:rPr>
      </w:pPr>
    </w:p>
    <w:p w:rsidR="004E0933" w:rsidRPr="00055CBD" w:rsidRDefault="004E0933" w:rsidP="004E0933">
      <w:pPr>
        <w:numPr>
          <w:ilvl w:val="0"/>
          <w:numId w:val="7"/>
        </w:numPr>
        <w:ind w:left="284" w:hanging="284"/>
        <w:jc w:val="both"/>
        <w:rPr>
          <w:i/>
          <w:iCs/>
          <w:sz w:val="22"/>
          <w:szCs w:val="22"/>
        </w:rPr>
      </w:pPr>
      <w:r w:rsidRPr="00A64F88">
        <w:rPr>
          <w:sz w:val="22"/>
          <w:szCs w:val="22"/>
        </w:rPr>
        <w:t xml:space="preserve">Στο Υπουργείο Οικονομικών </w:t>
      </w:r>
      <w:r>
        <w:rPr>
          <w:sz w:val="22"/>
          <w:szCs w:val="22"/>
        </w:rPr>
        <w:t xml:space="preserve">εποπτευόμενος φορέας είναι η </w:t>
      </w:r>
      <w:r w:rsidRPr="00667F4B">
        <w:rPr>
          <w:sz w:val="22"/>
          <w:szCs w:val="22"/>
        </w:rPr>
        <w:t>Ελληνική</w:t>
      </w:r>
      <w:r>
        <w:rPr>
          <w:sz w:val="22"/>
          <w:szCs w:val="22"/>
        </w:rPr>
        <w:t xml:space="preserve"> Αεροπορική Βιομηχανία (ΕΑΒ) ΑΕ</w:t>
      </w:r>
      <w:r w:rsidRPr="00667F4B">
        <w:rPr>
          <w:sz w:val="22"/>
          <w:szCs w:val="22"/>
        </w:rPr>
        <w:t xml:space="preserve">, </w:t>
      </w:r>
      <w:r>
        <w:rPr>
          <w:sz w:val="22"/>
          <w:szCs w:val="22"/>
        </w:rPr>
        <w:t>με θετικό αποτέλεσμα στο έτος 2021</w:t>
      </w:r>
      <w:r w:rsidRPr="00667F4B">
        <w:rPr>
          <w:sz w:val="22"/>
          <w:szCs w:val="22"/>
        </w:rPr>
        <w:t xml:space="preserve"> </w:t>
      </w:r>
      <w:r>
        <w:rPr>
          <w:sz w:val="22"/>
          <w:szCs w:val="22"/>
        </w:rPr>
        <w:t>ποσού 1</w:t>
      </w:r>
      <w:r w:rsidR="00AA7676">
        <w:rPr>
          <w:sz w:val="22"/>
          <w:szCs w:val="22"/>
        </w:rPr>
        <w:t xml:space="preserve"> </w:t>
      </w:r>
      <w:r w:rsidRPr="00667F4B">
        <w:rPr>
          <w:sz w:val="22"/>
          <w:szCs w:val="22"/>
        </w:rPr>
        <w:t>εκατ. ευρώ</w:t>
      </w:r>
      <w:r w:rsidR="00D93C7B">
        <w:rPr>
          <w:sz w:val="22"/>
          <w:szCs w:val="22"/>
        </w:rPr>
        <w:t>, έναντι εκτιμώμενου αρνητ</w:t>
      </w:r>
      <w:r w:rsidR="00D93C7B">
        <w:rPr>
          <w:sz w:val="22"/>
          <w:szCs w:val="22"/>
        </w:rPr>
        <w:t>ι</w:t>
      </w:r>
      <w:r w:rsidR="00D93C7B">
        <w:rPr>
          <w:sz w:val="22"/>
          <w:szCs w:val="22"/>
        </w:rPr>
        <w:t>κού αποτελέσματος ποσού 21 εκατ. ευρώ</w:t>
      </w:r>
      <w:r w:rsidR="002A1261">
        <w:rPr>
          <w:sz w:val="22"/>
          <w:szCs w:val="22"/>
        </w:rPr>
        <w:t xml:space="preserve"> στο έτος 2020</w:t>
      </w:r>
      <w:r w:rsidRPr="00667F4B">
        <w:rPr>
          <w:sz w:val="22"/>
          <w:szCs w:val="22"/>
        </w:rPr>
        <w:t xml:space="preserve">. </w:t>
      </w:r>
      <w:r>
        <w:rPr>
          <w:sz w:val="22"/>
          <w:szCs w:val="22"/>
        </w:rPr>
        <w:t>Σημειώνεται ότι μέχρι το έτος 2020 υπ</w:t>
      </w:r>
      <w:r>
        <w:rPr>
          <w:sz w:val="22"/>
          <w:szCs w:val="22"/>
        </w:rPr>
        <w:t>α</w:t>
      </w:r>
      <w:r>
        <w:rPr>
          <w:sz w:val="22"/>
          <w:szCs w:val="22"/>
        </w:rPr>
        <w:t>γόταν στο Υπουργείο Οικονομικών και η Ελληνική Ραδιοφωνία Τηλεόραση (ΕΡΤ) ΑΕ</w:t>
      </w:r>
      <w:r w:rsidRPr="00055CBD">
        <w:rPr>
          <w:sz w:val="22"/>
          <w:szCs w:val="22"/>
        </w:rPr>
        <w:t xml:space="preserve">, </w:t>
      </w:r>
      <w:r w:rsidR="00687ED4" w:rsidRPr="00055CBD">
        <w:rPr>
          <w:sz w:val="22"/>
          <w:szCs w:val="22"/>
        </w:rPr>
        <w:t>με εκτιμ</w:t>
      </w:r>
      <w:r w:rsidR="00687ED4" w:rsidRPr="00055CBD">
        <w:rPr>
          <w:sz w:val="22"/>
          <w:szCs w:val="22"/>
        </w:rPr>
        <w:t>ώ</w:t>
      </w:r>
      <w:r w:rsidR="00687ED4" w:rsidRPr="00055CBD">
        <w:rPr>
          <w:sz w:val="22"/>
          <w:szCs w:val="22"/>
        </w:rPr>
        <w:t>μενο αποτέλεσμα ποσού 40 εκατ. ευρώ</w:t>
      </w:r>
      <w:r w:rsidR="00D93C7B" w:rsidRPr="00055CBD">
        <w:rPr>
          <w:sz w:val="22"/>
          <w:szCs w:val="22"/>
        </w:rPr>
        <w:t xml:space="preserve">, </w:t>
      </w:r>
      <w:r w:rsidRPr="00055CBD">
        <w:rPr>
          <w:sz w:val="22"/>
          <w:szCs w:val="22"/>
        </w:rPr>
        <w:t xml:space="preserve">ενώ από το έτος 2021 </w:t>
      </w:r>
      <w:r w:rsidR="00D93C7B" w:rsidRPr="00055CBD">
        <w:rPr>
          <w:sz w:val="22"/>
          <w:szCs w:val="22"/>
        </w:rPr>
        <w:t xml:space="preserve">ο εν λόγω φορέας </w:t>
      </w:r>
      <w:r w:rsidRPr="00055CBD">
        <w:rPr>
          <w:sz w:val="22"/>
          <w:szCs w:val="22"/>
        </w:rPr>
        <w:t>ανήκει στην επ</w:t>
      </w:r>
      <w:r w:rsidRPr="00055CBD">
        <w:rPr>
          <w:sz w:val="22"/>
          <w:szCs w:val="22"/>
        </w:rPr>
        <w:t>ο</w:t>
      </w:r>
      <w:r w:rsidRPr="00055CBD">
        <w:rPr>
          <w:sz w:val="22"/>
          <w:szCs w:val="22"/>
        </w:rPr>
        <w:t>πτεία της Προεδρίας</w:t>
      </w:r>
      <w:r w:rsidR="00AA7676" w:rsidRPr="00055CBD">
        <w:rPr>
          <w:sz w:val="22"/>
          <w:szCs w:val="22"/>
        </w:rPr>
        <w:t xml:space="preserve"> </w:t>
      </w:r>
      <w:r w:rsidRPr="00055CBD">
        <w:rPr>
          <w:sz w:val="22"/>
          <w:szCs w:val="22"/>
        </w:rPr>
        <w:t xml:space="preserve">της Κυβέρνησης. </w:t>
      </w:r>
    </w:p>
    <w:p w:rsidR="004E0933" w:rsidRPr="00055CBD" w:rsidRDefault="004E0933" w:rsidP="004E0933">
      <w:pPr>
        <w:ind w:left="284"/>
        <w:jc w:val="both"/>
        <w:rPr>
          <w:i/>
          <w:iCs/>
          <w:sz w:val="22"/>
          <w:szCs w:val="22"/>
        </w:rPr>
      </w:pPr>
    </w:p>
    <w:p w:rsidR="004E0933" w:rsidRDefault="004E0933" w:rsidP="004E0933">
      <w:pPr>
        <w:numPr>
          <w:ilvl w:val="0"/>
          <w:numId w:val="4"/>
        </w:numPr>
        <w:ind w:left="284" w:hanging="284"/>
        <w:jc w:val="both"/>
        <w:rPr>
          <w:sz w:val="22"/>
        </w:rPr>
      </w:pPr>
      <w:r w:rsidRPr="00055CBD">
        <w:rPr>
          <w:sz w:val="22"/>
        </w:rPr>
        <w:t>Στο Υπουργείο Αγροτικής Ανάπτυξης και Τροφίμων υπάγονται ο Οργανισμός Ελληνικών Γεωργ</w:t>
      </w:r>
      <w:r w:rsidRPr="00055CBD">
        <w:rPr>
          <w:sz w:val="22"/>
        </w:rPr>
        <w:t>ι</w:t>
      </w:r>
      <w:r>
        <w:rPr>
          <w:sz w:val="22"/>
        </w:rPr>
        <w:t>κών Ασφαλίσεων (ΕΛΓΑ)</w:t>
      </w:r>
      <w:r w:rsidRPr="00A54BFA">
        <w:rPr>
          <w:sz w:val="22"/>
        </w:rPr>
        <w:t>, ο οποίος αποτελεί κεντρικό φορέα ασφαλιστικής κάλυψης των γεωργ</w:t>
      </w:r>
      <w:r w:rsidRPr="00A54BFA">
        <w:rPr>
          <w:sz w:val="22"/>
        </w:rPr>
        <w:t>ι</w:t>
      </w:r>
      <w:r w:rsidRPr="00A54BFA">
        <w:rPr>
          <w:sz w:val="22"/>
        </w:rPr>
        <w:t>κών εκμεταλλεύσεων στην Ελλάδα, ο Οργανισμός Πληρωμών και Ελέγχου Κοινοτικών Ενισχύσ</w:t>
      </w:r>
      <w:r w:rsidRPr="00A54BFA">
        <w:rPr>
          <w:sz w:val="22"/>
        </w:rPr>
        <w:t>ε</w:t>
      </w:r>
      <w:r w:rsidRPr="00A54BFA">
        <w:rPr>
          <w:sz w:val="22"/>
        </w:rPr>
        <w:t xml:space="preserve">ων Προσανατολισμού και Εγγυήσεων (ΟΠΕΚΕΠΕ), με σκοπό τη διαχείριση των εισροών από το Ευρωπαϊκό Γεωργικό Ταμείο Εγγυήσεων (ΕΓΤΕ), το Ευρωπαϊκό Γεωργικό Ταμείο Αγροτικής </w:t>
      </w:r>
      <w:r w:rsidRPr="00A54BFA">
        <w:rPr>
          <w:sz w:val="22"/>
        </w:rPr>
        <w:t>Α</w:t>
      </w:r>
      <w:r w:rsidRPr="00A54BFA">
        <w:rPr>
          <w:sz w:val="22"/>
        </w:rPr>
        <w:t>νάπτυξης (ΕΓΤΑΑ) και το Ευρωπαϊκό Ταμείο Θάλασσας κ</w:t>
      </w:r>
      <w:r>
        <w:rPr>
          <w:sz w:val="22"/>
        </w:rPr>
        <w:t xml:space="preserve">αι Αλιείας (ΕΤΘΑ), καθώς και ο </w:t>
      </w:r>
      <w:r w:rsidRPr="00A54BFA">
        <w:rPr>
          <w:sz w:val="22"/>
        </w:rPr>
        <w:t>Ειδ</w:t>
      </w:r>
      <w:r w:rsidRPr="00A54BFA">
        <w:rPr>
          <w:sz w:val="22"/>
        </w:rPr>
        <w:t>ι</w:t>
      </w:r>
      <w:r w:rsidRPr="00A54BFA">
        <w:rPr>
          <w:sz w:val="22"/>
        </w:rPr>
        <w:t xml:space="preserve">κός Λογαριασμός Εγγυήσεων Γεωργικών </w:t>
      </w:r>
      <w:r>
        <w:rPr>
          <w:sz w:val="22"/>
        </w:rPr>
        <w:t xml:space="preserve">Προϊόντων (ΕΛΕΓΕΠ). Στη διαμόρφωση </w:t>
      </w:r>
      <w:r w:rsidRPr="00A54BFA">
        <w:rPr>
          <w:sz w:val="22"/>
        </w:rPr>
        <w:t>του δημοσι</w:t>
      </w:r>
      <w:r w:rsidRPr="00A54BFA">
        <w:rPr>
          <w:sz w:val="22"/>
        </w:rPr>
        <w:t>ο</w:t>
      </w:r>
      <w:r w:rsidRPr="00A54BFA">
        <w:rPr>
          <w:sz w:val="22"/>
        </w:rPr>
        <w:t>νομικού αποτελέσματος</w:t>
      </w:r>
      <w:r w:rsidR="00AA7676">
        <w:rPr>
          <w:sz w:val="22"/>
        </w:rPr>
        <w:t xml:space="preserve"> </w:t>
      </w:r>
      <w:r>
        <w:rPr>
          <w:sz w:val="22"/>
        </w:rPr>
        <w:t>σε χαμηλότερο επίπεδο στο έτος 2021</w:t>
      </w:r>
      <w:r w:rsidRPr="00A54BFA">
        <w:rPr>
          <w:sz w:val="22"/>
        </w:rPr>
        <w:t xml:space="preserve"> </w:t>
      </w:r>
      <w:r>
        <w:rPr>
          <w:sz w:val="22"/>
        </w:rPr>
        <w:t>έναντι του έτους 2020, συνετέλεσε ιδιαίτερα</w:t>
      </w:r>
      <w:r w:rsidRPr="00A54BFA">
        <w:rPr>
          <w:sz w:val="22"/>
        </w:rPr>
        <w:t xml:space="preserve"> </w:t>
      </w:r>
      <w:r>
        <w:rPr>
          <w:sz w:val="22"/>
        </w:rPr>
        <w:t xml:space="preserve">το αποτέλεσμα </w:t>
      </w:r>
      <w:r w:rsidRPr="00A54BFA">
        <w:rPr>
          <w:sz w:val="22"/>
        </w:rPr>
        <w:t>το</w:t>
      </w:r>
      <w:r>
        <w:rPr>
          <w:sz w:val="22"/>
        </w:rPr>
        <w:t>υ</w:t>
      </w:r>
      <w:r w:rsidRPr="00A54BFA">
        <w:rPr>
          <w:sz w:val="22"/>
        </w:rPr>
        <w:t xml:space="preserve"> </w:t>
      </w:r>
      <w:r>
        <w:rPr>
          <w:sz w:val="22"/>
        </w:rPr>
        <w:t xml:space="preserve">ΕΛΕΓΕΠ. </w:t>
      </w:r>
    </w:p>
    <w:p w:rsidR="004E0933" w:rsidRDefault="004E0933" w:rsidP="004E0933">
      <w:pPr>
        <w:ind w:left="284"/>
        <w:jc w:val="both"/>
        <w:rPr>
          <w:sz w:val="22"/>
        </w:rPr>
      </w:pPr>
    </w:p>
    <w:p w:rsidR="004E0933" w:rsidRPr="00912574" w:rsidRDefault="004E0933" w:rsidP="004E0933">
      <w:pPr>
        <w:numPr>
          <w:ilvl w:val="0"/>
          <w:numId w:val="4"/>
        </w:numPr>
        <w:ind w:left="284" w:hanging="284"/>
        <w:jc w:val="both"/>
        <w:rPr>
          <w:sz w:val="22"/>
        </w:rPr>
      </w:pPr>
      <w:r w:rsidRPr="00912574">
        <w:rPr>
          <w:sz w:val="22"/>
        </w:rPr>
        <w:t>Στο Υπουργείο Περιβάλλοντος και Ενέργειας περιλαμβάνεται ο φορέας «Πράσινο Ταμείο»</w:t>
      </w:r>
      <w:r>
        <w:rPr>
          <w:sz w:val="22"/>
        </w:rPr>
        <w:t xml:space="preserve">, </w:t>
      </w:r>
      <w:r w:rsidRPr="00912574">
        <w:rPr>
          <w:sz w:val="22"/>
        </w:rPr>
        <w:t xml:space="preserve">τα </w:t>
      </w:r>
      <w:r w:rsidRPr="00912574">
        <w:rPr>
          <w:sz w:val="22"/>
        </w:rPr>
        <w:t>έ</w:t>
      </w:r>
      <w:r w:rsidRPr="00912574">
        <w:rPr>
          <w:sz w:val="22"/>
        </w:rPr>
        <w:t>σοδα</w:t>
      </w:r>
      <w:r>
        <w:rPr>
          <w:sz w:val="22"/>
        </w:rPr>
        <w:t xml:space="preserve"> </w:t>
      </w:r>
      <w:r w:rsidRPr="00912574">
        <w:rPr>
          <w:sz w:val="22"/>
        </w:rPr>
        <w:t>του οποίου προέρχονται κυρίως από τη ρύθμιση αυθαιρέτων κτισμάτων, τα τέλη διαδικασιών περιβαλλοντικής αδειοδότησης, τα πρόστιμα από παραβάσεις της περιβαλλοντικής νομοθεσίας</w:t>
      </w:r>
      <w:r>
        <w:rPr>
          <w:sz w:val="22"/>
        </w:rPr>
        <w:t>,</w:t>
      </w:r>
      <w:r w:rsidRPr="00912574">
        <w:rPr>
          <w:sz w:val="22"/>
        </w:rPr>
        <w:t xml:space="preserve"> καθώς και τα έσοδα από πρόστιμα που επιβάλλονται στους παραβάτες της δασικής νομοθεσίας.</w:t>
      </w:r>
      <w:r>
        <w:rPr>
          <w:sz w:val="22"/>
        </w:rPr>
        <w:t xml:space="preserve"> </w:t>
      </w:r>
      <w:r w:rsidRPr="00912574">
        <w:rPr>
          <w:sz w:val="22"/>
        </w:rPr>
        <w:t>Το αποτέλεσμα του Πράσινου Ταμείου</w:t>
      </w:r>
      <w:r>
        <w:rPr>
          <w:sz w:val="22"/>
        </w:rPr>
        <w:t xml:space="preserve"> στο έτος </w:t>
      </w:r>
      <w:r w:rsidRPr="00912574">
        <w:rPr>
          <w:sz w:val="22"/>
        </w:rPr>
        <w:t xml:space="preserve">2021 προβλέπεται </w:t>
      </w:r>
      <w:r>
        <w:rPr>
          <w:sz w:val="22"/>
        </w:rPr>
        <w:t>να διαμορφωθεί στο ποσό των</w:t>
      </w:r>
      <w:r w:rsidRPr="00912574">
        <w:rPr>
          <w:sz w:val="22"/>
        </w:rPr>
        <w:t xml:space="preserve"> 171,8 εκατ.</w:t>
      </w:r>
      <w:r>
        <w:rPr>
          <w:sz w:val="22"/>
        </w:rPr>
        <w:t xml:space="preserve"> ευρώ και είναι </w:t>
      </w:r>
      <w:r w:rsidRPr="00912574">
        <w:rPr>
          <w:sz w:val="22"/>
        </w:rPr>
        <w:t xml:space="preserve">μειωμένο σε σχέση με τις εκτιμήσεις </w:t>
      </w:r>
      <w:r>
        <w:rPr>
          <w:sz w:val="22"/>
        </w:rPr>
        <w:t xml:space="preserve">του </w:t>
      </w:r>
      <w:r w:rsidRPr="00912574">
        <w:rPr>
          <w:sz w:val="22"/>
        </w:rPr>
        <w:t>έτους 2020, λόγω της προβλ</w:t>
      </w:r>
      <w:r w:rsidRPr="00912574">
        <w:rPr>
          <w:sz w:val="22"/>
        </w:rPr>
        <w:t>ε</w:t>
      </w:r>
      <w:r w:rsidRPr="00912574">
        <w:rPr>
          <w:sz w:val="22"/>
        </w:rPr>
        <w:t>πόμενης αύξησης των</w:t>
      </w:r>
      <w:r>
        <w:rPr>
          <w:sz w:val="22"/>
        </w:rPr>
        <w:t xml:space="preserve"> </w:t>
      </w:r>
      <w:r w:rsidRPr="00912574">
        <w:rPr>
          <w:sz w:val="22"/>
        </w:rPr>
        <w:t>προγραμμάτων που χρηματοδοτεί ο εν λόγω φορέας, με σκοπό την ενίσχυση της ανάπτυξης</w:t>
      </w:r>
      <w:r>
        <w:rPr>
          <w:sz w:val="22"/>
        </w:rPr>
        <w:t xml:space="preserve"> </w:t>
      </w:r>
      <w:r w:rsidRPr="00912574">
        <w:rPr>
          <w:sz w:val="22"/>
        </w:rPr>
        <w:t xml:space="preserve">μέσω </w:t>
      </w:r>
      <w:r>
        <w:rPr>
          <w:sz w:val="22"/>
        </w:rPr>
        <w:t xml:space="preserve">δράσεων για </w:t>
      </w:r>
      <w:r w:rsidRPr="00912574">
        <w:rPr>
          <w:sz w:val="22"/>
        </w:rPr>
        <w:t>τη</w:t>
      </w:r>
      <w:r>
        <w:rPr>
          <w:sz w:val="22"/>
        </w:rPr>
        <w:t>ν</w:t>
      </w:r>
      <w:r w:rsidRPr="00912574">
        <w:rPr>
          <w:sz w:val="22"/>
        </w:rPr>
        <w:t xml:space="preserve"> προστασία του περιβάλλοντος.</w:t>
      </w:r>
      <w:r>
        <w:rPr>
          <w:sz w:val="22"/>
        </w:rPr>
        <w:t xml:space="preserve"> </w:t>
      </w:r>
    </w:p>
    <w:p w:rsidR="004E0933" w:rsidRPr="004E0933" w:rsidRDefault="004E0933" w:rsidP="000200FF">
      <w:pPr>
        <w:ind w:left="284"/>
        <w:jc w:val="both"/>
        <w:rPr>
          <w:sz w:val="22"/>
        </w:rPr>
      </w:pPr>
    </w:p>
    <w:p w:rsidR="004E0933" w:rsidRPr="0092668D" w:rsidRDefault="004E0933" w:rsidP="004E0933">
      <w:pPr>
        <w:numPr>
          <w:ilvl w:val="0"/>
          <w:numId w:val="4"/>
        </w:numPr>
        <w:ind w:left="284" w:hanging="284"/>
        <w:jc w:val="both"/>
        <w:rPr>
          <w:sz w:val="22"/>
        </w:rPr>
      </w:pPr>
      <w:r w:rsidRPr="0092668D">
        <w:rPr>
          <w:sz w:val="22"/>
        </w:rPr>
        <w:t>Στην εποπτεία του Υπουργείου Ανάπτυξης και Επενδύσεων υπάγεται η Μονάδα Οργάνωσης της Διαχείρισης Αναπτυξιακών Προγραμμάτων (ΜΟΔ) ΑΕ, με αποστολή τη στήριξη και ενίσχυση της Δημόσιας Διοίκησης για την αποτελεσματική διαχείριση και εφαρμογή των συγχρηματοδοτούμ</w:t>
      </w:r>
      <w:r w:rsidRPr="0092668D">
        <w:rPr>
          <w:sz w:val="22"/>
        </w:rPr>
        <w:t>ε</w:t>
      </w:r>
      <w:r w:rsidRPr="0092668D">
        <w:rPr>
          <w:sz w:val="22"/>
        </w:rPr>
        <w:t>νων από την Ευρωπαϊκή Ένωση Επιχειρησιακών Προγραμμάτων, καλύπτοντας κυρίως ανάγκες σε εξειδικευμένο ανθρώπινο δυναμικό, συστήματα, εργαλεία και διαδικασίες, μεταφορά τεχνογνωσ</w:t>
      </w:r>
      <w:r w:rsidRPr="0092668D">
        <w:rPr>
          <w:sz w:val="22"/>
        </w:rPr>
        <w:t>ί</w:t>
      </w:r>
      <w:r w:rsidRPr="0092668D">
        <w:rPr>
          <w:sz w:val="22"/>
        </w:rPr>
        <w:t>ας και υλικοτεχνική υποδομή. Ο προϋπολογισμός της ΜΟΔ ΑΕ προβλέπεται να είναι ισοσκελ</w:t>
      </w:r>
      <w:r w:rsidRPr="0092668D">
        <w:rPr>
          <w:sz w:val="22"/>
        </w:rPr>
        <w:t>ι</w:t>
      </w:r>
      <w:r w:rsidRPr="0092668D">
        <w:rPr>
          <w:sz w:val="22"/>
        </w:rPr>
        <w:t xml:space="preserve">σμένος </w:t>
      </w:r>
      <w:r>
        <w:rPr>
          <w:sz w:val="22"/>
        </w:rPr>
        <w:t>σ</w:t>
      </w:r>
      <w:r w:rsidRPr="0092668D">
        <w:rPr>
          <w:sz w:val="22"/>
        </w:rPr>
        <w:t xml:space="preserve">το έτος 2021. </w:t>
      </w:r>
    </w:p>
    <w:p w:rsidR="004E0933" w:rsidRPr="004E0933" w:rsidRDefault="004E0933" w:rsidP="000200FF">
      <w:pPr>
        <w:ind w:left="284"/>
        <w:jc w:val="both"/>
        <w:rPr>
          <w:sz w:val="22"/>
        </w:rPr>
      </w:pPr>
    </w:p>
    <w:p w:rsidR="004E0933" w:rsidRPr="00EA274D" w:rsidRDefault="004E0933" w:rsidP="004E0933">
      <w:pPr>
        <w:numPr>
          <w:ilvl w:val="0"/>
          <w:numId w:val="4"/>
        </w:numPr>
        <w:ind w:left="284" w:hanging="284"/>
        <w:jc w:val="both"/>
        <w:rPr>
          <w:color w:val="000000" w:themeColor="text1"/>
          <w:sz w:val="22"/>
        </w:rPr>
      </w:pPr>
      <w:r w:rsidRPr="008147C9">
        <w:rPr>
          <w:sz w:val="22"/>
        </w:rPr>
        <w:lastRenderedPageBreak/>
        <w:t>Στο Υπουργείο Υποδομών και Μεταφο</w:t>
      </w:r>
      <w:r>
        <w:rPr>
          <w:sz w:val="22"/>
        </w:rPr>
        <w:t xml:space="preserve">ρών περιλαμβάνονται οι φορείς </w:t>
      </w:r>
      <w:r w:rsidRPr="008147C9">
        <w:rPr>
          <w:sz w:val="22"/>
        </w:rPr>
        <w:t>ΑΤΤΙΚΟ ΜΕΤΡΟ ΑΕ</w:t>
      </w:r>
      <w:r w:rsidRPr="005F2D19">
        <w:rPr>
          <w:sz w:val="22"/>
        </w:rPr>
        <w:t>, ΕΓΝΑΤΙΑ</w:t>
      </w:r>
      <w:r w:rsidRPr="008147C9">
        <w:rPr>
          <w:sz w:val="22"/>
        </w:rPr>
        <w:t xml:space="preserve"> ΟΔΟΣ ΑΕ, Οργανισμός Σιδηροδρόμων Ελλάδος (ΟΣΕ) ΑΕ, ΕΡΓΟΣΕ ΑΕ, Οργανισμός Αστικών Συγκοινωνιών Αθηνών (ΟΑΣΑ) ΑΕ, </w:t>
      </w:r>
      <w:r>
        <w:rPr>
          <w:sz w:val="22"/>
        </w:rPr>
        <w:t>Οδικές Συγκοινωνίες (ΟΣΥ) ΑΕ</w:t>
      </w:r>
      <w:r w:rsidRPr="008147C9">
        <w:rPr>
          <w:sz w:val="22"/>
        </w:rPr>
        <w:t>, Σταθερές Συγκ</w:t>
      </w:r>
      <w:r>
        <w:rPr>
          <w:sz w:val="22"/>
        </w:rPr>
        <w:t>ο</w:t>
      </w:r>
      <w:r>
        <w:rPr>
          <w:sz w:val="22"/>
        </w:rPr>
        <w:t>ι</w:t>
      </w:r>
      <w:r>
        <w:rPr>
          <w:sz w:val="22"/>
        </w:rPr>
        <w:t>νωνίες (ΣΤΑΣΥ) ΑΕ</w:t>
      </w:r>
      <w:r w:rsidRPr="008147C9">
        <w:rPr>
          <w:sz w:val="22"/>
        </w:rPr>
        <w:t>, Οργανισμός Συγκοινωνιακ</w:t>
      </w:r>
      <w:r>
        <w:rPr>
          <w:sz w:val="22"/>
        </w:rPr>
        <w:t>ού Έργου Θεσσαλονίκης (ΟΣΕΘ) ΑΕ,</w:t>
      </w:r>
      <w:r w:rsidRPr="008147C9">
        <w:rPr>
          <w:sz w:val="22"/>
        </w:rPr>
        <w:t xml:space="preserve"> Οργαν</w:t>
      </w:r>
      <w:r w:rsidRPr="008147C9">
        <w:rPr>
          <w:sz w:val="22"/>
        </w:rPr>
        <w:t>ι</w:t>
      </w:r>
      <w:r w:rsidRPr="008147C9">
        <w:rPr>
          <w:sz w:val="22"/>
        </w:rPr>
        <w:t>σμός Αστικών Συγκοινωνιών Θεσσα</w:t>
      </w:r>
      <w:r>
        <w:rPr>
          <w:sz w:val="22"/>
        </w:rPr>
        <w:t xml:space="preserve">λονίκης (ΟΑΣΘ) - υπό εκκαθάριση, καθώς και </w:t>
      </w:r>
      <w:r w:rsidRPr="008147C9">
        <w:rPr>
          <w:sz w:val="22"/>
        </w:rPr>
        <w:t>οι συμβάσεις παραχώρησης πέντε (5) αυτοκινητοδρόμων</w:t>
      </w:r>
      <w:r>
        <w:rPr>
          <w:sz w:val="22"/>
        </w:rPr>
        <w:t xml:space="preserve">. </w:t>
      </w:r>
      <w:r w:rsidRPr="008147C9">
        <w:rPr>
          <w:sz w:val="22"/>
        </w:rPr>
        <w:t xml:space="preserve">Το ισοζύγιο των φορέων του εν λόγω </w:t>
      </w:r>
      <w:r w:rsidR="008B0104">
        <w:rPr>
          <w:sz w:val="22"/>
        </w:rPr>
        <w:t>Υ</w:t>
      </w:r>
      <w:r w:rsidRPr="008147C9">
        <w:rPr>
          <w:sz w:val="22"/>
        </w:rPr>
        <w:t>πουργείου στο έτος 20</w:t>
      </w:r>
      <w:r>
        <w:rPr>
          <w:sz w:val="22"/>
        </w:rPr>
        <w:t>2</w:t>
      </w:r>
      <w:r w:rsidRPr="00EA1639">
        <w:rPr>
          <w:sz w:val="22"/>
        </w:rPr>
        <w:t>1</w:t>
      </w:r>
      <w:r>
        <w:rPr>
          <w:sz w:val="22"/>
        </w:rPr>
        <w:t xml:space="preserve"> προβλέπεται αρνητικό ύψους 55</w:t>
      </w:r>
      <w:r w:rsidRPr="008147C9">
        <w:rPr>
          <w:sz w:val="22"/>
        </w:rPr>
        <w:t xml:space="preserve"> εκατ. ευρώ, έναντι </w:t>
      </w:r>
      <w:r>
        <w:rPr>
          <w:sz w:val="22"/>
        </w:rPr>
        <w:t xml:space="preserve">εκτιμώμενου πλεονάσματος 448 </w:t>
      </w:r>
      <w:r>
        <w:rPr>
          <w:sz w:val="22"/>
        </w:rPr>
        <w:t>ε</w:t>
      </w:r>
      <w:r>
        <w:rPr>
          <w:sz w:val="22"/>
        </w:rPr>
        <w:t>κατ. ευρώ στο έτος 2020</w:t>
      </w:r>
      <w:r w:rsidRPr="008147C9">
        <w:rPr>
          <w:sz w:val="22"/>
        </w:rPr>
        <w:t>.</w:t>
      </w:r>
      <w:r>
        <w:rPr>
          <w:sz w:val="22"/>
        </w:rPr>
        <w:t xml:space="preserve"> </w:t>
      </w:r>
      <w:r>
        <w:rPr>
          <w:color w:val="000000" w:themeColor="text1"/>
          <w:sz w:val="22"/>
        </w:rPr>
        <w:t>Κύριος</w:t>
      </w:r>
      <w:r w:rsidRPr="00EA274D">
        <w:rPr>
          <w:color w:val="000000" w:themeColor="text1"/>
          <w:sz w:val="22"/>
        </w:rPr>
        <w:t xml:space="preserve"> λόγο</w:t>
      </w:r>
      <w:r>
        <w:rPr>
          <w:color w:val="000000" w:themeColor="text1"/>
          <w:sz w:val="22"/>
        </w:rPr>
        <w:t>ς</w:t>
      </w:r>
      <w:r w:rsidRPr="00EA274D">
        <w:rPr>
          <w:color w:val="000000" w:themeColor="text1"/>
          <w:sz w:val="22"/>
        </w:rPr>
        <w:t xml:space="preserve"> </w:t>
      </w:r>
      <w:r w:rsidR="007B544A" w:rsidRPr="002E328C">
        <w:rPr>
          <w:sz w:val="22"/>
          <w:szCs w:val="22"/>
        </w:rPr>
        <w:t>είναι οι μειωμένες μεταβιβάσεις από τον κρατικό προϋπ</w:t>
      </w:r>
      <w:r w:rsidR="007B544A" w:rsidRPr="002E328C">
        <w:rPr>
          <w:sz w:val="22"/>
          <w:szCs w:val="22"/>
        </w:rPr>
        <w:t>ο</w:t>
      </w:r>
      <w:r w:rsidR="007B544A" w:rsidRPr="002E328C">
        <w:rPr>
          <w:sz w:val="22"/>
          <w:szCs w:val="22"/>
        </w:rPr>
        <w:t>λογισμό για καταπτώσεις εγγυήσεων της ΟΣΕ ΑΕ, ωστόσο η σχετική επίπτωση είναι ουδέτερη σε επίπεδο γενικής κυβέρνησης.</w:t>
      </w:r>
      <w:r w:rsidR="00AA7676">
        <w:rPr>
          <w:color w:val="000000" w:themeColor="text1"/>
          <w:sz w:val="22"/>
        </w:rPr>
        <w:t xml:space="preserve"> </w:t>
      </w:r>
    </w:p>
    <w:p w:rsidR="004E0933" w:rsidRPr="00A54BFA" w:rsidRDefault="004E0933" w:rsidP="004E0933">
      <w:pPr>
        <w:ind w:left="284"/>
        <w:jc w:val="both"/>
        <w:rPr>
          <w:sz w:val="22"/>
        </w:rPr>
      </w:pPr>
    </w:p>
    <w:p w:rsidR="004E0933" w:rsidRPr="0015699D" w:rsidRDefault="004E0933" w:rsidP="004E0933">
      <w:pPr>
        <w:numPr>
          <w:ilvl w:val="0"/>
          <w:numId w:val="5"/>
        </w:numPr>
        <w:ind w:left="284"/>
        <w:jc w:val="both"/>
        <w:rPr>
          <w:sz w:val="22"/>
        </w:rPr>
      </w:pPr>
      <w:r>
        <w:rPr>
          <w:sz w:val="22"/>
        </w:rPr>
        <w:t>Στο Υπουργείο Τουρισμού</w:t>
      </w:r>
      <w:r w:rsidRPr="0015699D">
        <w:rPr>
          <w:sz w:val="22"/>
        </w:rPr>
        <w:t xml:space="preserve"> περιλαμ</w:t>
      </w:r>
      <w:r>
        <w:rPr>
          <w:sz w:val="22"/>
        </w:rPr>
        <w:t xml:space="preserve">βάνεται ο εποπτευόμενος φορέας </w:t>
      </w:r>
      <w:r w:rsidRPr="0015699D">
        <w:rPr>
          <w:sz w:val="22"/>
        </w:rPr>
        <w:t>Ελληνικός Οργανισμός Το</w:t>
      </w:r>
      <w:r w:rsidRPr="0015699D">
        <w:rPr>
          <w:sz w:val="22"/>
        </w:rPr>
        <w:t>υ</w:t>
      </w:r>
      <w:r w:rsidRPr="0015699D">
        <w:rPr>
          <w:sz w:val="22"/>
        </w:rPr>
        <w:t xml:space="preserve">ρισμού (ΕΟΤ), κυριότερη δράση του οποίου αποτελεί η διαφήμιση και </w:t>
      </w:r>
      <w:r>
        <w:rPr>
          <w:sz w:val="22"/>
        </w:rPr>
        <w:t xml:space="preserve">η </w:t>
      </w:r>
      <w:r w:rsidRPr="0015699D">
        <w:rPr>
          <w:sz w:val="22"/>
        </w:rPr>
        <w:t>προβολή της χώρας</w:t>
      </w:r>
      <w:r>
        <w:rPr>
          <w:sz w:val="22"/>
        </w:rPr>
        <w:t xml:space="preserve"> </w:t>
      </w:r>
      <w:r w:rsidRPr="0015699D">
        <w:rPr>
          <w:sz w:val="22"/>
        </w:rPr>
        <w:t>ως</w:t>
      </w:r>
      <w:r>
        <w:rPr>
          <w:sz w:val="22"/>
        </w:rPr>
        <w:t xml:space="preserve"> σημαντικού</w:t>
      </w:r>
      <w:r w:rsidRPr="0015699D">
        <w:rPr>
          <w:sz w:val="22"/>
        </w:rPr>
        <w:t xml:space="preserve"> τουριστικού προορισμού.</w:t>
      </w:r>
      <w:r>
        <w:rPr>
          <w:sz w:val="22"/>
        </w:rPr>
        <w:t xml:space="preserve"> Τα έσοδα</w:t>
      </w:r>
      <w:r w:rsidRPr="0015699D">
        <w:rPr>
          <w:sz w:val="22"/>
        </w:rPr>
        <w:t xml:space="preserve"> του ΕΟΤ προέρχονται κυρίως από την απόδοση ποσοστού επί των μικτών κερδών του Δημοσίου</w:t>
      </w:r>
      <w:r>
        <w:rPr>
          <w:sz w:val="22"/>
        </w:rPr>
        <w:t>,</w:t>
      </w:r>
      <w:r w:rsidRPr="0015699D">
        <w:rPr>
          <w:sz w:val="22"/>
        </w:rPr>
        <w:t xml:space="preserve"> των Καζίνο Κέρκυρας και Πάρνηθας, καθώς και από την ενίσχυσή του από τον Κρατικό Προϋπολογισμό για</w:t>
      </w:r>
      <w:r>
        <w:rPr>
          <w:sz w:val="22"/>
        </w:rPr>
        <w:t xml:space="preserve"> την </w:t>
      </w:r>
      <w:r w:rsidRPr="0015699D">
        <w:rPr>
          <w:sz w:val="22"/>
        </w:rPr>
        <w:t xml:space="preserve">κάλυψη τόσο των λειτουργικών </w:t>
      </w:r>
      <w:r>
        <w:rPr>
          <w:sz w:val="22"/>
        </w:rPr>
        <w:t>όσο και των επενδυτικών δαπανών,</w:t>
      </w:r>
      <w:r w:rsidRPr="0015699D">
        <w:rPr>
          <w:sz w:val="22"/>
        </w:rPr>
        <w:t xml:space="preserve"> συμπεριλαμβανομένης και της αναφερόμενης ανωτέρω κύριας δραστηριότητας. Η οικονομική επίδοση του οργανισμού για το </w:t>
      </w:r>
      <w:r>
        <w:rPr>
          <w:sz w:val="22"/>
        </w:rPr>
        <w:t xml:space="preserve">έτος </w:t>
      </w:r>
      <w:r w:rsidRPr="0015699D">
        <w:rPr>
          <w:sz w:val="22"/>
        </w:rPr>
        <w:t>20</w:t>
      </w:r>
      <w:r>
        <w:rPr>
          <w:sz w:val="22"/>
        </w:rPr>
        <w:t>20</w:t>
      </w:r>
      <w:r w:rsidRPr="0015699D">
        <w:rPr>
          <w:sz w:val="22"/>
        </w:rPr>
        <w:t xml:space="preserve"> εκτιμάται να διαμορφ</w:t>
      </w:r>
      <w:r w:rsidRPr="0015699D">
        <w:rPr>
          <w:sz w:val="22"/>
        </w:rPr>
        <w:t>ω</w:t>
      </w:r>
      <w:r w:rsidRPr="0015699D">
        <w:rPr>
          <w:sz w:val="22"/>
        </w:rPr>
        <w:t xml:space="preserve">θεί στο ποσό των </w:t>
      </w:r>
      <w:r>
        <w:rPr>
          <w:sz w:val="22"/>
        </w:rPr>
        <w:t>11</w:t>
      </w:r>
      <w:r w:rsidRPr="0015699D">
        <w:rPr>
          <w:sz w:val="22"/>
        </w:rPr>
        <w:t xml:space="preserve"> εκατ. ευρώ</w:t>
      </w:r>
      <w:r w:rsidR="008B0104">
        <w:rPr>
          <w:sz w:val="22"/>
        </w:rPr>
        <w:t>,</w:t>
      </w:r>
      <w:r w:rsidR="00AA7676">
        <w:rPr>
          <w:sz w:val="22"/>
        </w:rPr>
        <w:t xml:space="preserve"> </w:t>
      </w:r>
      <w:r>
        <w:rPr>
          <w:sz w:val="22"/>
        </w:rPr>
        <w:t>ενώ</w:t>
      </w:r>
      <w:r w:rsidRPr="0015699D">
        <w:rPr>
          <w:sz w:val="22"/>
        </w:rPr>
        <w:t xml:space="preserve"> για το </w:t>
      </w:r>
      <w:r>
        <w:rPr>
          <w:sz w:val="22"/>
        </w:rPr>
        <w:t xml:space="preserve">έτος </w:t>
      </w:r>
      <w:r w:rsidRPr="0015699D">
        <w:rPr>
          <w:sz w:val="22"/>
        </w:rPr>
        <w:t>202</w:t>
      </w:r>
      <w:r>
        <w:rPr>
          <w:sz w:val="22"/>
        </w:rPr>
        <w:t>1</w:t>
      </w:r>
      <w:r w:rsidRPr="0015699D">
        <w:rPr>
          <w:sz w:val="22"/>
        </w:rPr>
        <w:t xml:space="preserve"> προβλέπεται να διαμορφωθεί στο ποσό των 5 εκατ. ευρώ.</w:t>
      </w:r>
    </w:p>
    <w:p w:rsidR="004E0933" w:rsidRDefault="004E0933" w:rsidP="004E0933"/>
    <w:p w:rsidR="004E0933" w:rsidRPr="008504B9" w:rsidRDefault="00800467" w:rsidP="004E0933">
      <w:pPr>
        <w:numPr>
          <w:ilvl w:val="0"/>
          <w:numId w:val="4"/>
        </w:numPr>
        <w:ind w:left="284" w:hanging="284"/>
        <w:jc w:val="both"/>
        <w:rPr>
          <w:sz w:val="22"/>
        </w:rPr>
      </w:pPr>
      <w:r>
        <w:rPr>
          <w:sz w:val="22"/>
        </w:rPr>
        <w:t>Τέλος, σ</w:t>
      </w:r>
      <w:r w:rsidR="004E0933" w:rsidRPr="00A64F88">
        <w:rPr>
          <w:sz w:val="22"/>
          <w:szCs w:val="22"/>
        </w:rPr>
        <w:t>το Υ</w:t>
      </w:r>
      <w:r w:rsidR="004E0933">
        <w:rPr>
          <w:sz w:val="22"/>
          <w:szCs w:val="22"/>
        </w:rPr>
        <w:t>πουργείο Ψηφιακής Διακυβέρνησης</w:t>
      </w:r>
      <w:r w:rsidR="00AA7676">
        <w:rPr>
          <w:sz w:val="22"/>
          <w:szCs w:val="22"/>
        </w:rPr>
        <w:t xml:space="preserve"> </w:t>
      </w:r>
      <w:r w:rsidR="004E0933" w:rsidRPr="00A64F88">
        <w:rPr>
          <w:sz w:val="22"/>
          <w:szCs w:val="22"/>
        </w:rPr>
        <w:t>περιλαμ</w:t>
      </w:r>
      <w:r w:rsidR="004E0933">
        <w:rPr>
          <w:sz w:val="22"/>
          <w:szCs w:val="22"/>
        </w:rPr>
        <w:t xml:space="preserve">βάνεται η </w:t>
      </w:r>
      <w:r w:rsidR="004E0933" w:rsidRPr="00A64F88">
        <w:rPr>
          <w:sz w:val="22"/>
          <w:szCs w:val="22"/>
        </w:rPr>
        <w:t>Κο</w:t>
      </w:r>
      <w:r w:rsidR="004E0933">
        <w:rPr>
          <w:sz w:val="22"/>
          <w:szCs w:val="22"/>
        </w:rPr>
        <w:t>ινωνία της Πληροφορίας (ΚτΠ) ΑΕ</w:t>
      </w:r>
      <w:r w:rsidR="004E0933" w:rsidRPr="00A64F88">
        <w:rPr>
          <w:sz w:val="22"/>
          <w:szCs w:val="22"/>
        </w:rPr>
        <w:t>, η οποία αναμένετα</w:t>
      </w:r>
      <w:r w:rsidR="004E0933">
        <w:rPr>
          <w:sz w:val="22"/>
          <w:szCs w:val="22"/>
        </w:rPr>
        <w:t>ι να διαδραματίσει στο έτος 2021</w:t>
      </w:r>
      <w:r w:rsidR="004E0933" w:rsidRPr="00A64F88">
        <w:rPr>
          <w:sz w:val="22"/>
          <w:szCs w:val="22"/>
        </w:rPr>
        <w:t xml:space="preserve"> όσο και κατά τα επόμενα έτη έναν ιδιαίτερα σημαντικό και κρίσιμο ρόλο για την επιτυχή εφαρμογή του «Ψηφ</w:t>
      </w:r>
      <w:r w:rsidR="004E0933">
        <w:rPr>
          <w:sz w:val="22"/>
          <w:szCs w:val="22"/>
        </w:rPr>
        <w:t>ιακού Μετασχηματ</w:t>
      </w:r>
      <w:r w:rsidR="004E0933">
        <w:rPr>
          <w:sz w:val="22"/>
          <w:szCs w:val="22"/>
        </w:rPr>
        <w:t>ι</w:t>
      </w:r>
      <w:r w:rsidR="004E0933">
        <w:rPr>
          <w:sz w:val="22"/>
          <w:szCs w:val="22"/>
        </w:rPr>
        <w:t>σμού» της Δημόσιας Διοίκησης</w:t>
      </w:r>
      <w:r w:rsidR="004E0933" w:rsidRPr="00A64F88">
        <w:rPr>
          <w:sz w:val="22"/>
          <w:szCs w:val="22"/>
        </w:rPr>
        <w:t>, μέσω της διαχείρισης και εκτέλεσης μεγάλης κλίμακας δράσεων και έργων</w:t>
      </w:r>
      <w:r w:rsidR="004E0933">
        <w:rPr>
          <w:sz w:val="22"/>
          <w:szCs w:val="22"/>
        </w:rPr>
        <w:t>,</w:t>
      </w:r>
      <w:r w:rsidR="004E0933" w:rsidRPr="00A64F88">
        <w:rPr>
          <w:sz w:val="22"/>
          <w:szCs w:val="22"/>
        </w:rPr>
        <w:t xml:space="preserve"> που αφορούν στην υλοποίη</w:t>
      </w:r>
      <w:r w:rsidR="004E0933">
        <w:rPr>
          <w:sz w:val="22"/>
          <w:szCs w:val="22"/>
        </w:rPr>
        <w:t>ση του ενιαίου δικτύου «ΣΥΖΕΥΞΙΣ</w:t>
      </w:r>
      <w:r w:rsidR="004E0933" w:rsidRPr="00A64F88">
        <w:rPr>
          <w:sz w:val="22"/>
          <w:szCs w:val="22"/>
        </w:rPr>
        <w:t xml:space="preserve"> ΙΙ</w:t>
      </w:r>
      <w:r w:rsidR="004E0933">
        <w:rPr>
          <w:sz w:val="22"/>
          <w:szCs w:val="22"/>
        </w:rPr>
        <w:t>»</w:t>
      </w:r>
      <w:r w:rsidR="004E0933" w:rsidRPr="00A64F88">
        <w:rPr>
          <w:sz w:val="22"/>
          <w:szCs w:val="22"/>
        </w:rPr>
        <w:t>. Το επενδυτικό πρόγραμμα της εταιρείας χρηματοδοτείται από πόρ</w:t>
      </w:r>
      <w:r w:rsidR="004E0933">
        <w:rPr>
          <w:sz w:val="22"/>
          <w:szCs w:val="22"/>
        </w:rPr>
        <w:t>ους του Κρατικού Προϋπολογισμού. Το αποτ</w:t>
      </w:r>
      <w:r w:rsidR="004E0933">
        <w:rPr>
          <w:sz w:val="22"/>
          <w:szCs w:val="22"/>
        </w:rPr>
        <w:t>έ</w:t>
      </w:r>
      <w:r w:rsidR="004E0933">
        <w:rPr>
          <w:sz w:val="22"/>
          <w:szCs w:val="22"/>
        </w:rPr>
        <w:t xml:space="preserve">λεσμα </w:t>
      </w:r>
      <w:r w:rsidR="004E0933" w:rsidRPr="00A64F88">
        <w:rPr>
          <w:sz w:val="22"/>
          <w:szCs w:val="22"/>
        </w:rPr>
        <w:t>το</w:t>
      </w:r>
      <w:r w:rsidR="004E0933">
        <w:rPr>
          <w:sz w:val="22"/>
          <w:szCs w:val="22"/>
        </w:rPr>
        <w:t>υ</w:t>
      </w:r>
      <w:r w:rsidR="004E0933" w:rsidRPr="00A64F88">
        <w:rPr>
          <w:sz w:val="22"/>
          <w:szCs w:val="22"/>
        </w:rPr>
        <w:t xml:space="preserve"> προϋπολογισμ</w:t>
      </w:r>
      <w:r w:rsidR="004E0933">
        <w:rPr>
          <w:sz w:val="22"/>
          <w:szCs w:val="22"/>
        </w:rPr>
        <w:t>ού</w:t>
      </w:r>
      <w:r w:rsidR="004E0933" w:rsidRPr="00A64F88">
        <w:rPr>
          <w:sz w:val="22"/>
          <w:szCs w:val="22"/>
        </w:rPr>
        <w:t xml:space="preserve"> της στο έτος 202</w:t>
      </w:r>
      <w:r w:rsidR="004E0933">
        <w:rPr>
          <w:sz w:val="22"/>
          <w:szCs w:val="22"/>
        </w:rPr>
        <w:t>1</w:t>
      </w:r>
      <w:r w:rsidR="004E0933" w:rsidRPr="00A64F88">
        <w:rPr>
          <w:sz w:val="22"/>
          <w:szCs w:val="22"/>
        </w:rPr>
        <w:t xml:space="preserve"> </w:t>
      </w:r>
      <w:r w:rsidR="004E0933">
        <w:rPr>
          <w:sz w:val="22"/>
          <w:szCs w:val="22"/>
        </w:rPr>
        <w:t>αναμένεται</w:t>
      </w:r>
      <w:r w:rsidR="00AA7676">
        <w:rPr>
          <w:sz w:val="22"/>
          <w:szCs w:val="22"/>
        </w:rPr>
        <w:t xml:space="preserve"> </w:t>
      </w:r>
      <w:r w:rsidR="004E0933" w:rsidRPr="00A64F88">
        <w:rPr>
          <w:sz w:val="22"/>
          <w:szCs w:val="22"/>
        </w:rPr>
        <w:t>ισοσκελισμένο</w:t>
      </w:r>
      <w:r w:rsidR="004E0933">
        <w:rPr>
          <w:sz w:val="22"/>
          <w:szCs w:val="22"/>
        </w:rPr>
        <w:t>.</w:t>
      </w:r>
    </w:p>
    <w:p w:rsidR="003D4414" w:rsidRDefault="003D4414">
      <w:pPr>
        <w:rPr>
          <w:sz w:val="22"/>
        </w:rPr>
      </w:pPr>
      <w:r>
        <w:rPr>
          <w:sz w:val="22"/>
        </w:rPr>
        <w:br w:type="page"/>
      </w:r>
    </w:p>
    <w:p w:rsidR="004A561A" w:rsidRDefault="004A561A" w:rsidP="004A561A">
      <w:pPr>
        <w:jc w:val="both"/>
        <w:rPr>
          <w:sz w:val="22"/>
        </w:rPr>
      </w:pPr>
    </w:p>
    <w:p w:rsidR="00A93D58" w:rsidRPr="00337275" w:rsidRDefault="00A93D58" w:rsidP="004A561A">
      <w:pPr>
        <w:jc w:val="both"/>
        <w:rPr>
          <w:sz w:val="22"/>
        </w:rPr>
      </w:pPr>
    </w:p>
    <w:p w:rsidR="004A561A" w:rsidRPr="00E36FE7" w:rsidRDefault="004A561A" w:rsidP="004A561A">
      <w:pPr>
        <w:shd w:val="clear" w:color="auto" w:fill="BFBFBF" w:themeFill="background1" w:themeFillShade="BF"/>
        <w:jc w:val="both"/>
        <w:rPr>
          <w:rFonts w:ascii="Arial Narrow" w:hAnsi="Arial Narrow"/>
          <w:b/>
          <w:szCs w:val="22"/>
        </w:rPr>
      </w:pPr>
      <w:r>
        <w:rPr>
          <w:rFonts w:ascii="Arial Narrow" w:hAnsi="Arial Narrow"/>
          <w:b/>
          <w:szCs w:val="22"/>
        </w:rPr>
        <w:t>5.3</w:t>
      </w:r>
      <w:r w:rsidRPr="00E36FE7">
        <w:rPr>
          <w:rFonts w:ascii="Arial Narrow" w:hAnsi="Arial Narrow"/>
          <w:b/>
          <w:szCs w:val="22"/>
        </w:rPr>
        <w:tab/>
      </w:r>
      <w:r>
        <w:rPr>
          <w:rFonts w:ascii="Arial Narrow" w:hAnsi="Arial Narrow"/>
          <w:b/>
          <w:szCs w:val="22"/>
        </w:rPr>
        <w:t>Νοσοκομεία – Πρωτοβάθμια Φροντίδα Υγείας (ΠΦΥ)</w:t>
      </w:r>
    </w:p>
    <w:p w:rsidR="004A561A" w:rsidRPr="00272BC8" w:rsidRDefault="004A561A" w:rsidP="004A561A">
      <w:pPr>
        <w:rPr>
          <w:sz w:val="22"/>
        </w:rPr>
      </w:pPr>
    </w:p>
    <w:p w:rsidR="004A561A" w:rsidRDefault="004A561A" w:rsidP="004A561A">
      <w:pPr>
        <w:jc w:val="both"/>
        <w:rPr>
          <w:sz w:val="22"/>
        </w:rPr>
      </w:pPr>
      <w:r>
        <w:rPr>
          <w:sz w:val="22"/>
        </w:rPr>
        <w:t xml:space="preserve">Κατά το τρέχον έτος ο τομέας της υγείας, εν μέσω της πανδημίας </w:t>
      </w:r>
      <w:r>
        <w:rPr>
          <w:sz w:val="22"/>
          <w:lang w:val="en-US"/>
        </w:rPr>
        <w:t>Covid</w:t>
      </w:r>
      <w:r>
        <w:rPr>
          <w:sz w:val="22"/>
        </w:rPr>
        <w:t>-19 αντιμετωπίζει πρωτοφ</w:t>
      </w:r>
      <w:r>
        <w:rPr>
          <w:sz w:val="22"/>
        </w:rPr>
        <w:t>α</w:t>
      </w:r>
      <w:r>
        <w:rPr>
          <w:sz w:val="22"/>
        </w:rPr>
        <w:t>νείς προκλήσεις, γεγονός που καθιστά αναγκαία τη στήριξη και θωράκιση της λειτουργίας του τόσο σε επιχειρησιακό επίπεδο όσο και σε επίπεδο χρηματοδότησης. Παράλληλα συνεχίζονται οι προσπ</w:t>
      </w:r>
      <w:r>
        <w:rPr>
          <w:sz w:val="22"/>
        </w:rPr>
        <w:t>ά</w:t>
      </w:r>
      <w:r>
        <w:rPr>
          <w:sz w:val="22"/>
        </w:rPr>
        <w:t>θειες για την υλοποίηση διαρθρωτικών παρεμβάσεων με στόχο τη βελτίωση των παρεχόμενων υπηρ</w:t>
      </w:r>
      <w:r>
        <w:rPr>
          <w:sz w:val="22"/>
        </w:rPr>
        <w:t>ε</w:t>
      </w:r>
      <w:r>
        <w:rPr>
          <w:sz w:val="22"/>
        </w:rPr>
        <w:t xml:space="preserve">σιών προς τους ασφαλισμένους και τους ανασφάλιστους πολίτες. </w:t>
      </w:r>
    </w:p>
    <w:p w:rsidR="004A561A" w:rsidRDefault="004A561A" w:rsidP="004A561A">
      <w:pPr>
        <w:jc w:val="both"/>
        <w:rPr>
          <w:sz w:val="22"/>
        </w:rPr>
      </w:pPr>
    </w:p>
    <w:p w:rsidR="004A561A" w:rsidRPr="004C1243" w:rsidRDefault="004A561A" w:rsidP="004A561A">
      <w:pPr>
        <w:jc w:val="both"/>
        <w:rPr>
          <w:sz w:val="22"/>
        </w:rPr>
      </w:pPr>
      <w:r w:rsidRPr="00557623">
        <w:rPr>
          <w:sz w:val="22"/>
        </w:rPr>
        <w:t>Οι μεταρρυθμιστικές δράσεις που βρίσκονται σε εξέλιξη αφορούν κυρίως:</w:t>
      </w:r>
    </w:p>
    <w:p w:rsidR="004A561A" w:rsidRPr="004C1243" w:rsidRDefault="004A561A" w:rsidP="004A561A">
      <w:pPr>
        <w:numPr>
          <w:ilvl w:val="0"/>
          <w:numId w:val="15"/>
        </w:numPr>
        <w:ind w:left="284" w:hanging="284"/>
        <w:jc w:val="both"/>
        <w:rPr>
          <w:sz w:val="22"/>
        </w:rPr>
      </w:pPr>
      <w:r w:rsidRPr="00557623">
        <w:rPr>
          <w:sz w:val="22"/>
        </w:rPr>
        <w:t>την αποδοτικότερη παρακολούθηση και διαχείριση αποθηκών και παρακαταθηκών,</w:t>
      </w:r>
    </w:p>
    <w:p w:rsidR="004A561A" w:rsidRPr="004C1243" w:rsidRDefault="004A561A" w:rsidP="004A561A">
      <w:pPr>
        <w:numPr>
          <w:ilvl w:val="0"/>
          <w:numId w:val="15"/>
        </w:numPr>
        <w:ind w:left="284" w:hanging="284"/>
        <w:jc w:val="both"/>
        <w:rPr>
          <w:sz w:val="22"/>
        </w:rPr>
      </w:pPr>
      <w:r w:rsidRPr="00557623">
        <w:rPr>
          <w:sz w:val="22"/>
        </w:rPr>
        <w:t>τον μετασχηματισμό του πλαισίου προμηθειών των νοσοκομείων,</w:t>
      </w:r>
    </w:p>
    <w:p w:rsidR="004A561A" w:rsidRPr="004C1243" w:rsidRDefault="004A561A" w:rsidP="004A561A">
      <w:pPr>
        <w:numPr>
          <w:ilvl w:val="0"/>
          <w:numId w:val="15"/>
        </w:numPr>
        <w:ind w:left="284" w:hanging="284"/>
        <w:jc w:val="both"/>
        <w:rPr>
          <w:sz w:val="22"/>
        </w:rPr>
      </w:pPr>
      <w:r w:rsidRPr="00557623">
        <w:rPr>
          <w:sz w:val="22"/>
        </w:rPr>
        <w:t>την ενεργειακή αναβάθμιση νοσοκομείων, καθώς και την αποδοτικότερη διαχείριση μολυσματικών αποβλήτων.</w:t>
      </w:r>
    </w:p>
    <w:p w:rsidR="004A561A" w:rsidRPr="00193246" w:rsidRDefault="004A561A" w:rsidP="004A561A">
      <w:pPr>
        <w:jc w:val="both"/>
        <w:rPr>
          <w:sz w:val="22"/>
        </w:rPr>
      </w:pPr>
    </w:p>
    <w:p w:rsidR="004A561A" w:rsidRDefault="004A561A" w:rsidP="004A561A">
      <w:pPr>
        <w:jc w:val="both"/>
        <w:rPr>
          <w:sz w:val="22"/>
        </w:rPr>
      </w:pPr>
      <w:r w:rsidRPr="0058292E">
        <w:rPr>
          <w:sz w:val="22"/>
        </w:rPr>
        <w:t xml:space="preserve">Τα </w:t>
      </w:r>
      <w:r>
        <w:rPr>
          <w:sz w:val="22"/>
        </w:rPr>
        <w:t>δημόσια νοσοκομεία και το σύστημα Πρωτοβάθμιας Φροντίδας Υγείας (ΠΦΥ) εκτιμάται ότι στο τέλος του 2020 θα παρουσιάσουν αρνητικό δημοσιονομικό αποτέλεσμα ύψους 70 εκατ. ευρώ. Τα έξ</w:t>
      </w:r>
      <w:r>
        <w:rPr>
          <w:sz w:val="22"/>
        </w:rPr>
        <w:t>ο</w:t>
      </w:r>
      <w:r>
        <w:rPr>
          <w:sz w:val="22"/>
        </w:rPr>
        <w:t>δα της τρέχουσας χρήσης αποτυπώνουν τη σημαντική ενίσχυση των νοσοκομείων-ΠΦΥ σε προσωπ</w:t>
      </w:r>
      <w:r>
        <w:rPr>
          <w:sz w:val="22"/>
        </w:rPr>
        <w:t>ι</w:t>
      </w:r>
      <w:r>
        <w:rPr>
          <w:sz w:val="22"/>
        </w:rPr>
        <w:t>κό, εξοπλισμό και υγειονομικό υλικό για την αντιμετώπιση των αυξημένων αναγκών στις υγειονομ</w:t>
      </w:r>
      <w:r>
        <w:rPr>
          <w:sz w:val="22"/>
        </w:rPr>
        <w:t>ι</w:t>
      </w:r>
      <w:r>
        <w:rPr>
          <w:sz w:val="22"/>
        </w:rPr>
        <w:t>κές μονάδες λόγω της ενσκήψασας πανδημίας. Οι έκτακτοι αυτοί παράγοντες αναμένεται να επηρε</w:t>
      </w:r>
      <w:r>
        <w:rPr>
          <w:sz w:val="22"/>
        </w:rPr>
        <w:t>ά</w:t>
      </w:r>
      <w:r>
        <w:rPr>
          <w:sz w:val="22"/>
        </w:rPr>
        <w:t>σουν εν μέρει, αλλά σε μικρότερο βαθμό και το επόμενο έτος. Για τη χρηματοδότηση των επιτακτ</w:t>
      </w:r>
      <w:r>
        <w:rPr>
          <w:sz w:val="22"/>
        </w:rPr>
        <w:t>ι</w:t>
      </w:r>
      <w:r>
        <w:rPr>
          <w:sz w:val="22"/>
        </w:rPr>
        <w:t xml:space="preserve">κών αυτών αναγκών αυξήθηκαν σημαντικά και οι μεταβιβάσεις από τον κρατικό προϋπολογισμό σε σχέση με το 2019.  </w:t>
      </w:r>
    </w:p>
    <w:p w:rsidR="004A561A" w:rsidRDefault="004A561A" w:rsidP="004A561A">
      <w:pPr>
        <w:jc w:val="both"/>
        <w:rPr>
          <w:sz w:val="22"/>
        </w:rPr>
      </w:pPr>
    </w:p>
    <w:p w:rsidR="004A561A" w:rsidRDefault="004A561A" w:rsidP="004A561A">
      <w:pPr>
        <w:jc w:val="both"/>
        <w:rPr>
          <w:sz w:val="22"/>
        </w:rPr>
      </w:pPr>
      <w:r>
        <w:rPr>
          <w:sz w:val="22"/>
        </w:rPr>
        <w:t>Για το έτος 2021 προβλέπεται αρνητικό δημοσιονομικό αποτέλεσμα ύψους 14 εκατ. ευρώ, βελτιωμ</w:t>
      </w:r>
      <w:r>
        <w:rPr>
          <w:sz w:val="22"/>
        </w:rPr>
        <w:t>έ</w:t>
      </w:r>
      <w:r>
        <w:rPr>
          <w:sz w:val="22"/>
        </w:rPr>
        <w:t xml:space="preserve">νο κατά 56 εκατ. ευρώ έναντι των εκτιμήσεων για το έτος 2020.  </w:t>
      </w:r>
    </w:p>
    <w:p w:rsidR="004A561A" w:rsidRPr="002D1318" w:rsidRDefault="004A561A" w:rsidP="004A561A">
      <w:pPr>
        <w:jc w:val="both"/>
        <w:rPr>
          <w:sz w:val="22"/>
        </w:rPr>
      </w:pPr>
      <w:r>
        <w:rPr>
          <w:sz w:val="22"/>
        </w:rPr>
        <w:t>Η εκτίμηση των πληρωμών για το 2021 στον ακόλουθο πίνακα σε σχέση με τα έξοδα (σε δεδουλευμ</w:t>
      </w:r>
      <w:r>
        <w:rPr>
          <w:sz w:val="22"/>
        </w:rPr>
        <w:t>έ</w:t>
      </w:r>
      <w:r>
        <w:rPr>
          <w:sz w:val="22"/>
        </w:rPr>
        <w:t>νη βάση) είναι προσαυξημένη κατά το ποσό των απλήρωτων υποχρεώσεων παρελθόντων οικονομ</w:t>
      </w:r>
      <w:r>
        <w:rPr>
          <w:sz w:val="22"/>
        </w:rPr>
        <w:t>ι</w:t>
      </w:r>
      <w:r>
        <w:rPr>
          <w:sz w:val="22"/>
        </w:rPr>
        <w:t>κών ετών (σε καθαρή/</w:t>
      </w:r>
      <w:r>
        <w:rPr>
          <w:sz w:val="22"/>
          <w:lang w:val="en-US"/>
        </w:rPr>
        <w:t>net</w:t>
      </w:r>
      <w:r>
        <w:rPr>
          <w:sz w:val="22"/>
        </w:rPr>
        <w:t xml:space="preserve"> βάση) </w:t>
      </w:r>
      <w:r w:rsidRPr="00962523">
        <w:rPr>
          <w:sz w:val="22"/>
        </w:rPr>
        <w:t>ύψους 450  εκατ. ευρώ</w:t>
      </w:r>
      <w:r>
        <w:rPr>
          <w:sz w:val="22"/>
        </w:rPr>
        <w:t xml:space="preserve"> περίπου, προκειμένου να γίνουν οι αναλήψεις και οι πληρωμές τους εντός του έτους, σύμφωνα με τις δημοσιολογιστικές διατάξεις, λαμβάνοντας υπόψη και τη δέσμευση της χώρας στο πλαίσιο της ενισχυμένης εποπτείας για ελαχιστοποίηση των ληξιπρόθεσμων υποχρεώσεων μέχρι τα μέσα του 2021. </w:t>
      </w:r>
    </w:p>
    <w:p w:rsidR="006D58F6" w:rsidRDefault="006D58F6" w:rsidP="004A561A">
      <w:pPr>
        <w:jc w:val="both"/>
        <w:rPr>
          <w:sz w:val="22"/>
        </w:rPr>
      </w:pPr>
    </w:p>
    <w:p w:rsidR="004A561A" w:rsidRPr="00894B27" w:rsidRDefault="004A561A" w:rsidP="004A561A">
      <w:pPr>
        <w:jc w:val="both"/>
        <w:rPr>
          <w:sz w:val="22"/>
        </w:rPr>
      </w:pPr>
      <w:r w:rsidRPr="00714F5A">
        <w:rPr>
          <w:sz w:val="22"/>
        </w:rPr>
        <w:t xml:space="preserve">Τέλος, </w:t>
      </w:r>
      <w:r>
        <w:rPr>
          <w:sz w:val="22"/>
        </w:rPr>
        <w:t>σημειώνεται</w:t>
      </w:r>
      <w:r w:rsidRPr="00714F5A">
        <w:rPr>
          <w:sz w:val="22"/>
        </w:rPr>
        <w:t xml:space="preserve"> ότι τ</w:t>
      </w:r>
      <w:r>
        <w:rPr>
          <w:sz w:val="22"/>
        </w:rPr>
        <w:t>ο</w:t>
      </w:r>
      <w:r w:rsidRPr="00714F5A">
        <w:rPr>
          <w:sz w:val="22"/>
        </w:rPr>
        <w:t xml:space="preserve"> επιτρεπόμεν</w:t>
      </w:r>
      <w:r>
        <w:rPr>
          <w:sz w:val="22"/>
        </w:rPr>
        <w:t>ο</w:t>
      </w:r>
      <w:r w:rsidRPr="00714F5A">
        <w:rPr>
          <w:sz w:val="22"/>
        </w:rPr>
        <w:t xml:space="preserve"> όρι</w:t>
      </w:r>
      <w:r>
        <w:rPr>
          <w:sz w:val="22"/>
        </w:rPr>
        <w:t>ο</w:t>
      </w:r>
      <w:r w:rsidRPr="00714F5A">
        <w:rPr>
          <w:sz w:val="22"/>
        </w:rPr>
        <w:t xml:space="preserve"> της φαρμακευτικής δαπάνης </w:t>
      </w:r>
      <w:r>
        <w:rPr>
          <w:sz w:val="22"/>
        </w:rPr>
        <w:t>των δημόσιων νοσοκομε</w:t>
      </w:r>
      <w:r>
        <w:rPr>
          <w:sz w:val="22"/>
        </w:rPr>
        <w:t>ί</w:t>
      </w:r>
      <w:r>
        <w:rPr>
          <w:sz w:val="22"/>
        </w:rPr>
        <w:t xml:space="preserve">ων </w:t>
      </w:r>
      <w:r w:rsidRPr="00714F5A">
        <w:rPr>
          <w:sz w:val="22"/>
        </w:rPr>
        <w:t>σε δεδουλευμένη βάση για το έτος 202</w:t>
      </w:r>
      <w:r>
        <w:rPr>
          <w:sz w:val="22"/>
        </w:rPr>
        <w:t>1</w:t>
      </w:r>
      <w:r w:rsidRPr="00714F5A">
        <w:rPr>
          <w:sz w:val="22"/>
        </w:rPr>
        <w:t xml:space="preserve"> </w:t>
      </w:r>
      <w:r>
        <w:rPr>
          <w:sz w:val="22"/>
        </w:rPr>
        <w:t>παραμένει στα ίδια επίπεδα με το 2020 και διαμορφώνεται</w:t>
      </w:r>
      <w:r w:rsidRPr="00714F5A">
        <w:rPr>
          <w:sz w:val="22"/>
        </w:rPr>
        <w:t xml:space="preserve"> σε </w:t>
      </w:r>
      <w:r>
        <w:rPr>
          <w:sz w:val="22"/>
        </w:rPr>
        <w:t>528</w:t>
      </w:r>
      <w:r w:rsidRPr="00714F5A">
        <w:rPr>
          <w:sz w:val="22"/>
        </w:rPr>
        <w:t xml:space="preserve"> εκατ. ευρώ.</w:t>
      </w:r>
      <w:r>
        <w:rPr>
          <w:sz w:val="22"/>
        </w:rPr>
        <w:t xml:space="preserve"> Από το επίπεδο αυτό και πέρα ενεργοποιείται ο μηχανισμός αυτόματης επιστρ</w:t>
      </w:r>
      <w:r>
        <w:rPr>
          <w:sz w:val="22"/>
        </w:rPr>
        <w:t>ο</w:t>
      </w:r>
      <w:r>
        <w:rPr>
          <w:sz w:val="22"/>
        </w:rPr>
        <w:t>φής (</w:t>
      </w:r>
      <w:r>
        <w:rPr>
          <w:sz w:val="22"/>
          <w:lang w:val="en-US"/>
        </w:rPr>
        <w:t>clawback</w:t>
      </w:r>
      <w:r w:rsidRPr="00894B27">
        <w:rPr>
          <w:sz w:val="22"/>
        </w:rPr>
        <w:t>).</w:t>
      </w:r>
    </w:p>
    <w:p w:rsidR="00A93D58" w:rsidRDefault="00A93D58">
      <w:pPr>
        <w:rPr>
          <w:sz w:val="22"/>
        </w:rPr>
      </w:pPr>
      <w:r>
        <w:rPr>
          <w:sz w:val="22"/>
        </w:rPr>
        <w:br w:type="page"/>
      </w:r>
    </w:p>
    <w:p w:rsidR="004A561A" w:rsidRDefault="004A561A" w:rsidP="004A561A">
      <w:pPr>
        <w:rPr>
          <w:sz w:val="22"/>
        </w:rPr>
      </w:pPr>
    </w:p>
    <w:p w:rsidR="004A561A" w:rsidRPr="00DA50FD" w:rsidRDefault="004A561A" w:rsidP="004A561A">
      <w:pPr>
        <w:rPr>
          <w:sz w:val="22"/>
        </w:rPr>
      </w:pPr>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1"/>
        <w:gridCol w:w="1787"/>
        <w:gridCol w:w="1773"/>
      </w:tblGrid>
      <w:tr w:rsidR="004A561A" w:rsidRPr="003818D1" w:rsidTr="00324E75">
        <w:trPr>
          <w:tblHeader/>
          <w:jc w:val="center"/>
        </w:trPr>
        <w:tc>
          <w:tcPr>
            <w:tcW w:w="8751" w:type="dxa"/>
            <w:gridSpan w:val="3"/>
            <w:tcBorders>
              <w:bottom w:val="nil"/>
            </w:tcBorders>
            <w:shd w:val="clear" w:color="auto" w:fill="404040"/>
          </w:tcPr>
          <w:p w:rsidR="004A561A" w:rsidRPr="003818D1" w:rsidRDefault="004A561A" w:rsidP="00324E75">
            <w:pPr>
              <w:tabs>
                <w:tab w:val="num" w:pos="720"/>
              </w:tabs>
              <w:jc w:val="center"/>
              <w:rPr>
                <w:rFonts w:ascii="Arial Narrow" w:hAnsi="Arial Narrow"/>
                <w:b/>
                <w:color w:val="FFFFFF"/>
                <w:szCs w:val="16"/>
              </w:rPr>
            </w:pPr>
            <w:r w:rsidRPr="003818D1">
              <w:rPr>
                <w:rFonts w:ascii="Arial Narrow" w:hAnsi="Arial Narrow"/>
                <w:b/>
                <w:color w:val="FFFFFF"/>
                <w:szCs w:val="16"/>
              </w:rPr>
              <w:t>Πίνακας 3</w:t>
            </w:r>
            <w:r w:rsidR="006D58F6">
              <w:rPr>
                <w:rFonts w:ascii="Arial Narrow" w:hAnsi="Arial Narrow"/>
                <w:b/>
                <w:color w:val="FFFFFF"/>
                <w:szCs w:val="16"/>
              </w:rPr>
              <w:t>.24</w:t>
            </w:r>
            <w:r w:rsidRPr="003818D1">
              <w:rPr>
                <w:rFonts w:ascii="Arial Narrow" w:hAnsi="Arial Narrow"/>
                <w:b/>
                <w:color w:val="FFFFFF"/>
                <w:szCs w:val="16"/>
              </w:rPr>
              <w:t xml:space="preserve"> </w:t>
            </w:r>
            <w:r>
              <w:rPr>
                <w:rFonts w:ascii="Arial Narrow" w:hAnsi="Arial Narrow"/>
                <w:b/>
                <w:color w:val="FFFFFF"/>
                <w:szCs w:val="16"/>
              </w:rPr>
              <w:t>Ταμειακοί π</w:t>
            </w:r>
            <w:r w:rsidRPr="003818D1">
              <w:rPr>
                <w:rFonts w:ascii="Arial Narrow" w:hAnsi="Arial Narrow"/>
                <w:b/>
                <w:color w:val="FFFFFF"/>
                <w:szCs w:val="16"/>
              </w:rPr>
              <w:t xml:space="preserve">ροϋπολογισμοί Νοσοκομείων και ΠΦΥ </w:t>
            </w:r>
          </w:p>
          <w:p w:rsidR="004A561A" w:rsidRPr="003818D1" w:rsidRDefault="004A561A" w:rsidP="00324E75">
            <w:pPr>
              <w:tabs>
                <w:tab w:val="num" w:pos="720"/>
              </w:tabs>
              <w:jc w:val="center"/>
              <w:rPr>
                <w:rFonts w:ascii="Arial Narrow" w:hAnsi="Arial Narrow"/>
                <w:b/>
                <w:color w:val="FFFFFF"/>
                <w:szCs w:val="16"/>
              </w:rPr>
            </w:pPr>
            <w:r w:rsidRPr="003818D1">
              <w:rPr>
                <w:rFonts w:ascii="Arial Narrow" w:hAnsi="Arial Narrow"/>
                <w:b/>
                <w:color w:val="FFFFFF"/>
                <w:szCs w:val="16"/>
              </w:rPr>
              <w:t>(σε εκατ. ευρώ)</w:t>
            </w:r>
          </w:p>
        </w:tc>
      </w:tr>
      <w:tr w:rsidR="004A561A" w:rsidRPr="003818D1" w:rsidTr="00324E75">
        <w:trPr>
          <w:tblHeader/>
          <w:jc w:val="center"/>
        </w:trPr>
        <w:tc>
          <w:tcPr>
            <w:tcW w:w="5191" w:type="dxa"/>
            <w:tcBorders>
              <w:top w:val="nil"/>
              <w:bottom w:val="nil"/>
              <w:right w:val="nil"/>
            </w:tcBorders>
            <w:shd w:val="clear" w:color="auto" w:fill="FFFFFF"/>
          </w:tcPr>
          <w:p w:rsidR="004A561A" w:rsidRPr="003818D1" w:rsidRDefault="004A561A" w:rsidP="00324E75">
            <w:pPr>
              <w:tabs>
                <w:tab w:val="num" w:pos="720"/>
              </w:tabs>
              <w:spacing w:line="235" w:lineRule="auto"/>
              <w:rPr>
                <w:rFonts w:ascii="Arial Narrow" w:hAnsi="Arial Narrow"/>
                <w:b/>
                <w:sz w:val="14"/>
                <w:szCs w:val="16"/>
              </w:rPr>
            </w:pPr>
          </w:p>
        </w:tc>
        <w:tc>
          <w:tcPr>
            <w:tcW w:w="1787" w:type="dxa"/>
            <w:tcBorders>
              <w:top w:val="nil"/>
              <w:left w:val="nil"/>
              <w:bottom w:val="nil"/>
              <w:right w:val="nil"/>
            </w:tcBorders>
            <w:shd w:val="clear" w:color="auto" w:fill="FFFFFF"/>
            <w:vAlign w:val="center"/>
          </w:tcPr>
          <w:p w:rsidR="004A561A" w:rsidRPr="003818D1" w:rsidRDefault="004A561A" w:rsidP="00324E75">
            <w:pPr>
              <w:ind w:right="567"/>
              <w:jc w:val="right"/>
              <w:rPr>
                <w:rFonts w:ascii="Arial Narrow" w:hAnsi="Arial Narrow"/>
                <w:b/>
                <w:bCs/>
                <w:sz w:val="14"/>
                <w:szCs w:val="16"/>
              </w:rPr>
            </w:pPr>
          </w:p>
        </w:tc>
        <w:tc>
          <w:tcPr>
            <w:tcW w:w="1773" w:type="dxa"/>
            <w:tcBorders>
              <w:top w:val="nil"/>
              <w:left w:val="nil"/>
              <w:bottom w:val="nil"/>
            </w:tcBorders>
            <w:shd w:val="clear" w:color="auto" w:fill="FFFFFF"/>
            <w:vAlign w:val="center"/>
          </w:tcPr>
          <w:p w:rsidR="004A561A" w:rsidRPr="003818D1" w:rsidRDefault="004A561A" w:rsidP="00324E75">
            <w:pPr>
              <w:ind w:right="567"/>
              <w:jc w:val="right"/>
              <w:rPr>
                <w:rFonts w:ascii="Arial Narrow" w:hAnsi="Arial Narrow"/>
                <w:b/>
                <w:bCs/>
                <w:sz w:val="14"/>
                <w:szCs w:val="16"/>
              </w:rPr>
            </w:pPr>
          </w:p>
        </w:tc>
      </w:tr>
      <w:tr w:rsidR="004A561A" w:rsidRPr="003818D1" w:rsidTr="00324E75">
        <w:trPr>
          <w:tblHeader/>
          <w:jc w:val="center"/>
        </w:trPr>
        <w:tc>
          <w:tcPr>
            <w:tcW w:w="5191" w:type="dxa"/>
          </w:tcPr>
          <w:p w:rsidR="004A561A" w:rsidRPr="003818D1" w:rsidRDefault="004A561A" w:rsidP="00324E75">
            <w:pPr>
              <w:tabs>
                <w:tab w:val="num" w:pos="720"/>
              </w:tabs>
              <w:spacing w:line="230" w:lineRule="auto"/>
              <w:jc w:val="center"/>
              <w:rPr>
                <w:rFonts w:ascii="Arial Narrow" w:hAnsi="Arial Narrow"/>
                <w:b/>
                <w:sz w:val="16"/>
                <w:szCs w:val="16"/>
              </w:rPr>
            </w:pPr>
          </w:p>
        </w:tc>
        <w:tc>
          <w:tcPr>
            <w:tcW w:w="1787" w:type="dxa"/>
          </w:tcPr>
          <w:p w:rsidR="004A561A" w:rsidRPr="003818D1" w:rsidRDefault="004A561A" w:rsidP="00324E75">
            <w:pPr>
              <w:tabs>
                <w:tab w:val="num" w:pos="720"/>
              </w:tabs>
              <w:spacing w:line="230" w:lineRule="auto"/>
              <w:jc w:val="center"/>
              <w:rPr>
                <w:rFonts w:ascii="Arial Narrow" w:hAnsi="Arial Narrow"/>
                <w:b/>
                <w:sz w:val="16"/>
                <w:szCs w:val="16"/>
              </w:rPr>
            </w:pPr>
            <w:r w:rsidRPr="003818D1">
              <w:rPr>
                <w:rFonts w:ascii="Arial Narrow" w:hAnsi="Arial Narrow"/>
                <w:b/>
                <w:sz w:val="16"/>
                <w:szCs w:val="16"/>
              </w:rPr>
              <w:t>20</w:t>
            </w:r>
            <w:r>
              <w:rPr>
                <w:rFonts w:ascii="Arial Narrow" w:hAnsi="Arial Narrow"/>
                <w:b/>
                <w:sz w:val="16"/>
                <w:szCs w:val="16"/>
              </w:rPr>
              <w:t>20</w:t>
            </w:r>
          </w:p>
          <w:p w:rsidR="004A561A" w:rsidRPr="003818D1" w:rsidRDefault="004A561A" w:rsidP="00324E75">
            <w:pPr>
              <w:tabs>
                <w:tab w:val="num" w:pos="720"/>
              </w:tabs>
              <w:spacing w:line="230" w:lineRule="auto"/>
              <w:jc w:val="center"/>
              <w:rPr>
                <w:rFonts w:ascii="Arial Narrow" w:hAnsi="Arial Narrow"/>
                <w:b/>
                <w:sz w:val="16"/>
                <w:szCs w:val="16"/>
              </w:rPr>
            </w:pPr>
            <w:r w:rsidRPr="003818D1">
              <w:rPr>
                <w:rFonts w:ascii="Arial Narrow" w:hAnsi="Arial Narrow"/>
                <w:b/>
                <w:sz w:val="16"/>
                <w:szCs w:val="16"/>
              </w:rPr>
              <w:t>Εκτιμήσεις</w:t>
            </w:r>
          </w:p>
        </w:tc>
        <w:tc>
          <w:tcPr>
            <w:tcW w:w="1773" w:type="dxa"/>
          </w:tcPr>
          <w:p w:rsidR="004A561A" w:rsidRPr="003818D1" w:rsidRDefault="004A561A" w:rsidP="00324E75">
            <w:pPr>
              <w:tabs>
                <w:tab w:val="num" w:pos="720"/>
              </w:tabs>
              <w:spacing w:line="230" w:lineRule="auto"/>
              <w:jc w:val="center"/>
              <w:rPr>
                <w:rFonts w:ascii="Arial Narrow" w:hAnsi="Arial Narrow"/>
                <w:b/>
                <w:sz w:val="16"/>
                <w:szCs w:val="16"/>
              </w:rPr>
            </w:pPr>
            <w:r w:rsidRPr="003818D1">
              <w:rPr>
                <w:rFonts w:ascii="Arial Narrow" w:hAnsi="Arial Narrow"/>
                <w:b/>
                <w:sz w:val="16"/>
                <w:szCs w:val="16"/>
              </w:rPr>
              <w:t>20</w:t>
            </w:r>
            <w:r>
              <w:rPr>
                <w:rFonts w:ascii="Arial Narrow" w:hAnsi="Arial Narrow"/>
                <w:b/>
                <w:sz w:val="16"/>
                <w:szCs w:val="16"/>
              </w:rPr>
              <w:t>21</w:t>
            </w:r>
          </w:p>
          <w:p w:rsidR="004A561A" w:rsidRPr="003818D1" w:rsidRDefault="004A561A" w:rsidP="00324E75">
            <w:pPr>
              <w:tabs>
                <w:tab w:val="num" w:pos="720"/>
              </w:tabs>
              <w:spacing w:line="230" w:lineRule="auto"/>
              <w:jc w:val="center"/>
              <w:rPr>
                <w:rFonts w:ascii="Arial Narrow" w:hAnsi="Arial Narrow"/>
                <w:b/>
                <w:sz w:val="16"/>
                <w:szCs w:val="16"/>
              </w:rPr>
            </w:pPr>
            <w:r w:rsidRPr="003818D1">
              <w:rPr>
                <w:rFonts w:ascii="Arial Narrow" w:hAnsi="Arial Narrow"/>
                <w:b/>
                <w:sz w:val="16"/>
                <w:szCs w:val="16"/>
              </w:rPr>
              <w:t>Προβλέψεις</w:t>
            </w:r>
          </w:p>
        </w:tc>
      </w:tr>
      <w:tr w:rsidR="004A561A" w:rsidRPr="003818D1" w:rsidTr="00324E75">
        <w:trPr>
          <w:jc w:val="center"/>
        </w:trPr>
        <w:tc>
          <w:tcPr>
            <w:tcW w:w="5191" w:type="dxa"/>
            <w:tcBorders>
              <w:top w:val="nil"/>
              <w:bottom w:val="nil"/>
              <w:right w:val="nil"/>
            </w:tcBorders>
            <w:shd w:val="clear" w:color="auto" w:fill="A6A6A6"/>
          </w:tcPr>
          <w:p w:rsidR="004A561A" w:rsidRPr="003818D1" w:rsidRDefault="004A561A" w:rsidP="00324E75">
            <w:pPr>
              <w:tabs>
                <w:tab w:val="num" w:pos="720"/>
              </w:tabs>
              <w:spacing w:line="230" w:lineRule="auto"/>
              <w:rPr>
                <w:rFonts w:ascii="Arial Narrow" w:hAnsi="Arial Narrow"/>
                <w:b/>
                <w:sz w:val="16"/>
                <w:szCs w:val="16"/>
              </w:rPr>
            </w:pPr>
            <w:r w:rsidRPr="003818D1">
              <w:rPr>
                <w:rFonts w:ascii="Arial Narrow" w:hAnsi="Arial Narrow"/>
                <w:b/>
                <w:sz w:val="16"/>
                <w:szCs w:val="16"/>
              </w:rPr>
              <w:t>Ι. Νοσοκομεία</w:t>
            </w:r>
          </w:p>
        </w:tc>
        <w:tc>
          <w:tcPr>
            <w:tcW w:w="1787" w:type="dxa"/>
            <w:tcBorders>
              <w:top w:val="nil"/>
              <w:left w:val="nil"/>
              <w:bottom w:val="nil"/>
              <w:right w:val="nil"/>
            </w:tcBorders>
            <w:shd w:val="clear" w:color="auto" w:fill="A6A6A6"/>
            <w:vAlign w:val="center"/>
          </w:tcPr>
          <w:p w:rsidR="004A561A" w:rsidRPr="003818D1" w:rsidRDefault="004A561A" w:rsidP="00324E75">
            <w:pPr>
              <w:spacing w:line="230" w:lineRule="auto"/>
              <w:ind w:right="567"/>
              <w:jc w:val="right"/>
              <w:rPr>
                <w:rFonts w:ascii="Arial Narrow" w:hAnsi="Arial Narrow"/>
                <w:b/>
                <w:bCs/>
                <w:sz w:val="16"/>
                <w:szCs w:val="16"/>
              </w:rPr>
            </w:pPr>
            <w:r w:rsidRPr="003818D1">
              <w:rPr>
                <w:rFonts w:ascii="Arial Narrow" w:hAnsi="Arial Narrow"/>
                <w:b/>
                <w:bCs/>
                <w:sz w:val="16"/>
                <w:szCs w:val="16"/>
              </w:rPr>
              <w:t> </w:t>
            </w:r>
          </w:p>
        </w:tc>
        <w:tc>
          <w:tcPr>
            <w:tcW w:w="1773" w:type="dxa"/>
            <w:tcBorders>
              <w:top w:val="nil"/>
              <w:left w:val="nil"/>
              <w:bottom w:val="nil"/>
            </w:tcBorders>
            <w:shd w:val="clear" w:color="auto" w:fill="A6A6A6"/>
            <w:vAlign w:val="center"/>
          </w:tcPr>
          <w:p w:rsidR="004A561A" w:rsidRPr="003818D1" w:rsidRDefault="004A561A" w:rsidP="00324E75">
            <w:pPr>
              <w:spacing w:line="230" w:lineRule="auto"/>
              <w:ind w:right="567"/>
              <w:jc w:val="right"/>
              <w:rPr>
                <w:rFonts w:ascii="Arial Narrow" w:hAnsi="Arial Narrow"/>
                <w:b/>
                <w:bCs/>
                <w:sz w:val="16"/>
                <w:szCs w:val="16"/>
              </w:rPr>
            </w:pPr>
            <w:r w:rsidRPr="003818D1">
              <w:rPr>
                <w:rFonts w:ascii="Arial Narrow" w:hAnsi="Arial Narrow"/>
                <w:b/>
                <w:bCs/>
                <w:sz w:val="16"/>
                <w:szCs w:val="16"/>
              </w:rPr>
              <w:t> </w:t>
            </w:r>
          </w:p>
        </w:tc>
      </w:tr>
      <w:tr w:rsidR="004A561A" w:rsidRPr="003818D1" w:rsidTr="00324E75">
        <w:trPr>
          <w:jc w:val="center"/>
        </w:trPr>
        <w:tc>
          <w:tcPr>
            <w:tcW w:w="5191" w:type="dxa"/>
            <w:tcBorders>
              <w:top w:val="nil"/>
              <w:bottom w:val="nil"/>
              <w:right w:val="nil"/>
            </w:tcBorders>
            <w:vAlign w:val="center"/>
          </w:tcPr>
          <w:p w:rsidR="004A561A" w:rsidRPr="003818D1" w:rsidRDefault="004A561A" w:rsidP="00324E75">
            <w:pPr>
              <w:spacing w:line="230" w:lineRule="auto"/>
              <w:rPr>
                <w:rFonts w:ascii="Arial Narrow" w:hAnsi="Arial Narrow"/>
                <w:b/>
                <w:bCs/>
                <w:sz w:val="16"/>
                <w:szCs w:val="16"/>
              </w:rPr>
            </w:pPr>
            <w:r w:rsidRPr="003818D1">
              <w:rPr>
                <w:rFonts w:ascii="Arial Narrow" w:hAnsi="Arial Narrow"/>
                <w:b/>
                <w:bCs/>
                <w:sz w:val="16"/>
                <w:szCs w:val="16"/>
              </w:rPr>
              <w:t>Έσοδα</w:t>
            </w:r>
          </w:p>
        </w:tc>
        <w:tc>
          <w:tcPr>
            <w:tcW w:w="1787" w:type="dxa"/>
            <w:tcBorders>
              <w:top w:val="nil"/>
              <w:left w:val="nil"/>
              <w:bottom w:val="nil"/>
              <w:right w:val="nil"/>
            </w:tcBorders>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2.675</w:t>
            </w:r>
          </w:p>
        </w:tc>
        <w:tc>
          <w:tcPr>
            <w:tcW w:w="1773" w:type="dxa"/>
            <w:tcBorders>
              <w:top w:val="nil"/>
              <w:left w:val="nil"/>
              <w:bottom w:val="nil"/>
            </w:tcBorders>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2.765</w:t>
            </w:r>
          </w:p>
        </w:tc>
      </w:tr>
      <w:tr w:rsidR="004A561A" w:rsidRPr="003818D1" w:rsidTr="00324E75">
        <w:trPr>
          <w:jc w:val="center"/>
        </w:trPr>
        <w:tc>
          <w:tcPr>
            <w:tcW w:w="5191" w:type="dxa"/>
            <w:tcBorders>
              <w:top w:val="nil"/>
              <w:bottom w:val="nil"/>
              <w:right w:val="nil"/>
            </w:tcBorders>
            <w:vAlign w:val="center"/>
          </w:tcPr>
          <w:p w:rsidR="004A561A" w:rsidRPr="003818D1" w:rsidRDefault="004A561A" w:rsidP="00324E75">
            <w:pPr>
              <w:spacing w:line="230" w:lineRule="auto"/>
              <w:rPr>
                <w:rFonts w:ascii="Arial Narrow" w:hAnsi="Arial Narrow"/>
                <w:sz w:val="16"/>
                <w:szCs w:val="16"/>
              </w:rPr>
            </w:pPr>
            <w:r w:rsidRPr="003818D1">
              <w:rPr>
                <w:rFonts w:ascii="Arial Narrow" w:hAnsi="Arial Narrow"/>
                <w:sz w:val="16"/>
                <w:szCs w:val="16"/>
              </w:rPr>
              <w:t>Ίδια έσοδα</w:t>
            </w:r>
          </w:p>
        </w:tc>
        <w:tc>
          <w:tcPr>
            <w:tcW w:w="1787" w:type="dxa"/>
            <w:tcBorders>
              <w:top w:val="nil"/>
              <w:left w:val="nil"/>
              <w:bottom w:val="nil"/>
              <w:right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192</w:t>
            </w:r>
          </w:p>
        </w:tc>
        <w:tc>
          <w:tcPr>
            <w:tcW w:w="1773" w:type="dxa"/>
            <w:tcBorders>
              <w:top w:val="nil"/>
              <w:left w:val="nil"/>
              <w:bottom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206</w:t>
            </w:r>
          </w:p>
        </w:tc>
      </w:tr>
      <w:tr w:rsidR="004A561A" w:rsidRPr="003818D1" w:rsidTr="00324E75">
        <w:trPr>
          <w:jc w:val="center"/>
        </w:trPr>
        <w:tc>
          <w:tcPr>
            <w:tcW w:w="5191" w:type="dxa"/>
            <w:tcBorders>
              <w:top w:val="nil"/>
              <w:bottom w:val="nil"/>
              <w:right w:val="nil"/>
            </w:tcBorders>
            <w:vAlign w:val="center"/>
          </w:tcPr>
          <w:p w:rsidR="004A561A" w:rsidRPr="003818D1" w:rsidRDefault="004A561A" w:rsidP="00324E75">
            <w:pPr>
              <w:spacing w:line="230" w:lineRule="auto"/>
              <w:rPr>
                <w:rFonts w:ascii="Arial Narrow" w:hAnsi="Arial Narrow"/>
                <w:sz w:val="16"/>
                <w:szCs w:val="16"/>
              </w:rPr>
            </w:pPr>
            <w:r w:rsidRPr="003818D1">
              <w:rPr>
                <w:rFonts w:ascii="Arial Narrow" w:hAnsi="Arial Narrow"/>
                <w:sz w:val="16"/>
                <w:szCs w:val="16"/>
              </w:rPr>
              <w:t>Μεταβιβάσεις από τακτικό προϋπολογισμό</w:t>
            </w:r>
          </w:p>
        </w:tc>
        <w:tc>
          <w:tcPr>
            <w:tcW w:w="1787" w:type="dxa"/>
            <w:tcBorders>
              <w:top w:val="nil"/>
              <w:left w:val="nil"/>
              <w:bottom w:val="nil"/>
              <w:right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1.236</w:t>
            </w:r>
          </w:p>
        </w:tc>
        <w:tc>
          <w:tcPr>
            <w:tcW w:w="1773" w:type="dxa"/>
            <w:tcBorders>
              <w:top w:val="nil"/>
              <w:left w:val="nil"/>
              <w:bottom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1.310</w:t>
            </w:r>
          </w:p>
        </w:tc>
      </w:tr>
      <w:tr w:rsidR="004A561A" w:rsidRPr="003818D1" w:rsidTr="00324E75">
        <w:trPr>
          <w:jc w:val="center"/>
        </w:trPr>
        <w:tc>
          <w:tcPr>
            <w:tcW w:w="5191" w:type="dxa"/>
            <w:tcBorders>
              <w:top w:val="nil"/>
              <w:bottom w:val="nil"/>
              <w:right w:val="nil"/>
            </w:tcBorders>
            <w:vAlign w:val="center"/>
          </w:tcPr>
          <w:p w:rsidR="004A561A" w:rsidRPr="003818D1" w:rsidRDefault="004A561A" w:rsidP="00324E75">
            <w:pPr>
              <w:spacing w:line="230" w:lineRule="auto"/>
              <w:rPr>
                <w:rFonts w:ascii="Arial Narrow" w:hAnsi="Arial Narrow"/>
                <w:sz w:val="16"/>
                <w:szCs w:val="16"/>
              </w:rPr>
            </w:pPr>
            <w:r w:rsidRPr="003818D1">
              <w:rPr>
                <w:rFonts w:ascii="Arial Narrow" w:hAnsi="Arial Narrow"/>
                <w:sz w:val="16"/>
                <w:szCs w:val="16"/>
              </w:rPr>
              <w:t>Μεταβιβάσεις από φορείς κοινωνικής ασφάλισης</w:t>
            </w:r>
          </w:p>
        </w:tc>
        <w:tc>
          <w:tcPr>
            <w:tcW w:w="1787" w:type="dxa"/>
            <w:tcBorders>
              <w:top w:val="nil"/>
              <w:left w:val="nil"/>
              <w:bottom w:val="nil"/>
              <w:right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888</w:t>
            </w:r>
          </w:p>
        </w:tc>
        <w:tc>
          <w:tcPr>
            <w:tcW w:w="1773" w:type="dxa"/>
            <w:tcBorders>
              <w:top w:val="nil"/>
              <w:left w:val="nil"/>
              <w:bottom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888</w:t>
            </w:r>
          </w:p>
        </w:tc>
      </w:tr>
      <w:tr w:rsidR="004A561A" w:rsidRPr="003818D1" w:rsidTr="00324E75">
        <w:trPr>
          <w:jc w:val="center"/>
        </w:trPr>
        <w:tc>
          <w:tcPr>
            <w:tcW w:w="5191" w:type="dxa"/>
            <w:tcBorders>
              <w:top w:val="nil"/>
              <w:bottom w:val="nil"/>
              <w:right w:val="nil"/>
            </w:tcBorders>
            <w:vAlign w:val="center"/>
          </w:tcPr>
          <w:p w:rsidR="004A561A" w:rsidRPr="003818D1" w:rsidRDefault="004A561A" w:rsidP="00324E75">
            <w:pPr>
              <w:spacing w:line="230" w:lineRule="auto"/>
              <w:rPr>
                <w:rFonts w:ascii="Arial Narrow" w:hAnsi="Arial Narrow"/>
                <w:sz w:val="16"/>
                <w:szCs w:val="16"/>
              </w:rPr>
            </w:pPr>
            <w:r w:rsidRPr="003818D1">
              <w:rPr>
                <w:rFonts w:ascii="Arial Narrow" w:hAnsi="Arial Narrow"/>
                <w:sz w:val="16"/>
                <w:szCs w:val="16"/>
              </w:rPr>
              <w:t>Μεταβιβάσεις από ΠΔΕ</w:t>
            </w:r>
          </w:p>
        </w:tc>
        <w:tc>
          <w:tcPr>
            <w:tcW w:w="1787" w:type="dxa"/>
            <w:tcBorders>
              <w:top w:val="nil"/>
              <w:left w:val="nil"/>
              <w:bottom w:val="nil"/>
              <w:right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62</w:t>
            </w:r>
          </w:p>
        </w:tc>
        <w:tc>
          <w:tcPr>
            <w:tcW w:w="1773" w:type="dxa"/>
            <w:tcBorders>
              <w:top w:val="nil"/>
              <w:left w:val="nil"/>
              <w:bottom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64</w:t>
            </w:r>
          </w:p>
        </w:tc>
      </w:tr>
      <w:tr w:rsidR="004A561A" w:rsidRPr="003818D1" w:rsidTr="00324E75">
        <w:trPr>
          <w:jc w:val="center"/>
        </w:trPr>
        <w:tc>
          <w:tcPr>
            <w:tcW w:w="5191" w:type="dxa"/>
            <w:tcBorders>
              <w:top w:val="nil"/>
              <w:bottom w:val="nil"/>
              <w:right w:val="nil"/>
            </w:tcBorders>
            <w:vAlign w:val="center"/>
          </w:tcPr>
          <w:p w:rsidR="004A561A" w:rsidRPr="003818D1" w:rsidRDefault="004A561A" w:rsidP="00324E75">
            <w:pPr>
              <w:spacing w:line="230" w:lineRule="auto"/>
              <w:rPr>
                <w:rFonts w:ascii="Arial Narrow" w:hAnsi="Arial Narrow"/>
                <w:sz w:val="16"/>
                <w:szCs w:val="16"/>
              </w:rPr>
            </w:pPr>
            <w:r w:rsidRPr="003818D1">
              <w:rPr>
                <w:rFonts w:ascii="Arial Narrow" w:hAnsi="Arial Narrow"/>
                <w:sz w:val="16"/>
                <w:szCs w:val="16"/>
              </w:rPr>
              <w:t>Αντικριζόμενα έσοδα</w:t>
            </w:r>
          </w:p>
        </w:tc>
        <w:tc>
          <w:tcPr>
            <w:tcW w:w="1787" w:type="dxa"/>
            <w:tcBorders>
              <w:top w:val="nil"/>
              <w:left w:val="nil"/>
              <w:bottom w:val="nil"/>
              <w:right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297</w:t>
            </w:r>
          </w:p>
        </w:tc>
        <w:tc>
          <w:tcPr>
            <w:tcW w:w="1773" w:type="dxa"/>
            <w:tcBorders>
              <w:top w:val="nil"/>
              <w:left w:val="nil"/>
              <w:bottom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298</w:t>
            </w:r>
          </w:p>
        </w:tc>
      </w:tr>
      <w:tr w:rsidR="004A561A" w:rsidRPr="003818D1" w:rsidTr="00324E75">
        <w:trPr>
          <w:jc w:val="center"/>
        </w:trPr>
        <w:tc>
          <w:tcPr>
            <w:tcW w:w="5191" w:type="dxa"/>
            <w:tcBorders>
              <w:top w:val="nil"/>
              <w:bottom w:val="nil"/>
              <w:right w:val="nil"/>
            </w:tcBorders>
            <w:vAlign w:val="center"/>
          </w:tcPr>
          <w:p w:rsidR="004A561A" w:rsidRPr="003818D1" w:rsidRDefault="004A561A" w:rsidP="00324E75">
            <w:pPr>
              <w:spacing w:line="230" w:lineRule="auto"/>
              <w:rPr>
                <w:rFonts w:ascii="Arial Narrow" w:hAnsi="Arial Narrow"/>
                <w:b/>
                <w:bCs/>
                <w:sz w:val="16"/>
                <w:szCs w:val="16"/>
              </w:rPr>
            </w:pPr>
            <w:r>
              <w:rPr>
                <w:rFonts w:ascii="Arial Narrow" w:hAnsi="Arial Narrow"/>
                <w:b/>
                <w:bCs/>
                <w:sz w:val="16"/>
                <w:szCs w:val="16"/>
              </w:rPr>
              <w:t>Δαπάνες</w:t>
            </w:r>
          </w:p>
        </w:tc>
        <w:tc>
          <w:tcPr>
            <w:tcW w:w="1787" w:type="dxa"/>
            <w:tcBorders>
              <w:top w:val="nil"/>
              <w:left w:val="nil"/>
              <w:bottom w:val="nil"/>
              <w:right w:val="nil"/>
            </w:tcBorders>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2.846</w:t>
            </w:r>
          </w:p>
        </w:tc>
        <w:tc>
          <w:tcPr>
            <w:tcW w:w="1773" w:type="dxa"/>
            <w:tcBorders>
              <w:top w:val="nil"/>
              <w:left w:val="nil"/>
              <w:bottom w:val="nil"/>
            </w:tcBorders>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3.199</w:t>
            </w:r>
          </w:p>
        </w:tc>
      </w:tr>
      <w:tr w:rsidR="004A561A" w:rsidRPr="003818D1" w:rsidTr="00324E75">
        <w:trPr>
          <w:jc w:val="center"/>
        </w:trPr>
        <w:tc>
          <w:tcPr>
            <w:tcW w:w="5191" w:type="dxa"/>
            <w:tcBorders>
              <w:top w:val="nil"/>
              <w:bottom w:val="nil"/>
              <w:right w:val="nil"/>
            </w:tcBorders>
            <w:vAlign w:val="center"/>
          </w:tcPr>
          <w:p w:rsidR="004A561A" w:rsidRPr="003818D1" w:rsidRDefault="004A561A" w:rsidP="00324E75">
            <w:pPr>
              <w:spacing w:line="230" w:lineRule="auto"/>
              <w:rPr>
                <w:rFonts w:ascii="Arial Narrow" w:hAnsi="Arial Narrow"/>
                <w:sz w:val="16"/>
                <w:szCs w:val="16"/>
              </w:rPr>
            </w:pPr>
            <w:r w:rsidRPr="003818D1">
              <w:rPr>
                <w:rFonts w:ascii="Arial Narrow" w:hAnsi="Arial Narrow"/>
                <w:sz w:val="16"/>
                <w:szCs w:val="16"/>
              </w:rPr>
              <w:t>Αγαθά</w:t>
            </w:r>
          </w:p>
        </w:tc>
        <w:tc>
          <w:tcPr>
            <w:tcW w:w="1787" w:type="dxa"/>
            <w:tcBorders>
              <w:top w:val="nil"/>
              <w:left w:val="nil"/>
              <w:bottom w:val="nil"/>
              <w:right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1.324</w:t>
            </w:r>
          </w:p>
        </w:tc>
        <w:tc>
          <w:tcPr>
            <w:tcW w:w="1773" w:type="dxa"/>
            <w:tcBorders>
              <w:top w:val="nil"/>
              <w:left w:val="nil"/>
              <w:bottom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1.456</w:t>
            </w:r>
          </w:p>
        </w:tc>
      </w:tr>
      <w:tr w:rsidR="004A561A" w:rsidRPr="003818D1" w:rsidTr="00324E75">
        <w:trPr>
          <w:jc w:val="center"/>
        </w:trPr>
        <w:tc>
          <w:tcPr>
            <w:tcW w:w="5191" w:type="dxa"/>
            <w:tcBorders>
              <w:top w:val="nil"/>
              <w:bottom w:val="nil"/>
              <w:right w:val="nil"/>
            </w:tcBorders>
            <w:vAlign w:val="center"/>
          </w:tcPr>
          <w:p w:rsidR="004A561A" w:rsidRPr="003818D1" w:rsidRDefault="004A561A" w:rsidP="00324E75">
            <w:pPr>
              <w:spacing w:line="230" w:lineRule="auto"/>
              <w:rPr>
                <w:rFonts w:ascii="Arial Narrow" w:hAnsi="Arial Narrow"/>
                <w:sz w:val="16"/>
                <w:szCs w:val="16"/>
              </w:rPr>
            </w:pPr>
            <w:r w:rsidRPr="003818D1">
              <w:rPr>
                <w:rFonts w:ascii="Arial Narrow" w:hAnsi="Arial Narrow"/>
                <w:sz w:val="16"/>
                <w:szCs w:val="16"/>
              </w:rPr>
              <w:t>Δαπάνες προσωπικού</w:t>
            </w:r>
          </w:p>
        </w:tc>
        <w:tc>
          <w:tcPr>
            <w:tcW w:w="1787" w:type="dxa"/>
            <w:tcBorders>
              <w:top w:val="nil"/>
              <w:left w:val="nil"/>
              <w:bottom w:val="nil"/>
              <w:right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599</w:t>
            </w:r>
          </w:p>
        </w:tc>
        <w:tc>
          <w:tcPr>
            <w:tcW w:w="1773" w:type="dxa"/>
            <w:tcBorders>
              <w:top w:val="nil"/>
              <w:left w:val="nil"/>
              <w:bottom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658</w:t>
            </w:r>
          </w:p>
        </w:tc>
      </w:tr>
      <w:tr w:rsidR="004A561A" w:rsidRPr="003818D1" w:rsidTr="00324E75">
        <w:trPr>
          <w:jc w:val="center"/>
        </w:trPr>
        <w:tc>
          <w:tcPr>
            <w:tcW w:w="5191" w:type="dxa"/>
            <w:tcBorders>
              <w:top w:val="nil"/>
              <w:bottom w:val="nil"/>
              <w:right w:val="nil"/>
            </w:tcBorders>
            <w:shd w:val="clear" w:color="auto" w:fill="auto"/>
            <w:vAlign w:val="center"/>
          </w:tcPr>
          <w:p w:rsidR="004A561A" w:rsidRPr="003818D1" w:rsidRDefault="004A561A" w:rsidP="00324E75">
            <w:pPr>
              <w:spacing w:line="230" w:lineRule="auto"/>
              <w:rPr>
                <w:rFonts w:ascii="Arial Narrow" w:hAnsi="Arial Narrow"/>
                <w:sz w:val="16"/>
                <w:szCs w:val="16"/>
              </w:rPr>
            </w:pPr>
            <w:r w:rsidRPr="003818D1">
              <w:rPr>
                <w:rFonts w:ascii="Arial Narrow" w:hAnsi="Arial Narrow"/>
                <w:sz w:val="16"/>
                <w:szCs w:val="16"/>
              </w:rPr>
              <w:t>Υπηρεσίες</w:t>
            </w:r>
          </w:p>
        </w:tc>
        <w:tc>
          <w:tcPr>
            <w:tcW w:w="1787" w:type="dxa"/>
            <w:tcBorders>
              <w:top w:val="nil"/>
              <w:left w:val="nil"/>
              <w:bottom w:val="nil"/>
              <w:right w:val="nil"/>
            </w:tcBorders>
            <w:shd w:val="clear" w:color="auto" w:fill="auto"/>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564</w:t>
            </w:r>
          </w:p>
        </w:tc>
        <w:tc>
          <w:tcPr>
            <w:tcW w:w="1773" w:type="dxa"/>
            <w:tcBorders>
              <w:top w:val="nil"/>
              <w:left w:val="nil"/>
              <w:bottom w:val="nil"/>
            </w:tcBorders>
            <w:shd w:val="clear" w:color="auto" w:fill="auto"/>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723</w:t>
            </w:r>
          </w:p>
        </w:tc>
      </w:tr>
      <w:tr w:rsidR="004A561A" w:rsidRPr="003818D1" w:rsidTr="00324E75">
        <w:trPr>
          <w:jc w:val="center"/>
        </w:trPr>
        <w:tc>
          <w:tcPr>
            <w:tcW w:w="5191" w:type="dxa"/>
            <w:tcBorders>
              <w:top w:val="nil"/>
              <w:bottom w:val="nil"/>
              <w:right w:val="nil"/>
            </w:tcBorders>
            <w:shd w:val="clear" w:color="auto" w:fill="auto"/>
            <w:vAlign w:val="center"/>
          </w:tcPr>
          <w:p w:rsidR="004A561A" w:rsidRPr="003818D1" w:rsidRDefault="004A561A" w:rsidP="00324E75">
            <w:pPr>
              <w:spacing w:line="230" w:lineRule="auto"/>
              <w:rPr>
                <w:rFonts w:ascii="Arial Narrow" w:hAnsi="Arial Narrow"/>
                <w:sz w:val="16"/>
                <w:szCs w:val="16"/>
              </w:rPr>
            </w:pPr>
            <w:r w:rsidRPr="003818D1">
              <w:rPr>
                <w:rFonts w:ascii="Arial Narrow" w:hAnsi="Arial Narrow"/>
                <w:sz w:val="16"/>
                <w:szCs w:val="16"/>
              </w:rPr>
              <w:t>Δαπάνες για επενδύσεις</w:t>
            </w:r>
          </w:p>
        </w:tc>
        <w:tc>
          <w:tcPr>
            <w:tcW w:w="1787" w:type="dxa"/>
            <w:tcBorders>
              <w:top w:val="nil"/>
              <w:left w:val="nil"/>
              <w:bottom w:val="nil"/>
              <w:right w:val="nil"/>
            </w:tcBorders>
            <w:shd w:val="clear" w:color="auto" w:fill="auto"/>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62</w:t>
            </w:r>
          </w:p>
        </w:tc>
        <w:tc>
          <w:tcPr>
            <w:tcW w:w="1773" w:type="dxa"/>
            <w:tcBorders>
              <w:top w:val="nil"/>
              <w:left w:val="nil"/>
              <w:bottom w:val="nil"/>
            </w:tcBorders>
            <w:shd w:val="clear" w:color="auto" w:fill="auto"/>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64</w:t>
            </w:r>
          </w:p>
        </w:tc>
      </w:tr>
      <w:tr w:rsidR="004A561A" w:rsidRPr="003818D1" w:rsidTr="00324E75">
        <w:trPr>
          <w:jc w:val="center"/>
        </w:trPr>
        <w:tc>
          <w:tcPr>
            <w:tcW w:w="5191" w:type="dxa"/>
            <w:tcBorders>
              <w:top w:val="nil"/>
              <w:bottom w:val="nil"/>
              <w:right w:val="nil"/>
            </w:tcBorders>
            <w:shd w:val="clear" w:color="auto" w:fill="auto"/>
            <w:vAlign w:val="center"/>
          </w:tcPr>
          <w:p w:rsidR="004A561A" w:rsidRPr="003818D1" w:rsidRDefault="004A561A" w:rsidP="00324E75">
            <w:pPr>
              <w:spacing w:line="230" w:lineRule="auto"/>
              <w:rPr>
                <w:rFonts w:ascii="Arial Narrow" w:hAnsi="Arial Narrow"/>
                <w:sz w:val="16"/>
                <w:szCs w:val="16"/>
              </w:rPr>
            </w:pPr>
            <w:r w:rsidRPr="003818D1">
              <w:rPr>
                <w:rFonts w:ascii="Arial Narrow" w:hAnsi="Arial Narrow"/>
                <w:sz w:val="16"/>
                <w:szCs w:val="16"/>
              </w:rPr>
              <w:t>Αντικριζόμενα έξοδα</w:t>
            </w:r>
          </w:p>
        </w:tc>
        <w:tc>
          <w:tcPr>
            <w:tcW w:w="1787" w:type="dxa"/>
            <w:tcBorders>
              <w:top w:val="nil"/>
              <w:left w:val="nil"/>
              <w:bottom w:val="nil"/>
              <w:right w:val="nil"/>
            </w:tcBorders>
            <w:shd w:val="clear" w:color="auto" w:fill="auto"/>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297</w:t>
            </w:r>
          </w:p>
        </w:tc>
        <w:tc>
          <w:tcPr>
            <w:tcW w:w="1773" w:type="dxa"/>
            <w:tcBorders>
              <w:top w:val="nil"/>
              <w:left w:val="nil"/>
              <w:bottom w:val="nil"/>
            </w:tcBorders>
            <w:shd w:val="clear" w:color="auto" w:fill="auto"/>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298</w:t>
            </w:r>
          </w:p>
        </w:tc>
      </w:tr>
      <w:tr w:rsidR="004A561A" w:rsidRPr="003818D1" w:rsidTr="00324E75">
        <w:trPr>
          <w:jc w:val="center"/>
        </w:trPr>
        <w:tc>
          <w:tcPr>
            <w:tcW w:w="5191" w:type="dxa"/>
            <w:tcBorders>
              <w:top w:val="nil"/>
              <w:bottom w:val="nil"/>
              <w:right w:val="nil"/>
            </w:tcBorders>
            <w:shd w:val="clear" w:color="auto" w:fill="D9D9D9"/>
            <w:vAlign w:val="center"/>
          </w:tcPr>
          <w:p w:rsidR="004A561A" w:rsidRPr="003818D1" w:rsidRDefault="004A561A" w:rsidP="00324E75">
            <w:pPr>
              <w:spacing w:line="230" w:lineRule="auto"/>
              <w:rPr>
                <w:rFonts w:ascii="Arial Narrow" w:hAnsi="Arial Narrow"/>
                <w:b/>
                <w:sz w:val="16"/>
                <w:szCs w:val="16"/>
              </w:rPr>
            </w:pPr>
            <w:r w:rsidRPr="003818D1">
              <w:rPr>
                <w:rFonts w:ascii="Arial Narrow" w:hAnsi="Arial Narrow"/>
                <w:b/>
                <w:sz w:val="16"/>
                <w:szCs w:val="16"/>
              </w:rPr>
              <w:t>Ταμειακό Ισοζύγιο</w:t>
            </w:r>
          </w:p>
        </w:tc>
        <w:tc>
          <w:tcPr>
            <w:tcW w:w="1787" w:type="dxa"/>
            <w:tcBorders>
              <w:top w:val="nil"/>
              <w:left w:val="nil"/>
              <w:bottom w:val="nil"/>
              <w:right w:val="nil"/>
            </w:tcBorders>
            <w:shd w:val="clear" w:color="auto" w:fill="D9D9D9"/>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-171</w:t>
            </w:r>
          </w:p>
        </w:tc>
        <w:tc>
          <w:tcPr>
            <w:tcW w:w="1773" w:type="dxa"/>
            <w:tcBorders>
              <w:top w:val="nil"/>
              <w:left w:val="nil"/>
              <w:bottom w:val="nil"/>
            </w:tcBorders>
            <w:shd w:val="clear" w:color="auto" w:fill="D9D9D9"/>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-434</w:t>
            </w:r>
          </w:p>
        </w:tc>
      </w:tr>
      <w:tr w:rsidR="004A561A" w:rsidRPr="003818D1" w:rsidTr="00324E75">
        <w:trPr>
          <w:jc w:val="center"/>
        </w:trPr>
        <w:tc>
          <w:tcPr>
            <w:tcW w:w="5191" w:type="dxa"/>
            <w:tcBorders>
              <w:top w:val="nil"/>
              <w:bottom w:val="nil"/>
              <w:right w:val="nil"/>
            </w:tcBorders>
            <w:shd w:val="clear" w:color="auto" w:fill="D9D9D9"/>
            <w:vAlign w:val="center"/>
          </w:tcPr>
          <w:p w:rsidR="004A561A" w:rsidRPr="003818D1" w:rsidRDefault="004A561A" w:rsidP="00324E75">
            <w:pPr>
              <w:spacing w:line="230" w:lineRule="auto"/>
              <w:rPr>
                <w:rFonts w:ascii="Arial Narrow" w:hAnsi="Arial Narrow"/>
                <w:b/>
                <w:sz w:val="16"/>
                <w:szCs w:val="16"/>
              </w:rPr>
            </w:pPr>
            <w:r w:rsidRPr="003818D1">
              <w:rPr>
                <w:rFonts w:ascii="Arial Narrow" w:hAnsi="Arial Narrow"/>
                <w:b/>
                <w:sz w:val="16"/>
                <w:szCs w:val="16"/>
              </w:rPr>
              <w:t>Εθνικολογιστικές προσαρμογές</w:t>
            </w:r>
          </w:p>
        </w:tc>
        <w:tc>
          <w:tcPr>
            <w:tcW w:w="1787" w:type="dxa"/>
            <w:tcBorders>
              <w:top w:val="nil"/>
              <w:left w:val="nil"/>
              <w:bottom w:val="nil"/>
              <w:right w:val="nil"/>
            </w:tcBorders>
            <w:shd w:val="clear" w:color="auto" w:fill="D9D9D9"/>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67</w:t>
            </w:r>
          </w:p>
        </w:tc>
        <w:tc>
          <w:tcPr>
            <w:tcW w:w="1773" w:type="dxa"/>
            <w:tcBorders>
              <w:top w:val="nil"/>
              <w:left w:val="nil"/>
              <w:bottom w:val="nil"/>
            </w:tcBorders>
            <w:shd w:val="clear" w:color="auto" w:fill="D9D9D9"/>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405</w:t>
            </w:r>
          </w:p>
        </w:tc>
      </w:tr>
      <w:tr w:rsidR="004A561A" w:rsidRPr="003818D1" w:rsidTr="00324E75">
        <w:trPr>
          <w:jc w:val="center"/>
        </w:trPr>
        <w:tc>
          <w:tcPr>
            <w:tcW w:w="5191" w:type="dxa"/>
            <w:tcBorders>
              <w:top w:val="nil"/>
              <w:bottom w:val="nil"/>
              <w:right w:val="nil"/>
            </w:tcBorders>
            <w:shd w:val="clear" w:color="auto" w:fill="D9D9D9"/>
            <w:vAlign w:val="center"/>
          </w:tcPr>
          <w:p w:rsidR="004A561A" w:rsidRPr="003818D1" w:rsidRDefault="004A561A" w:rsidP="00324E75">
            <w:pPr>
              <w:spacing w:line="230" w:lineRule="auto"/>
              <w:rPr>
                <w:rFonts w:ascii="Arial Narrow" w:hAnsi="Arial Narrow"/>
                <w:b/>
                <w:sz w:val="16"/>
                <w:szCs w:val="16"/>
                <w:lang w:val="en-US"/>
              </w:rPr>
            </w:pPr>
            <w:r w:rsidRPr="003818D1">
              <w:rPr>
                <w:rFonts w:ascii="Arial Narrow" w:hAnsi="Arial Narrow"/>
                <w:b/>
                <w:sz w:val="16"/>
                <w:szCs w:val="16"/>
              </w:rPr>
              <w:t xml:space="preserve">Ισοζύγιο κατά </w:t>
            </w:r>
            <w:r w:rsidRPr="003818D1">
              <w:rPr>
                <w:rFonts w:ascii="Arial Narrow" w:hAnsi="Arial Narrow"/>
                <w:b/>
                <w:sz w:val="16"/>
                <w:szCs w:val="16"/>
                <w:lang w:val="en-US"/>
              </w:rPr>
              <w:t xml:space="preserve">ESA </w:t>
            </w:r>
          </w:p>
        </w:tc>
        <w:tc>
          <w:tcPr>
            <w:tcW w:w="1787" w:type="dxa"/>
            <w:tcBorders>
              <w:top w:val="nil"/>
              <w:left w:val="nil"/>
              <w:bottom w:val="nil"/>
              <w:right w:val="nil"/>
            </w:tcBorders>
            <w:shd w:val="clear" w:color="auto" w:fill="D9D9D9"/>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-104</w:t>
            </w:r>
          </w:p>
        </w:tc>
        <w:tc>
          <w:tcPr>
            <w:tcW w:w="1773" w:type="dxa"/>
            <w:tcBorders>
              <w:top w:val="nil"/>
              <w:left w:val="nil"/>
              <w:bottom w:val="nil"/>
            </w:tcBorders>
            <w:shd w:val="clear" w:color="auto" w:fill="D9D9D9"/>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-28</w:t>
            </w:r>
          </w:p>
        </w:tc>
      </w:tr>
      <w:tr w:rsidR="004A561A" w:rsidRPr="003818D1" w:rsidTr="00324E75">
        <w:trPr>
          <w:jc w:val="center"/>
        </w:trPr>
        <w:tc>
          <w:tcPr>
            <w:tcW w:w="5191" w:type="dxa"/>
            <w:tcBorders>
              <w:top w:val="nil"/>
              <w:bottom w:val="nil"/>
              <w:right w:val="nil"/>
            </w:tcBorders>
            <w:shd w:val="clear" w:color="auto" w:fill="A6A6A6"/>
          </w:tcPr>
          <w:p w:rsidR="004A561A" w:rsidRPr="003818D1" w:rsidRDefault="004A561A" w:rsidP="00324E75">
            <w:pPr>
              <w:tabs>
                <w:tab w:val="num" w:pos="720"/>
              </w:tabs>
              <w:spacing w:line="230" w:lineRule="auto"/>
              <w:rPr>
                <w:rFonts w:ascii="Arial Narrow" w:hAnsi="Arial Narrow"/>
                <w:b/>
                <w:sz w:val="16"/>
                <w:szCs w:val="16"/>
              </w:rPr>
            </w:pPr>
            <w:r w:rsidRPr="003818D1">
              <w:rPr>
                <w:rFonts w:ascii="Arial Narrow" w:hAnsi="Arial Narrow"/>
                <w:b/>
                <w:sz w:val="16"/>
                <w:szCs w:val="16"/>
              </w:rPr>
              <w:t>ΙΙ. Πρωτοβάθμια Φροντίδα Υγείας (ΠΦΥ)</w:t>
            </w:r>
          </w:p>
        </w:tc>
        <w:tc>
          <w:tcPr>
            <w:tcW w:w="1787" w:type="dxa"/>
            <w:tcBorders>
              <w:top w:val="nil"/>
              <w:left w:val="nil"/>
              <w:bottom w:val="nil"/>
              <w:right w:val="nil"/>
            </w:tcBorders>
            <w:shd w:val="clear" w:color="auto" w:fill="A6A6A6"/>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 </w:t>
            </w:r>
          </w:p>
        </w:tc>
        <w:tc>
          <w:tcPr>
            <w:tcW w:w="1773" w:type="dxa"/>
            <w:tcBorders>
              <w:top w:val="nil"/>
              <w:left w:val="nil"/>
              <w:bottom w:val="nil"/>
            </w:tcBorders>
            <w:shd w:val="clear" w:color="auto" w:fill="A6A6A6"/>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 </w:t>
            </w:r>
          </w:p>
        </w:tc>
      </w:tr>
      <w:tr w:rsidR="004A561A" w:rsidRPr="003818D1" w:rsidTr="00324E75">
        <w:trPr>
          <w:jc w:val="center"/>
        </w:trPr>
        <w:tc>
          <w:tcPr>
            <w:tcW w:w="5191" w:type="dxa"/>
            <w:tcBorders>
              <w:top w:val="nil"/>
              <w:bottom w:val="nil"/>
              <w:right w:val="nil"/>
            </w:tcBorders>
            <w:vAlign w:val="center"/>
          </w:tcPr>
          <w:p w:rsidR="004A561A" w:rsidRPr="003818D1" w:rsidRDefault="004A561A" w:rsidP="00324E75">
            <w:pPr>
              <w:spacing w:line="230" w:lineRule="auto"/>
              <w:rPr>
                <w:rFonts w:ascii="Arial Narrow" w:hAnsi="Arial Narrow"/>
                <w:b/>
                <w:bCs/>
                <w:sz w:val="16"/>
                <w:szCs w:val="16"/>
              </w:rPr>
            </w:pPr>
            <w:r w:rsidRPr="003818D1">
              <w:rPr>
                <w:rFonts w:ascii="Arial Narrow" w:hAnsi="Arial Narrow"/>
                <w:b/>
                <w:bCs/>
                <w:sz w:val="16"/>
                <w:szCs w:val="16"/>
              </w:rPr>
              <w:t>Έσοδα</w:t>
            </w:r>
          </w:p>
        </w:tc>
        <w:tc>
          <w:tcPr>
            <w:tcW w:w="1787" w:type="dxa"/>
            <w:tcBorders>
              <w:top w:val="nil"/>
              <w:left w:val="nil"/>
              <w:bottom w:val="nil"/>
              <w:right w:val="nil"/>
            </w:tcBorders>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342</w:t>
            </w:r>
          </w:p>
        </w:tc>
        <w:tc>
          <w:tcPr>
            <w:tcW w:w="1773" w:type="dxa"/>
            <w:tcBorders>
              <w:top w:val="nil"/>
              <w:left w:val="nil"/>
              <w:bottom w:val="nil"/>
            </w:tcBorders>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248</w:t>
            </w:r>
          </w:p>
        </w:tc>
      </w:tr>
      <w:tr w:rsidR="004A561A" w:rsidRPr="003818D1" w:rsidTr="00324E75">
        <w:trPr>
          <w:jc w:val="center"/>
        </w:trPr>
        <w:tc>
          <w:tcPr>
            <w:tcW w:w="5191" w:type="dxa"/>
            <w:tcBorders>
              <w:top w:val="nil"/>
              <w:bottom w:val="nil"/>
              <w:right w:val="nil"/>
            </w:tcBorders>
            <w:vAlign w:val="center"/>
          </w:tcPr>
          <w:p w:rsidR="004A561A" w:rsidRPr="003818D1" w:rsidRDefault="004A561A" w:rsidP="00324E75">
            <w:pPr>
              <w:spacing w:line="230" w:lineRule="auto"/>
              <w:rPr>
                <w:rFonts w:ascii="Arial Narrow" w:hAnsi="Arial Narrow"/>
                <w:sz w:val="16"/>
                <w:szCs w:val="16"/>
              </w:rPr>
            </w:pPr>
            <w:r w:rsidRPr="003818D1">
              <w:rPr>
                <w:rFonts w:ascii="Arial Narrow" w:hAnsi="Arial Narrow"/>
                <w:sz w:val="16"/>
                <w:szCs w:val="16"/>
              </w:rPr>
              <w:t>Ίδια έσοδα</w:t>
            </w:r>
          </w:p>
        </w:tc>
        <w:tc>
          <w:tcPr>
            <w:tcW w:w="1787" w:type="dxa"/>
            <w:tcBorders>
              <w:top w:val="nil"/>
              <w:left w:val="nil"/>
              <w:bottom w:val="nil"/>
              <w:right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29</w:t>
            </w:r>
          </w:p>
        </w:tc>
        <w:tc>
          <w:tcPr>
            <w:tcW w:w="1773" w:type="dxa"/>
            <w:tcBorders>
              <w:top w:val="nil"/>
              <w:left w:val="nil"/>
              <w:bottom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32</w:t>
            </w:r>
          </w:p>
        </w:tc>
      </w:tr>
      <w:tr w:rsidR="004A561A" w:rsidRPr="003818D1" w:rsidTr="00324E75">
        <w:trPr>
          <w:jc w:val="center"/>
        </w:trPr>
        <w:tc>
          <w:tcPr>
            <w:tcW w:w="5191" w:type="dxa"/>
            <w:tcBorders>
              <w:top w:val="nil"/>
              <w:bottom w:val="nil"/>
              <w:right w:val="nil"/>
            </w:tcBorders>
            <w:vAlign w:val="center"/>
          </w:tcPr>
          <w:p w:rsidR="004A561A" w:rsidRPr="003818D1" w:rsidRDefault="004A561A" w:rsidP="00324E75">
            <w:pPr>
              <w:spacing w:line="230" w:lineRule="auto"/>
              <w:rPr>
                <w:rFonts w:ascii="Arial Narrow" w:hAnsi="Arial Narrow"/>
                <w:sz w:val="16"/>
                <w:szCs w:val="16"/>
              </w:rPr>
            </w:pPr>
            <w:r w:rsidRPr="003818D1">
              <w:rPr>
                <w:rFonts w:ascii="Arial Narrow" w:hAnsi="Arial Narrow"/>
                <w:sz w:val="16"/>
                <w:szCs w:val="16"/>
              </w:rPr>
              <w:t>Μεταβιβάσεις από τακτικό προϋπολογισμό</w:t>
            </w:r>
          </w:p>
        </w:tc>
        <w:tc>
          <w:tcPr>
            <w:tcW w:w="1787" w:type="dxa"/>
            <w:tcBorders>
              <w:top w:val="nil"/>
              <w:left w:val="nil"/>
              <w:bottom w:val="nil"/>
              <w:right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249</w:t>
            </w:r>
          </w:p>
        </w:tc>
        <w:tc>
          <w:tcPr>
            <w:tcW w:w="1773" w:type="dxa"/>
            <w:tcBorders>
              <w:top w:val="nil"/>
              <w:left w:val="nil"/>
              <w:bottom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152</w:t>
            </w:r>
          </w:p>
        </w:tc>
      </w:tr>
      <w:tr w:rsidR="004A561A" w:rsidRPr="003818D1" w:rsidTr="00324E75">
        <w:trPr>
          <w:jc w:val="center"/>
        </w:trPr>
        <w:tc>
          <w:tcPr>
            <w:tcW w:w="5191" w:type="dxa"/>
            <w:tcBorders>
              <w:top w:val="nil"/>
              <w:bottom w:val="nil"/>
              <w:right w:val="nil"/>
            </w:tcBorders>
            <w:vAlign w:val="center"/>
          </w:tcPr>
          <w:p w:rsidR="004A561A" w:rsidRPr="003818D1" w:rsidRDefault="004A561A" w:rsidP="00324E75">
            <w:pPr>
              <w:spacing w:line="230" w:lineRule="auto"/>
              <w:rPr>
                <w:rFonts w:ascii="Arial Narrow" w:hAnsi="Arial Narrow"/>
                <w:sz w:val="16"/>
                <w:szCs w:val="16"/>
              </w:rPr>
            </w:pPr>
            <w:r w:rsidRPr="003818D1">
              <w:rPr>
                <w:rFonts w:ascii="Arial Narrow" w:hAnsi="Arial Narrow"/>
                <w:sz w:val="16"/>
                <w:szCs w:val="16"/>
              </w:rPr>
              <w:t>Μεταβιβάσεις από φορείς κοινωνικής ασφάλισης</w:t>
            </w:r>
          </w:p>
        </w:tc>
        <w:tc>
          <w:tcPr>
            <w:tcW w:w="1787" w:type="dxa"/>
            <w:tcBorders>
              <w:top w:val="nil"/>
              <w:left w:val="nil"/>
              <w:bottom w:val="nil"/>
              <w:right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0</w:t>
            </w:r>
          </w:p>
        </w:tc>
        <w:tc>
          <w:tcPr>
            <w:tcW w:w="1773" w:type="dxa"/>
            <w:tcBorders>
              <w:top w:val="nil"/>
              <w:left w:val="nil"/>
              <w:bottom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0</w:t>
            </w:r>
          </w:p>
        </w:tc>
      </w:tr>
      <w:tr w:rsidR="004A561A" w:rsidRPr="003818D1" w:rsidTr="00324E75">
        <w:trPr>
          <w:jc w:val="center"/>
        </w:trPr>
        <w:tc>
          <w:tcPr>
            <w:tcW w:w="5191" w:type="dxa"/>
            <w:tcBorders>
              <w:top w:val="nil"/>
              <w:bottom w:val="nil"/>
              <w:right w:val="nil"/>
            </w:tcBorders>
            <w:vAlign w:val="center"/>
          </w:tcPr>
          <w:p w:rsidR="004A561A" w:rsidRPr="003818D1" w:rsidRDefault="004A561A" w:rsidP="00324E75">
            <w:pPr>
              <w:spacing w:line="230" w:lineRule="auto"/>
              <w:rPr>
                <w:rFonts w:ascii="Arial Narrow" w:hAnsi="Arial Narrow"/>
                <w:sz w:val="16"/>
                <w:szCs w:val="16"/>
              </w:rPr>
            </w:pPr>
            <w:r w:rsidRPr="003818D1">
              <w:rPr>
                <w:rFonts w:ascii="Arial Narrow" w:hAnsi="Arial Narrow"/>
                <w:sz w:val="16"/>
                <w:szCs w:val="16"/>
              </w:rPr>
              <w:t>Μεταβιβάσεις από ΠΔΕ</w:t>
            </w:r>
          </w:p>
        </w:tc>
        <w:tc>
          <w:tcPr>
            <w:tcW w:w="1787" w:type="dxa"/>
            <w:tcBorders>
              <w:top w:val="nil"/>
              <w:left w:val="nil"/>
              <w:bottom w:val="nil"/>
              <w:right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38</w:t>
            </w:r>
          </w:p>
        </w:tc>
        <w:tc>
          <w:tcPr>
            <w:tcW w:w="1773" w:type="dxa"/>
            <w:tcBorders>
              <w:top w:val="nil"/>
              <w:left w:val="nil"/>
              <w:bottom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38</w:t>
            </w:r>
          </w:p>
        </w:tc>
      </w:tr>
      <w:tr w:rsidR="004A561A" w:rsidRPr="003818D1" w:rsidTr="00324E75">
        <w:trPr>
          <w:jc w:val="center"/>
        </w:trPr>
        <w:tc>
          <w:tcPr>
            <w:tcW w:w="5191" w:type="dxa"/>
            <w:tcBorders>
              <w:top w:val="nil"/>
              <w:bottom w:val="nil"/>
              <w:right w:val="nil"/>
            </w:tcBorders>
            <w:vAlign w:val="center"/>
          </w:tcPr>
          <w:p w:rsidR="004A561A" w:rsidRPr="003818D1" w:rsidRDefault="004A561A" w:rsidP="00324E75">
            <w:pPr>
              <w:spacing w:line="230" w:lineRule="auto"/>
              <w:rPr>
                <w:rFonts w:ascii="Arial Narrow" w:hAnsi="Arial Narrow"/>
                <w:sz w:val="16"/>
                <w:szCs w:val="16"/>
              </w:rPr>
            </w:pPr>
            <w:r w:rsidRPr="003818D1">
              <w:rPr>
                <w:rFonts w:ascii="Arial Narrow" w:hAnsi="Arial Narrow"/>
                <w:sz w:val="16"/>
                <w:szCs w:val="16"/>
              </w:rPr>
              <w:t>Αντικριζόμενα έσοδα</w:t>
            </w:r>
          </w:p>
        </w:tc>
        <w:tc>
          <w:tcPr>
            <w:tcW w:w="1787" w:type="dxa"/>
            <w:tcBorders>
              <w:top w:val="nil"/>
              <w:left w:val="nil"/>
              <w:bottom w:val="nil"/>
              <w:right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26</w:t>
            </w:r>
          </w:p>
        </w:tc>
        <w:tc>
          <w:tcPr>
            <w:tcW w:w="1773" w:type="dxa"/>
            <w:tcBorders>
              <w:top w:val="nil"/>
              <w:left w:val="nil"/>
              <w:bottom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26</w:t>
            </w:r>
          </w:p>
        </w:tc>
      </w:tr>
      <w:tr w:rsidR="004A561A" w:rsidRPr="003818D1" w:rsidTr="00324E75">
        <w:trPr>
          <w:jc w:val="center"/>
        </w:trPr>
        <w:tc>
          <w:tcPr>
            <w:tcW w:w="5191" w:type="dxa"/>
            <w:tcBorders>
              <w:top w:val="nil"/>
              <w:bottom w:val="nil"/>
              <w:right w:val="nil"/>
            </w:tcBorders>
            <w:vAlign w:val="center"/>
          </w:tcPr>
          <w:p w:rsidR="004A561A" w:rsidRPr="003818D1" w:rsidRDefault="004A561A" w:rsidP="00324E75">
            <w:pPr>
              <w:spacing w:line="230" w:lineRule="auto"/>
              <w:rPr>
                <w:rFonts w:ascii="Arial Narrow" w:hAnsi="Arial Narrow"/>
                <w:b/>
                <w:bCs/>
                <w:sz w:val="16"/>
                <w:szCs w:val="16"/>
              </w:rPr>
            </w:pPr>
            <w:r>
              <w:rPr>
                <w:rFonts w:ascii="Arial Narrow" w:hAnsi="Arial Narrow"/>
                <w:b/>
                <w:bCs/>
                <w:sz w:val="16"/>
                <w:szCs w:val="16"/>
              </w:rPr>
              <w:t>Δαπάνες</w:t>
            </w:r>
          </w:p>
        </w:tc>
        <w:tc>
          <w:tcPr>
            <w:tcW w:w="1787" w:type="dxa"/>
            <w:tcBorders>
              <w:top w:val="nil"/>
              <w:left w:val="nil"/>
              <w:bottom w:val="nil"/>
              <w:right w:val="nil"/>
            </w:tcBorders>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307</w:t>
            </w:r>
          </w:p>
        </w:tc>
        <w:tc>
          <w:tcPr>
            <w:tcW w:w="1773" w:type="dxa"/>
            <w:tcBorders>
              <w:top w:val="nil"/>
              <w:left w:val="nil"/>
              <w:bottom w:val="nil"/>
            </w:tcBorders>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289</w:t>
            </w:r>
          </w:p>
        </w:tc>
      </w:tr>
      <w:tr w:rsidR="004A561A" w:rsidRPr="003818D1" w:rsidTr="00324E75">
        <w:trPr>
          <w:jc w:val="center"/>
        </w:trPr>
        <w:tc>
          <w:tcPr>
            <w:tcW w:w="5191" w:type="dxa"/>
            <w:tcBorders>
              <w:top w:val="nil"/>
              <w:bottom w:val="nil"/>
              <w:right w:val="nil"/>
            </w:tcBorders>
            <w:vAlign w:val="center"/>
          </w:tcPr>
          <w:p w:rsidR="004A561A" w:rsidRPr="003818D1" w:rsidRDefault="004A561A" w:rsidP="00324E75">
            <w:pPr>
              <w:spacing w:line="230" w:lineRule="auto"/>
              <w:rPr>
                <w:rFonts w:ascii="Arial Narrow" w:hAnsi="Arial Narrow"/>
                <w:sz w:val="16"/>
                <w:szCs w:val="16"/>
              </w:rPr>
            </w:pPr>
            <w:r w:rsidRPr="003818D1">
              <w:rPr>
                <w:rFonts w:ascii="Arial Narrow" w:hAnsi="Arial Narrow"/>
                <w:sz w:val="16"/>
                <w:szCs w:val="16"/>
              </w:rPr>
              <w:t>Αγαθά</w:t>
            </w:r>
          </w:p>
        </w:tc>
        <w:tc>
          <w:tcPr>
            <w:tcW w:w="1787" w:type="dxa"/>
            <w:tcBorders>
              <w:top w:val="nil"/>
              <w:left w:val="nil"/>
              <w:bottom w:val="nil"/>
              <w:right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100</w:t>
            </w:r>
          </w:p>
        </w:tc>
        <w:tc>
          <w:tcPr>
            <w:tcW w:w="1773" w:type="dxa"/>
            <w:tcBorders>
              <w:top w:val="nil"/>
              <w:left w:val="nil"/>
              <w:bottom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82</w:t>
            </w:r>
          </w:p>
        </w:tc>
      </w:tr>
      <w:tr w:rsidR="004A561A" w:rsidRPr="003818D1" w:rsidTr="00324E75">
        <w:trPr>
          <w:jc w:val="center"/>
        </w:trPr>
        <w:tc>
          <w:tcPr>
            <w:tcW w:w="5191" w:type="dxa"/>
            <w:tcBorders>
              <w:top w:val="nil"/>
              <w:bottom w:val="nil"/>
              <w:right w:val="nil"/>
            </w:tcBorders>
            <w:vAlign w:val="center"/>
          </w:tcPr>
          <w:p w:rsidR="004A561A" w:rsidRPr="003818D1" w:rsidRDefault="004A561A" w:rsidP="00324E75">
            <w:pPr>
              <w:spacing w:line="230" w:lineRule="auto"/>
              <w:rPr>
                <w:rFonts w:ascii="Arial Narrow" w:hAnsi="Arial Narrow"/>
                <w:sz w:val="16"/>
                <w:szCs w:val="16"/>
              </w:rPr>
            </w:pPr>
            <w:r w:rsidRPr="003818D1">
              <w:rPr>
                <w:rFonts w:ascii="Arial Narrow" w:hAnsi="Arial Narrow"/>
                <w:sz w:val="16"/>
                <w:szCs w:val="16"/>
              </w:rPr>
              <w:t>Δαπάνες προσωπικού</w:t>
            </w:r>
          </w:p>
        </w:tc>
        <w:tc>
          <w:tcPr>
            <w:tcW w:w="1787" w:type="dxa"/>
            <w:tcBorders>
              <w:top w:val="nil"/>
              <w:left w:val="nil"/>
              <w:bottom w:val="nil"/>
              <w:right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49</w:t>
            </w:r>
          </w:p>
        </w:tc>
        <w:tc>
          <w:tcPr>
            <w:tcW w:w="1773" w:type="dxa"/>
            <w:tcBorders>
              <w:top w:val="nil"/>
              <w:left w:val="nil"/>
              <w:bottom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49</w:t>
            </w:r>
          </w:p>
        </w:tc>
      </w:tr>
      <w:tr w:rsidR="004A561A" w:rsidRPr="003818D1" w:rsidTr="00324E75">
        <w:trPr>
          <w:jc w:val="center"/>
        </w:trPr>
        <w:tc>
          <w:tcPr>
            <w:tcW w:w="5191" w:type="dxa"/>
            <w:tcBorders>
              <w:top w:val="nil"/>
              <w:bottom w:val="nil"/>
              <w:right w:val="nil"/>
            </w:tcBorders>
            <w:vAlign w:val="center"/>
          </w:tcPr>
          <w:p w:rsidR="004A561A" w:rsidRPr="003818D1" w:rsidRDefault="004A561A" w:rsidP="00324E75">
            <w:pPr>
              <w:spacing w:line="230" w:lineRule="auto"/>
              <w:rPr>
                <w:rFonts w:ascii="Arial Narrow" w:hAnsi="Arial Narrow"/>
                <w:sz w:val="16"/>
                <w:szCs w:val="16"/>
              </w:rPr>
            </w:pPr>
            <w:r w:rsidRPr="003818D1">
              <w:rPr>
                <w:rFonts w:ascii="Arial Narrow" w:hAnsi="Arial Narrow"/>
                <w:sz w:val="16"/>
                <w:szCs w:val="16"/>
              </w:rPr>
              <w:t>Υπηρεσίες</w:t>
            </w:r>
          </w:p>
        </w:tc>
        <w:tc>
          <w:tcPr>
            <w:tcW w:w="1787" w:type="dxa"/>
            <w:tcBorders>
              <w:top w:val="nil"/>
              <w:left w:val="nil"/>
              <w:bottom w:val="nil"/>
              <w:right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94</w:t>
            </w:r>
          </w:p>
        </w:tc>
        <w:tc>
          <w:tcPr>
            <w:tcW w:w="1773" w:type="dxa"/>
            <w:tcBorders>
              <w:top w:val="nil"/>
              <w:left w:val="nil"/>
              <w:bottom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94</w:t>
            </w:r>
          </w:p>
        </w:tc>
      </w:tr>
      <w:tr w:rsidR="004A561A" w:rsidRPr="003818D1" w:rsidTr="00324E75">
        <w:trPr>
          <w:jc w:val="center"/>
        </w:trPr>
        <w:tc>
          <w:tcPr>
            <w:tcW w:w="5191" w:type="dxa"/>
            <w:tcBorders>
              <w:top w:val="nil"/>
              <w:bottom w:val="nil"/>
              <w:right w:val="nil"/>
            </w:tcBorders>
            <w:shd w:val="clear" w:color="auto" w:fill="auto"/>
            <w:vAlign w:val="center"/>
          </w:tcPr>
          <w:p w:rsidR="004A561A" w:rsidRPr="003818D1" w:rsidRDefault="004A561A" w:rsidP="00324E75">
            <w:pPr>
              <w:spacing w:line="230" w:lineRule="auto"/>
              <w:rPr>
                <w:rFonts w:ascii="Arial Narrow" w:hAnsi="Arial Narrow"/>
                <w:sz w:val="16"/>
                <w:szCs w:val="16"/>
              </w:rPr>
            </w:pPr>
            <w:r w:rsidRPr="003818D1">
              <w:rPr>
                <w:rFonts w:ascii="Arial Narrow" w:hAnsi="Arial Narrow"/>
                <w:sz w:val="16"/>
                <w:szCs w:val="16"/>
              </w:rPr>
              <w:t>Δαπάνες για επενδύσεις</w:t>
            </w:r>
          </w:p>
        </w:tc>
        <w:tc>
          <w:tcPr>
            <w:tcW w:w="1787" w:type="dxa"/>
            <w:tcBorders>
              <w:top w:val="nil"/>
              <w:left w:val="nil"/>
              <w:bottom w:val="nil"/>
              <w:right w:val="nil"/>
            </w:tcBorders>
            <w:shd w:val="clear" w:color="auto" w:fill="auto"/>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38</w:t>
            </w:r>
          </w:p>
        </w:tc>
        <w:tc>
          <w:tcPr>
            <w:tcW w:w="1773" w:type="dxa"/>
            <w:tcBorders>
              <w:top w:val="nil"/>
              <w:left w:val="nil"/>
              <w:bottom w:val="nil"/>
            </w:tcBorders>
            <w:shd w:val="clear" w:color="auto" w:fill="auto"/>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38</w:t>
            </w:r>
          </w:p>
        </w:tc>
      </w:tr>
      <w:tr w:rsidR="004A561A" w:rsidRPr="003818D1" w:rsidTr="00324E75">
        <w:trPr>
          <w:jc w:val="center"/>
        </w:trPr>
        <w:tc>
          <w:tcPr>
            <w:tcW w:w="5191" w:type="dxa"/>
            <w:tcBorders>
              <w:top w:val="nil"/>
              <w:bottom w:val="nil"/>
              <w:right w:val="nil"/>
            </w:tcBorders>
            <w:shd w:val="clear" w:color="auto" w:fill="auto"/>
            <w:vAlign w:val="center"/>
          </w:tcPr>
          <w:p w:rsidR="004A561A" w:rsidRPr="003818D1" w:rsidRDefault="004A561A" w:rsidP="00324E75">
            <w:pPr>
              <w:spacing w:line="230" w:lineRule="auto"/>
              <w:rPr>
                <w:rFonts w:ascii="Arial Narrow" w:hAnsi="Arial Narrow"/>
                <w:sz w:val="16"/>
                <w:szCs w:val="16"/>
              </w:rPr>
            </w:pPr>
            <w:r w:rsidRPr="003818D1">
              <w:rPr>
                <w:rFonts w:ascii="Arial Narrow" w:hAnsi="Arial Narrow"/>
                <w:sz w:val="16"/>
                <w:szCs w:val="16"/>
              </w:rPr>
              <w:t>Αντικριζόμενα έξοδα</w:t>
            </w:r>
          </w:p>
        </w:tc>
        <w:tc>
          <w:tcPr>
            <w:tcW w:w="1787" w:type="dxa"/>
            <w:tcBorders>
              <w:top w:val="nil"/>
              <w:left w:val="nil"/>
              <w:bottom w:val="nil"/>
              <w:right w:val="nil"/>
            </w:tcBorders>
            <w:shd w:val="clear" w:color="auto" w:fill="auto"/>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26</w:t>
            </w:r>
          </w:p>
        </w:tc>
        <w:tc>
          <w:tcPr>
            <w:tcW w:w="1773" w:type="dxa"/>
            <w:tcBorders>
              <w:top w:val="nil"/>
              <w:left w:val="nil"/>
              <w:bottom w:val="nil"/>
            </w:tcBorders>
            <w:shd w:val="clear" w:color="auto" w:fill="auto"/>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26</w:t>
            </w:r>
          </w:p>
        </w:tc>
      </w:tr>
      <w:tr w:rsidR="004A561A" w:rsidRPr="003818D1" w:rsidTr="00324E75">
        <w:trPr>
          <w:jc w:val="center"/>
        </w:trPr>
        <w:tc>
          <w:tcPr>
            <w:tcW w:w="5191" w:type="dxa"/>
            <w:tcBorders>
              <w:top w:val="nil"/>
              <w:bottom w:val="nil"/>
              <w:right w:val="nil"/>
            </w:tcBorders>
            <w:shd w:val="clear" w:color="auto" w:fill="D9D9D9"/>
            <w:vAlign w:val="center"/>
          </w:tcPr>
          <w:p w:rsidR="004A561A" w:rsidRPr="003818D1" w:rsidRDefault="004A561A" w:rsidP="00324E75">
            <w:pPr>
              <w:spacing w:line="230" w:lineRule="auto"/>
              <w:rPr>
                <w:rFonts w:ascii="Arial Narrow" w:hAnsi="Arial Narrow"/>
                <w:b/>
                <w:sz w:val="16"/>
                <w:szCs w:val="16"/>
              </w:rPr>
            </w:pPr>
            <w:r w:rsidRPr="003818D1">
              <w:rPr>
                <w:rFonts w:ascii="Arial Narrow" w:hAnsi="Arial Narrow"/>
                <w:b/>
                <w:sz w:val="16"/>
                <w:szCs w:val="16"/>
              </w:rPr>
              <w:t>Ταμειακό Ισοζύγιο</w:t>
            </w:r>
          </w:p>
        </w:tc>
        <w:tc>
          <w:tcPr>
            <w:tcW w:w="1787" w:type="dxa"/>
            <w:tcBorders>
              <w:top w:val="nil"/>
              <w:left w:val="nil"/>
              <w:bottom w:val="nil"/>
              <w:right w:val="nil"/>
            </w:tcBorders>
            <w:shd w:val="clear" w:color="auto" w:fill="D9D9D9"/>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34</w:t>
            </w:r>
          </w:p>
        </w:tc>
        <w:tc>
          <w:tcPr>
            <w:tcW w:w="1773" w:type="dxa"/>
            <w:tcBorders>
              <w:top w:val="nil"/>
              <w:left w:val="nil"/>
              <w:bottom w:val="nil"/>
            </w:tcBorders>
            <w:shd w:val="clear" w:color="auto" w:fill="D9D9D9"/>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-41</w:t>
            </w:r>
          </w:p>
        </w:tc>
      </w:tr>
      <w:tr w:rsidR="004A561A" w:rsidRPr="003818D1" w:rsidTr="00324E75">
        <w:trPr>
          <w:jc w:val="center"/>
        </w:trPr>
        <w:tc>
          <w:tcPr>
            <w:tcW w:w="5191" w:type="dxa"/>
            <w:tcBorders>
              <w:top w:val="nil"/>
              <w:bottom w:val="nil"/>
              <w:right w:val="nil"/>
            </w:tcBorders>
            <w:shd w:val="clear" w:color="auto" w:fill="D9D9D9"/>
            <w:vAlign w:val="center"/>
          </w:tcPr>
          <w:p w:rsidR="004A561A" w:rsidRPr="003818D1" w:rsidRDefault="004A561A" w:rsidP="00324E75">
            <w:pPr>
              <w:spacing w:line="230" w:lineRule="auto"/>
              <w:rPr>
                <w:rFonts w:ascii="Arial Narrow" w:hAnsi="Arial Narrow"/>
                <w:b/>
                <w:sz w:val="16"/>
                <w:szCs w:val="16"/>
              </w:rPr>
            </w:pPr>
            <w:r w:rsidRPr="003818D1">
              <w:rPr>
                <w:rFonts w:ascii="Arial Narrow" w:hAnsi="Arial Narrow"/>
                <w:b/>
                <w:sz w:val="16"/>
                <w:szCs w:val="16"/>
              </w:rPr>
              <w:t>Εθνικολογιστικές προσαρμογές</w:t>
            </w:r>
          </w:p>
        </w:tc>
        <w:tc>
          <w:tcPr>
            <w:tcW w:w="1787" w:type="dxa"/>
            <w:tcBorders>
              <w:top w:val="nil"/>
              <w:left w:val="nil"/>
              <w:bottom w:val="nil"/>
              <w:right w:val="nil"/>
            </w:tcBorders>
            <w:shd w:val="clear" w:color="auto" w:fill="D9D9D9"/>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-1</w:t>
            </w:r>
          </w:p>
        </w:tc>
        <w:tc>
          <w:tcPr>
            <w:tcW w:w="1773" w:type="dxa"/>
            <w:tcBorders>
              <w:top w:val="nil"/>
              <w:left w:val="nil"/>
              <w:bottom w:val="nil"/>
            </w:tcBorders>
            <w:shd w:val="clear" w:color="auto" w:fill="D9D9D9"/>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55</w:t>
            </w:r>
          </w:p>
        </w:tc>
      </w:tr>
      <w:tr w:rsidR="004A561A" w:rsidRPr="003818D1" w:rsidTr="00324E75">
        <w:trPr>
          <w:jc w:val="center"/>
        </w:trPr>
        <w:tc>
          <w:tcPr>
            <w:tcW w:w="5191" w:type="dxa"/>
            <w:tcBorders>
              <w:top w:val="nil"/>
              <w:bottom w:val="nil"/>
              <w:right w:val="nil"/>
            </w:tcBorders>
            <w:shd w:val="clear" w:color="auto" w:fill="D9D9D9"/>
            <w:vAlign w:val="center"/>
          </w:tcPr>
          <w:p w:rsidR="004A561A" w:rsidRPr="003818D1" w:rsidRDefault="004A561A" w:rsidP="00324E75">
            <w:pPr>
              <w:spacing w:line="230" w:lineRule="auto"/>
              <w:rPr>
                <w:rFonts w:ascii="Arial Narrow" w:hAnsi="Arial Narrow"/>
                <w:b/>
                <w:sz w:val="16"/>
                <w:szCs w:val="16"/>
                <w:lang w:val="en-US"/>
              </w:rPr>
            </w:pPr>
            <w:r w:rsidRPr="003818D1">
              <w:rPr>
                <w:rFonts w:ascii="Arial Narrow" w:hAnsi="Arial Narrow"/>
                <w:b/>
                <w:sz w:val="16"/>
                <w:szCs w:val="16"/>
              </w:rPr>
              <w:t xml:space="preserve">Ισοζύγιο κατά </w:t>
            </w:r>
            <w:r w:rsidRPr="003818D1">
              <w:rPr>
                <w:rFonts w:ascii="Arial Narrow" w:hAnsi="Arial Narrow"/>
                <w:b/>
                <w:sz w:val="16"/>
                <w:szCs w:val="16"/>
                <w:lang w:val="en-US"/>
              </w:rPr>
              <w:t xml:space="preserve">ESA </w:t>
            </w:r>
          </w:p>
        </w:tc>
        <w:tc>
          <w:tcPr>
            <w:tcW w:w="1787" w:type="dxa"/>
            <w:tcBorders>
              <w:top w:val="nil"/>
              <w:left w:val="nil"/>
              <w:bottom w:val="nil"/>
              <w:right w:val="nil"/>
            </w:tcBorders>
            <w:shd w:val="clear" w:color="auto" w:fill="D9D9D9"/>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33</w:t>
            </w:r>
          </w:p>
        </w:tc>
        <w:tc>
          <w:tcPr>
            <w:tcW w:w="1773" w:type="dxa"/>
            <w:tcBorders>
              <w:top w:val="nil"/>
              <w:left w:val="nil"/>
              <w:bottom w:val="nil"/>
            </w:tcBorders>
            <w:shd w:val="clear" w:color="auto" w:fill="D9D9D9"/>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14</w:t>
            </w:r>
          </w:p>
        </w:tc>
      </w:tr>
      <w:tr w:rsidR="004A561A" w:rsidRPr="003818D1" w:rsidTr="00324E75">
        <w:trPr>
          <w:jc w:val="center"/>
        </w:trPr>
        <w:tc>
          <w:tcPr>
            <w:tcW w:w="5191" w:type="dxa"/>
            <w:tcBorders>
              <w:top w:val="nil"/>
              <w:bottom w:val="nil"/>
              <w:right w:val="nil"/>
            </w:tcBorders>
            <w:shd w:val="clear" w:color="auto" w:fill="A6A6A6"/>
          </w:tcPr>
          <w:p w:rsidR="004A561A" w:rsidRPr="003818D1" w:rsidRDefault="004A561A" w:rsidP="00324E75">
            <w:pPr>
              <w:tabs>
                <w:tab w:val="num" w:pos="720"/>
              </w:tabs>
              <w:spacing w:line="230" w:lineRule="auto"/>
              <w:rPr>
                <w:rFonts w:ascii="Arial Narrow" w:hAnsi="Arial Narrow"/>
                <w:b/>
                <w:sz w:val="16"/>
                <w:szCs w:val="16"/>
              </w:rPr>
            </w:pPr>
            <w:r w:rsidRPr="003818D1">
              <w:rPr>
                <w:rFonts w:ascii="Arial Narrow" w:hAnsi="Arial Narrow"/>
                <w:b/>
                <w:sz w:val="16"/>
                <w:szCs w:val="16"/>
              </w:rPr>
              <w:t>Νοσοκομεία και ΠΦΥ συγκεντρωτικά  (Ι+ΙΙ)</w:t>
            </w:r>
          </w:p>
        </w:tc>
        <w:tc>
          <w:tcPr>
            <w:tcW w:w="1787" w:type="dxa"/>
            <w:tcBorders>
              <w:top w:val="nil"/>
              <w:left w:val="nil"/>
              <w:bottom w:val="nil"/>
              <w:right w:val="nil"/>
            </w:tcBorders>
            <w:shd w:val="clear" w:color="auto" w:fill="A6A6A6"/>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 </w:t>
            </w:r>
          </w:p>
        </w:tc>
        <w:tc>
          <w:tcPr>
            <w:tcW w:w="1773" w:type="dxa"/>
            <w:tcBorders>
              <w:top w:val="nil"/>
              <w:left w:val="nil"/>
              <w:bottom w:val="nil"/>
            </w:tcBorders>
            <w:shd w:val="clear" w:color="auto" w:fill="A6A6A6"/>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 </w:t>
            </w:r>
          </w:p>
        </w:tc>
      </w:tr>
      <w:tr w:rsidR="004A561A" w:rsidRPr="003818D1" w:rsidTr="00324E75">
        <w:trPr>
          <w:jc w:val="center"/>
        </w:trPr>
        <w:tc>
          <w:tcPr>
            <w:tcW w:w="5191" w:type="dxa"/>
            <w:tcBorders>
              <w:top w:val="nil"/>
              <w:bottom w:val="nil"/>
              <w:right w:val="nil"/>
            </w:tcBorders>
            <w:vAlign w:val="center"/>
          </w:tcPr>
          <w:p w:rsidR="004A561A" w:rsidRPr="003818D1" w:rsidRDefault="004A561A" w:rsidP="00324E75">
            <w:pPr>
              <w:spacing w:line="230" w:lineRule="auto"/>
              <w:rPr>
                <w:rFonts w:ascii="Arial Narrow" w:hAnsi="Arial Narrow"/>
                <w:b/>
                <w:bCs/>
                <w:sz w:val="16"/>
                <w:szCs w:val="16"/>
              </w:rPr>
            </w:pPr>
            <w:r w:rsidRPr="003818D1">
              <w:rPr>
                <w:rFonts w:ascii="Arial Narrow" w:hAnsi="Arial Narrow"/>
                <w:b/>
                <w:bCs/>
                <w:sz w:val="16"/>
                <w:szCs w:val="16"/>
              </w:rPr>
              <w:t>Έσοδα</w:t>
            </w:r>
          </w:p>
        </w:tc>
        <w:tc>
          <w:tcPr>
            <w:tcW w:w="1787" w:type="dxa"/>
            <w:tcBorders>
              <w:top w:val="nil"/>
              <w:left w:val="nil"/>
              <w:bottom w:val="nil"/>
              <w:right w:val="nil"/>
            </w:tcBorders>
            <w:vAlign w:val="bottom"/>
          </w:tcPr>
          <w:p w:rsidR="004A561A" w:rsidRDefault="00692B56"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3.017</w:t>
            </w:r>
          </w:p>
        </w:tc>
        <w:tc>
          <w:tcPr>
            <w:tcW w:w="1773" w:type="dxa"/>
            <w:tcBorders>
              <w:top w:val="nil"/>
              <w:left w:val="nil"/>
              <w:bottom w:val="nil"/>
            </w:tcBorders>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3.014</w:t>
            </w:r>
          </w:p>
        </w:tc>
      </w:tr>
      <w:tr w:rsidR="004A561A" w:rsidRPr="003818D1" w:rsidTr="00324E75">
        <w:trPr>
          <w:jc w:val="center"/>
        </w:trPr>
        <w:tc>
          <w:tcPr>
            <w:tcW w:w="5191" w:type="dxa"/>
            <w:tcBorders>
              <w:top w:val="nil"/>
              <w:bottom w:val="nil"/>
              <w:right w:val="nil"/>
            </w:tcBorders>
            <w:vAlign w:val="center"/>
          </w:tcPr>
          <w:p w:rsidR="004A561A" w:rsidRPr="003818D1" w:rsidRDefault="004A561A" w:rsidP="00324E75">
            <w:pPr>
              <w:spacing w:line="230" w:lineRule="auto"/>
              <w:rPr>
                <w:rFonts w:ascii="Arial Narrow" w:hAnsi="Arial Narrow"/>
                <w:sz w:val="16"/>
                <w:szCs w:val="16"/>
              </w:rPr>
            </w:pPr>
            <w:r w:rsidRPr="003818D1">
              <w:rPr>
                <w:rFonts w:ascii="Arial Narrow" w:hAnsi="Arial Narrow"/>
                <w:sz w:val="16"/>
                <w:szCs w:val="16"/>
              </w:rPr>
              <w:t>Ίδια έσοδα</w:t>
            </w:r>
          </w:p>
        </w:tc>
        <w:tc>
          <w:tcPr>
            <w:tcW w:w="1787" w:type="dxa"/>
            <w:tcBorders>
              <w:top w:val="nil"/>
              <w:left w:val="nil"/>
              <w:bottom w:val="nil"/>
              <w:right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221</w:t>
            </w:r>
          </w:p>
        </w:tc>
        <w:tc>
          <w:tcPr>
            <w:tcW w:w="1773" w:type="dxa"/>
            <w:tcBorders>
              <w:top w:val="nil"/>
              <w:left w:val="nil"/>
              <w:bottom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238</w:t>
            </w:r>
          </w:p>
        </w:tc>
      </w:tr>
      <w:tr w:rsidR="004A561A" w:rsidRPr="003818D1" w:rsidTr="00324E75">
        <w:trPr>
          <w:jc w:val="center"/>
        </w:trPr>
        <w:tc>
          <w:tcPr>
            <w:tcW w:w="5191" w:type="dxa"/>
            <w:tcBorders>
              <w:top w:val="nil"/>
              <w:bottom w:val="nil"/>
              <w:right w:val="nil"/>
            </w:tcBorders>
            <w:vAlign w:val="center"/>
          </w:tcPr>
          <w:p w:rsidR="004A561A" w:rsidRPr="003818D1" w:rsidRDefault="004A561A" w:rsidP="00324E75">
            <w:pPr>
              <w:spacing w:line="230" w:lineRule="auto"/>
              <w:rPr>
                <w:rFonts w:ascii="Arial Narrow" w:hAnsi="Arial Narrow"/>
                <w:sz w:val="16"/>
                <w:szCs w:val="16"/>
              </w:rPr>
            </w:pPr>
            <w:r w:rsidRPr="003818D1">
              <w:rPr>
                <w:rFonts w:ascii="Arial Narrow" w:hAnsi="Arial Narrow"/>
                <w:sz w:val="16"/>
                <w:szCs w:val="16"/>
              </w:rPr>
              <w:t>Μεταβιβάσεις από τακτικό προϋπολογισμό</w:t>
            </w:r>
          </w:p>
        </w:tc>
        <w:tc>
          <w:tcPr>
            <w:tcW w:w="1787" w:type="dxa"/>
            <w:tcBorders>
              <w:top w:val="nil"/>
              <w:left w:val="nil"/>
              <w:bottom w:val="nil"/>
              <w:right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1.484</w:t>
            </w:r>
          </w:p>
        </w:tc>
        <w:tc>
          <w:tcPr>
            <w:tcW w:w="1773" w:type="dxa"/>
            <w:tcBorders>
              <w:top w:val="nil"/>
              <w:left w:val="nil"/>
              <w:bottom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1.462</w:t>
            </w:r>
          </w:p>
        </w:tc>
      </w:tr>
      <w:tr w:rsidR="004A561A" w:rsidRPr="003818D1" w:rsidTr="00324E75">
        <w:trPr>
          <w:jc w:val="center"/>
        </w:trPr>
        <w:tc>
          <w:tcPr>
            <w:tcW w:w="5191" w:type="dxa"/>
            <w:tcBorders>
              <w:top w:val="nil"/>
              <w:bottom w:val="nil"/>
              <w:right w:val="nil"/>
            </w:tcBorders>
            <w:vAlign w:val="center"/>
          </w:tcPr>
          <w:p w:rsidR="004A561A" w:rsidRPr="003818D1" w:rsidRDefault="004A561A" w:rsidP="00324E75">
            <w:pPr>
              <w:spacing w:line="230" w:lineRule="auto"/>
              <w:rPr>
                <w:rFonts w:ascii="Arial Narrow" w:hAnsi="Arial Narrow"/>
                <w:sz w:val="16"/>
                <w:szCs w:val="16"/>
              </w:rPr>
            </w:pPr>
            <w:r w:rsidRPr="003818D1">
              <w:rPr>
                <w:rFonts w:ascii="Arial Narrow" w:hAnsi="Arial Narrow"/>
                <w:sz w:val="16"/>
                <w:szCs w:val="16"/>
              </w:rPr>
              <w:t>Μεταβιβάσεις από φορείς κοινωνικής ασφάλισης</w:t>
            </w:r>
          </w:p>
        </w:tc>
        <w:tc>
          <w:tcPr>
            <w:tcW w:w="1787" w:type="dxa"/>
            <w:tcBorders>
              <w:top w:val="nil"/>
              <w:left w:val="nil"/>
              <w:bottom w:val="nil"/>
              <w:right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888</w:t>
            </w:r>
          </w:p>
        </w:tc>
        <w:tc>
          <w:tcPr>
            <w:tcW w:w="1773" w:type="dxa"/>
            <w:tcBorders>
              <w:top w:val="nil"/>
              <w:left w:val="nil"/>
              <w:bottom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888</w:t>
            </w:r>
          </w:p>
        </w:tc>
      </w:tr>
      <w:tr w:rsidR="004A561A" w:rsidRPr="003818D1" w:rsidTr="00324E75">
        <w:trPr>
          <w:jc w:val="center"/>
        </w:trPr>
        <w:tc>
          <w:tcPr>
            <w:tcW w:w="5191" w:type="dxa"/>
            <w:tcBorders>
              <w:top w:val="nil"/>
              <w:bottom w:val="nil"/>
              <w:right w:val="nil"/>
            </w:tcBorders>
            <w:vAlign w:val="center"/>
          </w:tcPr>
          <w:p w:rsidR="004A561A" w:rsidRPr="003818D1" w:rsidRDefault="004A561A" w:rsidP="00324E75">
            <w:pPr>
              <w:spacing w:line="230" w:lineRule="auto"/>
              <w:rPr>
                <w:rFonts w:ascii="Arial Narrow" w:hAnsi="Arial Narrow"/>
                <w:sz w:val="16"/>
                <w:szCs w:val="16"/>
              </w:rPr>
            </w:pPr>
            <w:r w:rsidRPr="003818D1">
              <w:rPr>
                <w:rFonts w:ascii="Arial Narrow" w:hAnsi="Arial Narrow"/>
                <w:sz w:val="16"/>
                <w:szCs w:val="16"/>
              </w:rPr>
              <w:t>Μεταβιβάσεις από ΠΔΕ</w:t>
            </w:r>
          </w:p>
        </w:tc>
        <w:tc>
          <w:tcPr>
            <w:tcW w:w="1787" w:type="dxa"/>
            <w:tcBorders>
              <w:top w:val="nil"/>
              <w:left w:val="nil"/>
              <w:bottom w:val="nil"/>
              <w:right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100</w:t>
            </w:r>
          </w:p>
        </w:tc>
        <w:tc>
          <w:tcPr>
            <w:tcW w:w="1773" w:type="dxa"/>
            <w:tcBorders>
              <w:top w:val="nil"/>
              <w:left w:val="nil"/>
              <w:bottom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102</w:t>
            </w:r>
          </w:p>
        </w:tc>
      </w:tr>
      <w:tr w:rsidR="004A561A" w:rsidRPr="003818D1" w:rsidTr="00324E75">
        <w:trPr>
          <w:jc w:val="center"/>
        </w:trPr>
        <w:tc>
          <w:tcPr>
            <w:tcW w:w="5191" w:type="dxa"/>
            <w:tcBorders>
              <w:top w:val="nil"/>
              <w:bottom w:val="nil"/>
              <w:right w:val="nil"/>
            </w:tcBorders>
            <w:vAlign w:val="center"/>
          </w:tcPr>
          <w:p w:rsidR="004A561A" w:rsidRPr="003818D1" w:rsidRDefault="004A561A" w:rsidP="00324E75">
            <w:pPr>
              <w:spacing w:line="230" w:lineRule="auto"/>
              <w:rPr>
                <w:rFonts w:ascii="Arial Narrow" w:hAnsi="Arial Narrow"/>
                <w:sz w:val="16"/>
                <w:szCs w:val="16"/>
              </w:rPr>
            </w:pPr>
            <w:r w:rsidRPr="003818D1">
              <w:rPr>
                <w:rFonts w:ascii="Arial Narrow" w:hAnsi="Arial Narrow"/>
                <w:sz w:val="16"/>
                <w:szCs w:val="16"/>
              </w:rPr>
              <w:t>Αντικριζόμενα έσοδα</w:t>
            </w:r>
          </w:p>
        </w:tc>
        <w:tc>
          <w:tcPr>
            <w:tcW w:w="1787" w:type="dxa"/>
            <w:tcBorders>
              <w:top w:val="nil"/>
              <w:left w:val="nil"/>
              <w:bottom w:val="nil"/>
              <w:right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323</w:t>
            </w:r>
          </w:p>
        </w:tc>
        <w:tc>
          <w:tcPr>
            <w:tcW w:w="1773" w:type="dxa"/>
            <w:tcBorders>
              <w:top w:val="nil"/>
              <w:left w:val="nil"/>
              <w:bottom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324</w:t>
            </w:r>
          </w:p>
        </w:tc>
      </w:tr>
      <w:tr w:rsidR="004A561A" w:rsidRPr="003818D1" w:rsidTr="00324E75">
        <w:trPr>
          <w:jc w:val="center"/>
        </w:trPr>
        <w:tc>
          <w:tcPr>
            <w:tcW w:w="5191" w:type="dxa"/>
            <w:tcBorders>
              <w:top w:val="nil"/>
              <w:bottom w:val="nil"/>
              <w:right w:val="nil"/>
            </w:tcBorders>
            <w:vAlign w:val="center"/>
          </w:tcPr>
          <w:p w:rsidR="004A561A" w:rsidRPr="003818D1" w:rsidRDefault="004A561A" w:rsidP="00324E75">
            <w:pPr>
              <w:spacing w:line="230" w:lineRule="auto"/>
              <w:rPr>
                <w:rFonts w:ascii="Arial Narrow" w:hAnsi="Arial Narrow"/>
                <w:b/>
                <w:bCs/>
                <w:sz w:val="16"/>
                <w:szCs w:val="16"/>
              </w:rPr>
            </w:pPr>
            <w:r>
              <w:rPr>
                <w:rFonts w:ascii="Arial Narrow" w:hAnsi="Arial Narrow"/>
                <w:b/>
                <w:bCs/>
                <w:sz w:val="16"/>
                <w:szCs w:val="16"/>
              </w:rPr>
              <w:t>Δαπάνες</w:t>
            </w:r>
          </w:p>
        </w:tc>
        <w:tc>
          <w:tcPr>
            <w:tcW w:w="1787" w:type="dxa"/>
            <w:tcBorders>
              <w:top w:val="nil"/>
              <w:left w:val="nil"/>
              <w:bottom w:val="nil"/>
              <w:right w:val="nil"/>
            </w:tcBorders>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3.153</w:t>
            </w:r>
          </w:p>
        </w:tc>
        <w:tc>
          <w:tcPr>
            <w:tcW w:w="1773" w:type="dxa"/>
            <w:tcBorders>
              <w:top w:val="nil"/>
              <w:left w:val="nil"/>
              <w:bottom w:val="nil"/>
            </w:tcBorders>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3.488</w:t>
            </w:r>
          </w:p>
        </w:tc>
      </w:tr>
      <w:tr w:rsidR="004A561A" w:rsidRPr="003818D1" w:rsidTr="00324E75">
        <w:trPr>
          <w:jc w:val="center"/>
        </w:trPr>
        <w:tc>
          <w:tcPr>
            <w:tcW w:w="5191" w:type="dxa"/>
            <w:tcBorders>
              <w:top w:val="nil"/>
              <w:bottom w:val="nil"/>
              <w:right w:val="nil"/>
            </w:tcBorders>
            <w:vAlign w:val="center"/>
          </w:tcPr>
          <w:p w:rsidR="004A561A" w:rsidRPr="003818D1" w:rsidRDefault="004A561A" w:rsidP="00324E75">
            <w:pPr>
              <w:spacing w:line="230" w:lineRule="auto"/>
              <w:rPr>
                <w:rFonts w:ascii="Arial Narrow" w:hAnsi="Arial Narrow"/>
                <w:sz w:val="16"/>
                <w:szCs w:val="16"/>
              </w:rPr>
            </w:pPr>
            <w:r w:rsidRPr="003818D1">
              <w:rPr>
                <w:rFonts w:ascii="Arial Narrow" w:hAnsi="Arial Narrow"/>
                <w:sz w:val="16"/>
                <w:szCs w:val="16"/>
              </w:rPr>
              <w:t>Αγαθά</w:t>
            </w:r>
          </w:p>
        </w:tc>
        <w:tc>
          <w:tcPr>
            <w:tcW w:w="1787" w:type="dxa"/>
            <w:tcBorders>
              <w:top w:val="nil"/>
              <w:left w:val="nil"/>
              <w:bottom w:val="nil"/>
              <w:right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1.424</w:t>
            </w:r>
          </w:p>
        </w:tc>
        <w:tc>
          <w:tcPr>
            <w:tcW w:w="1773" w:type="dxa"/>
            <w:tcBorders>
              <w:top w:val="nil"/>
              <w:left w:val="nil"/>
              <w:bottom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1.538</w:t>
            </w:r>
          </w:p>
        </w:tc>
      </w:tr>
      <w:tr w:rsidR="004A561A" w:rsidRPr="003818D1" w:rsidTr="00324E75">
        <w:trPr>
          <w:jc w:val="center"/>
        </w:trPr>
        <w:tc>
          <w:tcPr>
            <w:tcW w:w="5191" w:type="dxa"/>
            <w:tcBorders>
              <w:top w:val="nil"/>
              <w:bottom w:val="nil"/>
              <w:right w:val="nil"/>
            </w:tcBorders>
            <w:vAlign w:val="center"/>
          </w:tcPr>
          <w:p w:rsidR="004A561A" w:rsidRPr="003818D1" w:rsidRDefault="004A561A" w:rsidP="00324E75">
            <w:pPr>
              <w:spacing w:line="230" w:lineRule="auto"/>
              <w:rPr>
                <w:rFonts w:ascii="Arial Narrow" w:hAnsi="Arial Narrow"/>
                <w:sz w:val="16"/>
                <w:szCs w:val="16"/>
              </w:rPr>
            </w:pPr>
            <w:r w:rsidRPr="003818D1">
              <w:rPr>
                <w:rFonts w:ascii="Arial Narrow" w:hAnsi="Arial Narrow"/>
                <w:sz w:val="16"/>
                <w:szCs w:val="16"/>
              </w:rPr>
              <w:t>Δαπάνες προσωπικού</w:t>
            </w:r>
          </w:p>
        </w:tc>
        <w:tc>
          <w:tcPr>
            <w:tcW w:w="1787" w:type="dxa"/>
            <w:tcBorders>
              <w:top w:val="nil"/>
              <w:left w:val="nil"/>
              <w:bottom w:val="nil"/>
              <w:right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648</w:t>
            </w:r>
          </w:p>
        </w:tc>
        <w:tc>
          <w:tcPr>
            <w:tcW w:w="1773" w:type="dxa"/>
            <w:tcBorders>
              <w:top w:val="nil"/>
              <w:left w:val="nil"/>
              <w:bottom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707</w:t>
            </w:r>
          </w:p>
        </w:tc>
      </w:tr>
      <w:tr w:rsidR="004A561A" w:rsidRPr="003818D1" w:rsidTr="00324E75">
        <w:trPr>
          <w:jc w:val="center"/>
        </w:trPr>
        <w:tc>
          <w:tcPr>
            <w:tcW w:w="5191" w:type="dxa"/>
            <w:tcBorders>
              <w:top w:val="nil"/>
              <w:bottom w:val="nil"/>
              <w:right w:val="nil"/>
            </w:tcBorders>
            <w:vAlign w:val="center"/>
          </w:tcPr>
          <w:p w:rsidR="004A561A" w:rsidRPr="003818D1" w:rsidRDefault="004A561A" w:rsidP="00324E75">
            <w:pPr>
              <w:spacing w:line="230" w:lineRule="auto"/>
              <w:rPr>
                <w:rFonts w:ascii="Arial Narrow" w:hAnsi="Arial Narrow"/>
                <w:sz w:val="16"/>
                <w:szCs w:val="16"/>
              </w:rPr>
            </w:pPr>
            <w:r w:rsidRPr="003818D1">
              <w:rPr>
                <w:rFonts w:ascii="Arial Narrow" w:hAnsi="Arial Narrow"/>
                <w:sz w:val="16"/>
                <w:szCs w:val="16"/>
              </w:rPr>
              <w:t>Υπηρεσίες</w:t>
            </w:r>
          </w:p>
        </w:tc>
        <w:tc>
          <w:tcPr>
            <w:tcW w:w="1787" w:type="dxa"/>
            <w:tcBorders>
              <w:top w:val="nil"/>
              <w:left w:val="nil"/>
              <w:bottom w:val="nil"/>
              <w:right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658</w:t>
            </w:r>
          </w:p>
        </w:tc>
        <w:tc>
          <w:tcPr>
            <w:tcW w:w="1773" w:type="dxa"/>
            <w:tcBorders>
              <w:top w:val="nil"/>
              <w:left w:val="nil"/>
              <w:bottom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817</w:t>
            </w:r>
          </w:p>
        </w:tc>
      </w:tr>
      <w:tr w:rsidR="004A561A" w:rsidRPr="003818D1" w:rsidTr="00324E75">
        <w:trPr>
          <w:jc w:val="center"/>
        </w:trPr>
        <w:tc>
          <w:tcPr>
            <w:tcW w:w="5191" w:type="dxa"/>
            <w:tcBorders>
              <w:top w:val="nil"/>
              <w:bottom w:val="nil"/>
              <w:right w:val="nil"/>
            </w:tcBorders>
            <w:vAlign w:val="center"/>
          </w:tcPr>
          <w:p w:rsidR="004A561A" w:rsidRPr="003818D1" w:rsidRDefault="004A561A" w:rsidP="00324E75">
            <w:pPr>
              <w:spacing w:line="230" w:lineRule="auto"/>
              <w:rPr>
                <w:rFonts w:ascii="Arial Narrow" w:hAnsi="Arial Narrow"/>
                <w:sz w:val="16"/>
                <w:szCs w:val="16"/>
              </w:rPr>
            </w:pPr>
            <w:r w:rsidRPr="003818D1">
              <w:rPr>
                <w:rFonts w:ascii="Arial Narrow" w:hAnsi="Arial Narrow"/>
                <w:sz w:val="16"/>
                <w:szCs w:val="16"/>
              </w:rPr>
              <w:t>Δαπάνες για επενδύσεις</w:t>
            </w:r>
          </w:p>
        </w:tc>
        <w:tc>
          <w:tcPr>
            <w:tcW w:w="1787" w:type="dxa"/>
            <w:tcBorders>
              <w:top w:val="nil"/>
              <w:left w:val="nil"/>
              <w:bottom w:val="nil"/>
              <w:right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100</w:t>
            </w:r>
          </w:p>
        </w:tc>
        <w:tc>
          <w:tcPr>
            <w:tcW w:w="1773" w:type="dxa"/>
            <w:tcBorders>
              <w:top w:val="nil"/>
              <w:left w:val="nil"/>
              <w:bottom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102</w:t>
            </w:r>
          </w:p>
        </w:tc>
      </w:tr>
      <w:tr w:rsidR="004A561A" w:rsidRPr="003818D1" w:rsidTr="00324E75">
        <w:trPr>
          <w:jc w:val="center"/>
        </w:trPr>
        <w:tc>
          <w:tcPr>
            <w:tcW w:w="5191" w:type="dxa"/>
            <w:tcBorders>
              <w:top w:val="nil"/>
              <w:bottom w:val="nil"/>
              <w:right w:val="nil"/>
            </w:tcBorders>
            <w:vAlign w:val="center"/>
          </w:tcPr>
          <w:p w:rsidR="004A561A" w:rsidRPr="003818D1" w:rsidRDefault="004A561A" w:rsidP="00324E75">
            <w:pPr>
              <w:spacing w:line="230" w:lineRule="auto"/>
              <w:rPr>
                <w:rFonts w:ascii="Arial Narrow" w:hAnsi="Arial Narrow"/>
                <w:sz w:val="16"/>
                <w:szCs w:val="16"/>
              </w:rPr>
            </w:pPr>
            <w:r w:rsidRPr="003818D1">
              <w:rPr>
                <w:rFonts w:ascii="Arial Narrow" w:hAnsi="Arial Narrow"/>
                <w:sz w:val="16"/>
                <w:szCs w:val="16"/>
              </w:rPr>
              <w:t>Αντικριζόμενα έξοδα</w:t>
            </w:r>
          </w:p>
        </w:tc>
        <w:tc>
          <w:tcPr>
            <w:tcW w:w="1787" w:type="dxa"/>
            <w:tcBorders>
              <w:top w:val="nil"/>
              <w:left w:val="nil"/>
              <w:bottom w:val="nil"/>
              <w:right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323</w:t>
            </w:r>
          </w:p>
        </w:tc>
        <w:tc>
          <w:tcPr>
            <w:tcW w:w="1773" w:type="dxa"/>
            <w:tcBorders>
              <w:top w:val="nil"/>
              <w:left w:val="nil"/>
              <w:bottom w:val="nil"/>
            </w:tcBorders>
            <w:vAlign w:val="bottom"/>
          </w:tcPr>
          <w:p w:rsidR="004A561A" w:rsidRDefault="004A561A" w:rsidP="00324E75">
            <w:pPr>
              <w:ind w:right="505"/>
              <w:contextualSpacing/>
              <w:jc w:val="right"/>
              <w:rPr>
                <w:rFonts w:ascii="Arial Narrow" w:hAnsi="Arial Narrow"/>
                <w:color w:val="000000"/>
                <w:sz w:val="16"/>
                <w:szCs w:val="16"/>
              </w:rPr>
            </w:pPr>
            <w:r>
              <w:rPr>
                <w:rFonts w:ascii="Arial Narrow" w:hAnsi="Arial Narrow"/>
                <w:color w:val="000000"/>
                <w:sz w:val="16"/>
                <w:szCs w:val="16"/>
              </w:rPr>
              <w:t>324</w:t>
            </w:r>
          </w:p>
        </w:tc>
      </w:tr>
      <w:tr w:rsidR="004A561A" w:rsidRPr="003818D1" w:rsidTr="00324E75">
        <w:trPr>
          <w:jc w:val="center"/>
        </w:trPr>
        <w:tc>
          <w:tcPr>
            <w:tcW w:w="5191" w:type="dxa"/>
            <w:tcBorders>
              <w:top w:val="nil"/>
              <w:bottom w:val="nil"/>
              <w:right w:val="nil"/>
            </w:tcBorders>
            <w:shd w:val="clear" w:color="auto" w:fill="D9D9D9" w:themeFill="background1" w:themeFillShade="D9"/>
            <w:vAlign w:val="center"/>
          </w:tcPr>
          <w:p w:rsidR="004A561A" w:rsidRPr="003818D1" w:rsidRDefault="004A561A" w:rsidP="00324E75">
            <w:pPr>
              <w:spacing w:line="230" w:lineRule="auto"/>
              <w:rPr>
                <w:rFonts w:ascii="Arial Narrow" w:hAnsi="Arial Narrow"/>
                <w:b/>
                <w:sz w:val="16"/>
                <w:szCs w:val="16"/>
              </w:rPr>
            </w:pPr>
            <w:r w:rsidRPr="003818D1">
              <w:rPr>
                <w:rFonts w:ascii="Arial Narrow" w:hAnsi="Arial Narrow"/>
                <w:b/>
                <w:sz w:val="16"/>
                <w:szCs w:val="16"/>
              </w:rPr>
              <w:t>Ταμειακό Ισοζύγιο</w:t>
            </w:r>
          </w:p>
        </w:tc>
        <w:tc>
          <w:tcPr>
            <w:tcW w:w="1787" w:type="dxa"/>
            <w:tcBorders>
              <w:top w:val="nil"/>
              <w:left w:val="nil"/>
              <w:bottom w:val="nil"/>
              <w:right w:val="nil"/>
            </w:tcBorders>
            <w:shd w:val="clear" w:color="auto" w:fill="D9D9D9" w:themeFill="background1" w:themeFillShade="D9"/>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-136</w:t>
            </w:r>
          </w:p>
        </w:tc>
        <w:tc>
          <w:tcPr>
            <w:tcW w:w="1773" w:type="dxa"/>
            <w:tcBorders>
              <w:top w:val="nil"/>
              <w:left w:val="nil"/>
              <w:bottom w:val="nil"/>
            </w:tcBorders>
            <w:shd w:val="clear" w:color="auto" w:fill="D9D9D9" w:themeFill="background1" w:themeFillShade="D9"/>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-474</w:t>
            </w:r>
          </w:p>
        </w:tc>
      </w:tr>
      <w:tr w:rsidR="004A561A" w:rsidRPr="003818D1" w:rsidTr="00324E75">
        <w:trPr>
          <w:jc w:val="center"/>
        </w:trPr>
        <w:tc>
          <w:tcPr>
            <w:tcW w:w="5191" w:type="dxa"/>
            <w:tcBorders>
              <w:top w:val="nil"/>
              <w:bottom w:val="nil"/>
              <w:right w:val="nil"/>
            </w:tcBorders>
            <w:shd w:val="clear" w:color="auto" w:fill="D9D9D9" w:themeFill="background1" w:themeFillShade="D9"/>
            <w:vAlign w:val="center"/>
          </w:tcPr>
          <w:p w:rsidR="004A561A" w:rsidRPr="003818D1" w:rsidRDefault="004A561A" w:rsidP="00324E75">
            <w:pPr>
              <w:spacing w:line="230" w:lineRule="auto"/>
              <w:rPr>
                <w:rFonts w:ascii="Arial Narrow" w:hAnsi="Arial Narrow"/>
                <w:b/>
                <w:sz w:val="16"/>
                <w:szCs w:val="16"/>
              </w:rPr>
            </w:pPr>
            <w:r w:rsidRPr="003818D1">
              <w:rPr>
                <w:rFonts w:ascii="Arial Narrow" w:hAnsi="Arial Narrow"/>
                <w:b/>
                <w:sz w:val="16"/>
                <w:szCs w:val="16"/>
              </w:rPr>
              <w:t>Εθνικολογιστικές προσαρμογές</w:t>
            </w:r>
          </w:p>
        </w:tc>
        <w:tc>
          <w:tcPr>
            <w:tcW w:w="1787" w:type="dxa"/>
            <w:tcBorders>
              <w:top w:val="nil"/>
              <w:left w:val="nil"/>
              <w:bottom w:val="nil"/>
              <w:right w:val="nil"/>
            </w:tcBorders>
            <w:shd w:val="clear" w:color="auto" w:fill="D9D9D9" w:themeFill="background1" w:themeFillShade="D9"/>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66</w:t>
            </w:r>
          </w:p>
        </w:tc>
        <w:tc>
          <w:tcPr>
            <w:tcW w:w="1773" w:type="dxa"/>
            <w:tcBorders>
              <w:top w:val="nil"/>
              <w:left w:val="nil"/>
              <w:bottom w:val="nil"/>
            </w:tcBorders>
            <w:shd w:val="clear" w:color="auto" w:fill="D9D9D9" w:themeFill="background1" w:themeFillShade="D9"/>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460</w:t>
            </w:r>
          </w:p>
        </w:tc>
      </w:tr>
      <w:tr w:rsidR="004A561A" w:rsidRPr="003818D1" w:rsidTr="00324E75">
        <w:trPr>
          <w:jc w:val="center"/>
        </w:trPr>
        <w:tc>
          <w:tcPr>
            <w:tcW w:w="5191" w:type="dxa"/>
            <w:tcBorders>
              <w:top w:val="nil"/>
              <w:bottom w:val="single" w:sz="4" w:space="0" w:color="auto"/>
              <w:right w:val="nil"/>
            </w:tcBorders>
            <w:shd w:val="clear" w:color="auto" w:fill="D9D9D9" w:themeFill="background1" w:themeFillShade="D9"/>
            <w:vAlign w:val="center"/>
          </w:tcPr>
          <w:p w:rsidR="004A561A" w:rsidRPr="00D865F2" w:rsidRDefault="004A561A" w:rsidP="00324E75">
            <w:pPr>
              <w:spacing w:line="230" w:lineRule="auto"/>
              <w:rPr>
                <w:rFonts w:ascii="Arial Narrow" w:hAnsi="Arial Narrow"/>
                <w:b/>
                <w:sz w:val="16"/>
                <w:szCs w:val="16"/>
              </w:rPr>
            </w:pPr>
            <w:r w:rsidRPr="003818D1">
              <w:rPr>
                <w:rFonts w:ascii="Arial Narrow" w:hAnsi="Arial Narrow"/>
                <w:b/>
                <w:sz w:val="16"/>
                <w:szCs w:val="16"/>
              </w:rPr>
              <w:t xml:space="preserve">Ισοζύγιο κατά </w:t>
            </w:r>
            <w:r w:rsidRPr="00D865F2">
              <w:rPr>
                <w:rFonts w:ascii="Arial Narrow" w:hAnsi="Arial Narrow"/>
                <w:b/>
                <w:sz w:val="16"/>
                <w:szCs w:val="16"/>
              </w:rPr>
              <w:t xml:space="preserve">ESA </w:t>
            </w:r>
          </w:p>
        </w:tc>
        <w:tc>
          <w:tcPr>
            <w:tcW w:w="1787" w:type="dxa"/>
            <w:tcBorders>
              <w:top w:val="nil"/>
              <w:left w:val="nil"/>
              <w:bottom w:val="single" w:sz="4" w:space="0" w:color="auto"/>
              <w:right w:val="nil"/>
            </w:tcBorders>
            <w:shd w:val="clear" w:color="auto" w:fill="D9D9D9" w:themeFill="background1" w:themeFillShade="D9"/>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-70</w:t>
            </w:r>
          </w:p>
        </w:tc>
        <w:tc>
          <w:tcPr>
            <w:tcW w:w="1773" w:type="dxa"/>
            <w:tcBorders>
              <w:top w:val="nil"/>
              <w:left w:val="nil"/>
              <w:bottom w:val="single" w:sz="4" w:space="0" w:color="auto"/>
            </w:tcBorders>
            <w:shd w:val="clear" w:color="auto" w:fill="D9D9D9" w:themeFill="background1" w:themeFillShade="D9"/>
            <w:vAlign w:val="bottom"/>
          </w:tcPr>
          <w:p w:rsidR="004A561A" w:rsidRDefault="004A561A" w:rsidP="00324E75">
            <w:pPr>
              <w:ind w:right="505"/>
              <w:contextualSpacing/>
              <w:jc w:val="right"/>
              <w:rPr>
                <w:rFonts w:ascii="Arial Narrow" w:hAnsi="Arial Narrow"/>
                <w:b/>
                <w:bCs/>
                <w:color w:val="000000"/>
                <w:sz w:val="16"/>
                <w:szCs w:val="16"/>
              </w:rPr>
            </w:pPr>
            <w:r>
              <w:rPr>
                <w:rFonts w:ascii="Arial Narrow" w:hAnsi="Arial Narrow"/>
                <w:b/>
                <w:bCs/>
                <w:color w:val="000000"/>
                <w:sz w:val="16"/>
                <w:szCs w:val="16"/>
              </w:rPr>
              <w:t>-14</w:t>
            </w:r>
          </w:p>
        </w:tc>
      </w:tr>
    </w:tbl>
    <w:p w:rsidR="004A561A" w:rsidRDefault="004A561A" w:rsidP="004A561A">
      <w:pPr>
        <w:spacing w:line="230" w:lineRule="auto"/>
        <w:ind w:right="142"/>
        <w:jc w:val="both"/>
      </w:pPr>
      <w:r w:rsidRPr="002263FC">
        <w:rPr>
          <w:rFonts w:ascii="Arial Narrow" w:hAnsi="Arial Narrow"/>
          <w:sz w:val="16"/>
          <w:szCs w:val="16"/>
        </w:rPr>
        <w:t xml:space="preserve"> </w:t>
      </w:r>
    </w:p>
    <w:p w:rsidR="00BC637E" w:rsidRDefault="00BC637E">
      <w:r>
        <w:br w:type="page"/>
      </w:r>
    </w:p>
    <w:p w:rsidR="0042330B" w:rsidRDefault="0042330B" w:rsidP="0042330B">
      <w:pPr>
        <w:rPr>
          <w:bCs/>
          <w:sz w:val="22"/>
          <w:szCs w:val="22"/>
        </w:rPr>
      </w:pPr>
    </w:p>
    <w:p w:rsidR="0042330B" w:rsidRPr="005B1BAC" w:rsidRDefault="0042330B" w:rsidP="0042330B">
      <w:pPr>
        <w:shd w:val="clear" w:color="auto" w:fill="595959"/>
        <w:jc w:val="both"/>
        <w:rPr>
          <w:rFonts w:ascii="Arial Narrow" w:hAnsi="Arial Narrow"/>
          <w:b/>
          <w:color w:val="FFFFFF"/>
          <w:sz w:val="26"/>
          <w:szCs w:val="22"/>
        </w:rPr>
      </w:pPr>
      <w:r>
        <w:rPr>
          <w:rFonts w:ascii="Arial Narrow" w:hAnsi="Arial Narrow"/>
          <w:b/>
          <w:color w:val="FFFFFF"/>
          <w:sz w:val="26"/>
          <w:szCs w:val="22"/>
        </w:rPr>
        <w:t>6</w:t>
      </w:r>
      <w:r w:rsidRPr="005B1BAC">
        <w:rPr>
          <w:rFonts w:ascii="Arial Narrow" w:hAnsi="Arial Narrow"/>
          <w:b/>
          <w:color w:val="FFFFFF"/>
          <w:sz w:val="26"/>
          <w:szCs w:val="22"/>
        </w:rPr>
        <w:t>.</w:t>
      </w:r>
      <w:r w:rsidRPr="005B1BAC">
        <w:rPr>
          <w:rFonts w:ascii="Arial Narrow" w:hAnsi="Arial Narrow"/>
          <w:b/>
          <w:color w:val="FFFFFF"/>
          <w:sz w:val="26"/>
          <w:szCs w:val="22"/>
        </w:rPr>
        <w:tab/>
        <w:t>Κοινωνικός προϋπολογισμός</w:t>
      </w:r>
    </w:p>
    <w:p w:rsidR="0042330B" w:rsidRDefault="0042330B" w:rsidP="0042330B">
      <w:pPr>
        <w:rPr>
          <w:sz w:val="22"/>
        </w:rPr>
      </w:pPr>
    </w:p>
    <w:p w:rsidR="005040CE" w:rsidRDefault="005040CE" w:rsidP="0042330B">
      <w:pPr>
        <w:spacing w:line="235" w:lineRule="auto"/>
        <w:rPr>
          <w:rFonts w:ascii="Arial Narrow" w:hAnsi="Arial Narrow"/>
          <w:b/>
        </w:rPr>
      </w:pPr>
    </w:p>
    <w:p w:rsidR="0042330B" w:rsidRPr="00221A99" w:rsidRDefault="0042330B" w:rsidP="0042330B">
      <w:pPr>
        <w:spacing w:line="235" w:lineRule="auto"/>
        <w:rPr>
          <w:rFonts w:ascii="Arial Narrow" w:hAnsi="Arial Narrow"/>
          <w:b/>
          <w:szCs w:val="26"/>
        </w:rPr>
      </w:pPr>
      <w:r w:rsidRPr="00736C0C">
        <w:rPr>
          <w:rFonts w:ascii="Arial Narrow" w:hAnsi="Arial Narrow"/>
          <w:b/>
        </w:rPr>
        <w:t>Οργανισμοί Κοινωνικής Ασφάλιση</w:t>
      </w:r>
      <w:r>
        <w:rPr>
          <w:rFonts w:ascii="Arial Narrow" w:hAnsi="Arial Narrow"/>
          <w:b/>
        </w:rPr>
        <w:t>ς</w:t>
      </w:r>
    </w:p>
    <w:p w:rsidR="0042330B" w:rsidRDefault="0042330B" w:rsidP="0042330B">
      <w:pPr>
        <w:jc w:val="both"/>
        <w:rPr>
          <w:sz w:val="22"/>
        </w:rPr>
      </w:pPr>
    </w:p>
    <w:p w:rsidR="0042330B" w:rsidRPr="00316036" w:rsidRDefault="0042330B" w:rsidP="0042330B">
      <w:pPr>
        <w:jc w:val="both"/>
        <w:rPr>
          <w:sz w:val="22"/>
        </w:rPr>
      </w:pPr>
      <w:r w:rsidRPr="00316036">
        <w:rPr>
          <w:sz w:val="22"/>
        </w:rPr>
        <w:t>Το ισοζύγιο των Οργανισμών Κοινωνικής Ασφάλισης (Ασφαλιστικά Ταμεία, ΟΑΕΔ, ΕΟΠΥΥ, ΟΠΕΚΑ και ΝΑΤ) για το 202</w:t>
      </w:r>
      <w:r>
        <w:rPr>
          <w:sz w:val="22"/>
        </w:rPr>
        <w:t>1</w:t>
      </w:r>
      <w:r w:rsidRPr="00316036">
        <w:rPr>
          <w:sz w:val="22"/>
        </w:rPr>
        <w:t xml:space="preserve"> προβλέπεται να διαμορφωθεί </w:t>
      </w:r>
      <w:r w:rsidR="00B521BB">
        <w:rPr>
          <w:sz w:val="22"/>
        </w:rPr>
        <w:t xml:space="preserve">κατά </w:t>
      </w:r>
      <w:r w:rsidR="00B521BB">
        <w:rPr>
          <w:sz w:val="22"/>
          <w:lang w:val="de-DE"/>
        </w:rPr>
        <w:t>ESA</w:t>
      </w:r>
      <w:r w:rsidRPr="00316036">
        <w:rPr>
          <w:sz w:val="22"/>
        </w:rPr>
        <w:t xml:space="preserve"> σε πλεόνασμα ύψους </w:t>
      </w:r>
      <w:r>
        <w:rPr>
          <w:sz w:val="22"/>
        </w:rPr>
        <w:t>754</w:t>
      </w:r>
      <w:r w:rsidRPr="00316036">
        <w:rPr>
          <w:sz w:val="22"/>
        </w:rPr>
        <w:t xml:space="preserve"> </w:t>
      </w:r>
      <w:r w:rsidRPr="00316036">
        <w:rPr>
          <w:sz w:val="22"/>
        </w:rPr>
        <w:t>ε</w:t>
      </w:r>
      <w:r w:rsidRPr="00316036">
        <w:rPr>
          <w:sz w:val="22"/>
        </w:rPr>
        <w:t>κατ. ευρώ</w:t>
      </w:r>
      <w:r w:rsidR="00B521BB">
        <w:rPr>
          <w:sz w:val="22"/>
        </w:rPr>
        <w:t>,</w:t>
      </w:r>
      <w:r w:rsidRPr="00316036">
        <w:rPr>
          <w:sz w:val="22"/>
        </w:rPr>
        <w:t xml:space="preserve"> παρουσιάζοντας βελτίωση κατά </w:t>
      </w:r>
      <w:r>
        <w:rPr>
          <w:sz w:val="22"/>
        </w:rPr>
        <w:t>578</w:t>
      </w:r>
      <w:r w:rsidRPr="00316036">
        <w:rPr>
          <w:sz w:val="22"/>
        </w:rPr>
        <w:t xml:space="preserve"> εκατ. ευρώ σε σχέση με το 20</w:t>
      </w:r>
      <w:r>
        <w:rPr>
          <w:sz w:val="22"/>
        </w:rPr>
        <w:t>20</w:t>
      </w:r>
      <w:r w:rsidRPr="00316036">
        <w:rPr>
          <w:sz w:val="22"/>
        </w:rPr>
        <w:t>.</w:t>
      </w:r>
    </w:p>
    <w:p w:rsidR="0042330B" w:rsidRDefault="0042330B" w:rsidP="0042330B">
      <w:pPr>
        <w:jc w:val="both"/>
        <w:rPr>
          <w:sz w:val="22"/>
        </w:rPr>
      </w:pPr>
    </w:p>
    <w:p w:rsidR="0042330B" w:rsidRPr="00221A99" w:rsidRDefault="0042330B" w:rsidP="0042330B">
      <w:pPr>
        <w:spacing w:line="235" w:lineRule="auto"/>
        <w:rPr>
          <w:rFonts w:ascii="Arial Narrow" w:hAnsi="Arial Narrow"/>
          <w:b/>
          <w:szCs w:val="26"/>
        </w:rPr>
      </w:pPr>
      <w:r>
        <w:rPr>
          <w:rFonts w:ascii="Arial Narrow" w:hAnsi="Arial Narrow"/>
          <w:b/>
        </w:rPr>
        <w:t>Ασφαλιστικά Ταμεία</w:t>
      </w:r>
    </w:p>
    <w:p w:rsidR="0042330B" w:rsidRDefault="0042330B" w:rsidP="0042330B">
      <w:pPr>
        <w:rPr>
          <w:sz w:val="22"/>
        </w:rPr>
      </w:pPr>
    </w:p>
    <w:p w:rsidR="0042330B" w:rsidRPr="00316036" w:rsidRDefault="0042330B" w:rsidP="0042330B">
      <w:pPr>
        <w:jc w:val="both"/>
        <w:rPr>
          <w:sz w:val="22"/>
        </w:rPr>
      </w:pPr>
      <w:r w:rsidRPr="00316036">
        <w:rPr>
          <w:sz w:val="22"/>
        </w:rPr>
        <w:t xml:space="preserve">Το ισοζύγιο των ασφαλιστικών ταμείων </w:t>
      </w:r>
      <w:r w:rsidR="00B521BB">
        <w:rPr>
          <w:sz w:val="22"/>
        </w:rPr>
        <w:t xml:space="preserve">κατά </w:t>
      </w:r>
      <w:r w:rsidR="00B521BB">
        <w:rPr>
          <w:sz w:val="22"/>
          <w:lang w:val="de-DE"/>
        </w:rPr>
        <w:t>ESA</w:t>
      </w:r>
      <w:r w:rsidRPr="00316036">
        <w:rPr>
          <w:sz w:val="22"/>
        </w:rPr>
        <w:t xml:space="preserve"> για το 202</w:t>
      </w:r>
      <w:r>
        <w:rPr>
          <w:sz w:val="22"/>
        </w:rPr>
        <w:t>1</w:t>
      </w:r>
      <w:r w:rsidRPr="00316036">
        <w:rPr>
          <w:sz w:val="22"/>
        </w:rPr>
        <w:t xml:space="preserve"> προβλέπεται να παρουσιάσει πλεόν</w:t>
      </w:r>
      <w:r w:rsidRPr="00316036">
        <w:rPr>
          <w:sz w:val="22"/>
        </w:rPr>
        <w:t>α</w:t>
      </w:r>
      <w:r w:rsidRPr="00316036">
        <w:rPr>
          <w:sz w:val="22"/>
        </w:rPr>
        <w:t xml:space="preserve">σμα ύψους </w:t>
      </w:r>
      <w:r>
        <w:rPr>
          <w:sz w:val="22"/>
        </w:rPr>
        <w:t>418 εκατ. ευρώ</w:t>
      </w:r>
      <w:r w:rsidR="00B521BB">
        <w:rPr>
          <w:sz w:val="22"/>
        </w:rPr>
        <w:t>,</w:t>
      </w:r>
      <w:r>
        <w:rPr>
          <w:sz w:val="22"/>
        </w:rPr>
        <w:t xml:space="preserve"> μειωμένο</w:t>
      </w:r>
      <w:r w:rsidRPr="00316036">
        <w:rPr>
          <w:sz w:val="22"/>
        </w:rPr>
        <w:t xml:space="preserve"> κατά 2</w:t>
      </w:r>
      <w:r>
        <w:rPr>
          <w:sz w:val="22"/>
        </w:rPr>
        <w:t>83</w:t>
      </w:r>
      <w:r w:rsidRPr="00316036">
        <w:rPr>
          <w:sz w:val="22"/>
        </w:rPr>
        <w:t xml:space="preserve"> εκατ. ευρώ έναντι των εκτιμήσεων για το οικονομικό έτος 20</w:t>
      </w:r>
      <w:r>
        <w:rPr>
          <w:sz w:val="22"/>
        </w:rPr>
        <w:t>20</w:t>
      </w:r>
      <w:r w:rsidRPr="00316036">
        <w:rPr>
          <w:sz w:val="22"/>
        </w:rPr>
        <w:t>.</w:t>
      </w:r>
    </w:p>
    <w:p w:rsidR="0042330B" w:rsidRDefault="0042330B" w:rsidP="0042330B">
      <w:pPr>
        <w:jc w:val="both"/>
        <w:rPr>
          <w:sz w:val="22"/>
        </w:rPr>
      </w:pPr>
    </w:p>
    <w:p w:rsidR="0042330B" w:rsidRDefault="0042330B" w:rsidP="0042330B">
      <w:pPr>
        <w:jc w:val="both"/>
        <w:rPr>
          <w:sz w:val="22"/>
        </w:rPr>
      </w:pPr>
      <w:r>
        <w:rPr>
          <w:sz w:val="22"/>
        </w:rPr>
        <w:t>Ειδικότερα, στο σκέλος των εσόδων εκτιμάται ότι θα σημειωθεί μείωση ύψους 1.085 εκατ. ευρώ, γ</w:t>
      </w:r>
      <w:r>
        <w:rPr>
          <w:sz w:val="22"/>
        </w:rPr>
        <w:t>ε</w:t>
      </w:r>
      <w:r>
        <w:rPr>
          <w:sz w:val="22"/>
        </w:rPr>
        <w:t>γονός που οφείλεται κατά κύριο λόγο στη μείωση της κρατικής χρηματοδότησης κατά 1.978 εκατ. ε</w:t>
      </w:r>
      <w:r>
        <w:rPr>
          <w:sz w:val="22"/>
        </w:rPr>
        <w:t>υ</w:t>
      </w:r>
      <w:r>
        <w:rPr>
          <w:sz w:val="22"/>
        </w:rPr>
        <w:t xml:space="preserve">ρώ, δεδομένου ότι εντός του 2020 ο </w:t>
      </w:r>
      <w:r>
        <w:rPr>
          <w:sz w:val="22"/>
          <w:lang w:val="en-US"/>
        </w:rPr>
        <w:t>e</w:t>
      </w:r>
      <w:r w:rsidRPr="00A26E0E">
        <w:rPr>
          <w:sz w:val="22"/>
        </w:rPr>
        <w:t>-</w:t>
      </w:r>
      <w:r>
        <w:rPr>
          <w:sz w:val="22"/>
        </w:rPr>
        <w:t xml:space="preserve">ΕΦΚΑ επιχορηγήθηκε με το ποσό των 1.400 εκατ. ευρώ για την εφάπαξ καταβολή των αναδρομικών των συντάξεων. Επιπλέον, μειωμένες κατά 632 εκατ. ευρώ σε σχέση με το 2020 αναμένεται να είναι και οι έκτακτες μεταβιβάσεις που λαμβάνει ο </w:t>
      </w:r>
      <w:r>
        <w:rPr>
          <w:sz w:val="22"/>
          <w:lang w:val="en-US"/>
        </w:rPr>
        <w:t>e</w:t>
      </w:r>
      <w:r w:rsidRPr="00433018">
        <w:rPr>
          <w:sz w:val="22"/>
        </w:rPr>
        <w:t>-</w:t>
      </w:r>
      <w:r>
        <w:rPr>
          <w:sz w:val="22"/>
        </w:rPr>
        <w:t xml:space="preserve">ΕΦΚΑ για την κάλυψη των ασφαλιστικών εισφορών των εργαζομένων που πλήττονται από την πανδημία </w:t>
      </w:r>
      <w:r w:rsidR="003C79F3">
        <w:rPr>
          <w:sz w:val="22"/>
          <w:lang w:val="en-US"/>
        </w:rPr>
        <w:t>Covid</w:t>
      </w:r>
      <w:r w:rsidR="003C79F3">
        <w:rPr>
          <w:sz w:val="22"/>
        </w:rPr>
        <w:t>-</w:t>
      </w:r>
      <w:r w:rsidRPr="00433018">
        <w:rPr>
          <w:sz w:val="22"/>
        </w:rPr>
        <w:t>19</w:t>
      </w:r>
      <w:r>
        <w:rPr>
          <w:sz w:val="22"/>
        </w:rPr>
        <w:t>, λόγω της ανάγκης εφαρμογής λιγότερων μέτρων ανάσχεσης της πανδημίας εντός του 2021.</w:t>
      </w:r>
    </w:p>
    <w:p w:rsidR="0042330B" w:rsidRDefault="0042330B" w:rsidP="0042330B">
      <w:pPr>
        <w:jc w:val="both"/>
        <w:rPr>
          <w:sz w:val="22"/>
        </w:rPr>
      </w:pPr>
      <w:r>
        <w:rPr>
          <w:sz w:val="22"/>
        </w:rPr>
        <w:t>Αντίθετα, εκτιμάται ότι οι ασφαλιστικές εισφορές, συμπεριλαμβανομένων των εσόδων από ρυθμίσεις οφειλών, θα είναι αυξημένες κατά 1.088 εκατ. ευρώ, ενόψει της αναμενόμενης επανεκκίνησης της ο</w:t>
      </w:r>
      <w:r>
        <w:rPr>
          <w:sz w:val="22"/>
        </w:rPr>
        <w:t>ι</w:t>
      </w:r>
      <w:r>
        <w:rPr>
          <w:sz w:val="22"/>
        </w:rPr>
        <w:t>κονομικής δραστηριότητας και της ενίσχυσης της απασχόλησης.</w:t>
      </w:r>
    </w:p>
    <w:p w:rsidR="0042330B" w:rsidRDefault="0042330B" w:rsidP="0042330B">
      <w:pPr>
        <w:jc w:val="both"/>
        <w:rPr>
          <w:sz w:val="22"/>
        </w:rPr>
      </w:pPr>
    </w:p>
    <w:p w:rsidR="0042330B" w:rsidRDefault="00AD4909" w:rsidP="0042330B">
      <w:pPr>
        <w:jc w:val="both"/>
        <w:rPr>
          <w:sz w:val="22"/>
        </w:rPr>
      </w:pPr>
      <w:r>
        <w:rPr>
          <w:sz w:val="22"/>
        </w:rPr>
        <w:t>Οι δαπάνες</w:t>
      </w:r>
      <w:r w:rsidR="0042330B">
        <w:rPr>
          <w:sz w:val="22"/>
        </w:rPr>
        <w:t xml:space="preserve"> εκτιμάται ότι το 2021 θα παρουσιάσουν μείωση κατά 1.046 εκατ. ευρώ σε σχέση με το τρέχον έτος, απεικονίζοντας από τη μία τις μειωμένες μεταβιβάσεις προς τρίτους λόγω της καταβολής των αναδρομικών των συντάξεων εντός του 2020 και από την άλλη την αύξηση της συνταξιοδοτι</w:t>
      </w:r>
      <w:r w:rsidR="007627B2">
        <w:rPr>
          <w:sz w:val="22"/>
        </w:rPr>
        <w:t>κής δαπάνης κατά 499 εκατ. ευρώ, η οποία κυρίως οφείλεται στην εκκαθάριση εκκρεμών αιτήσεων σ</w:t>
      </w:r>
      <w:r w:rsidR="007627B2">
        <w:rPr>
          <w:sz w:val="22"/>
        </w:rPr>
        <w:t>υ</w:t>
      </w:r>
      <w:r w:rsidR="007627B2">
        <w:rPr>
          <w:sz w:val="22"/>
        </w:rPr>
        <w:t>νταξιοδότησης εντός του 2021.</w:t>
      </w:r>
      <w:r w:rsidR="0042330B">
        <w:rPr>
          <w:sz w:val="22"/>
        </w:rPr>
        <w:t xml:space="preserve"> </w:t>
      </w:r>
    </w:p>
    <w:p w:rsidR="0042330B" w:rsidRPr="00FA3852" w:rsidRDefault="0042330B" w:rsidP="0042330B">
      <w:pPr>
        <w:jc w:val="both"/>
        <w:rPr>
          <w:sz w:val="22"/>
        </w:rPr>
      </w:pPr>
    </w:p>
    <w:p w:rsidR="0042330B" w:rsidRPr="00FA3852" w:rsidRDefault="0042330B" w:rsidP="0042330B">
      <w:pPr>
        <w:spacing w:line="235" w:lineRule="auto"/>
        <w:rPr>
          <w:rFonts w:ascii="Arial Narrow" w:hAnsi="Arial Narrow"/>
          <w:b/>
        </w:rPr>
      </w:pPr>
      <w:r w:rsidRPr="00FA3852">
        <w:rPr>
          <w:rFonts w:ascii="Arial Narrow" w:hAnsi="Arial Narrow"/>
          <w:b/>
        </w:rPr>
        <w:t>Οργανισμός Απασχόλησης Εργατικού Δυναμικού (ΟΑΕΔ)</w:t>
      </w:r>
    </w:p>
    <w:p w:rsidR="0042330B" w:rsidRPr="00FA3852" w:rsidRDefault="0042330B" w:rsidP="0042330B">
      <w:pPr>
        <w:jc w:val="both"/>
        <w:rPr>
          <w:sz w:val="22"/>
        </w:rPr>
      </w:pPr>
    </w:p>
    <w:p w:rsidR="003C79F3" w:rsidRPr="006246DF" w:rsidRDefault="003C79F3" w:rsidP="003C79F3">
      <w:pPr>
        <w:jc w:val="both"/>
        <w:rPr>
          <w:sz w:val="22"/>
        </w:rPr>
      </w:pPr>
      <w:r w:rsidRPr="006246DF">
        <w:rPr>
          <w:sz w:val="22"/>
        </w:rPr>
        <w:t>Το ισοζύγιο του Οργανισμού Απασχόλησης Εργατικού Δυναμικού (ΟΑΕΔ) για το 202</w:t>
      </w:r>
      <w:r>
        <w:rPr>
          <w:sz w:val="22"/>
        </w:rPr>
        <w:t>1</w:t>
      </w:r>
      <w:r w:rsidRPr="006246DF">
        <w:rPr>
          <w:sz w:val="22"/>
        </w:rPr>
        <w:t xml:space="preserve"> εκτιμάται ότι θα ανέλθει σε πλεόνασμα ύψους </w:t>
      </w:r>
      <w:r>
        <w:rPr>
          <w:sz w:val="22"/>
        </w:rPr>
        <w:t>91</w:t>
      </w:r>
      <w:r w:rsidRPr="006246DF">
        <w:rPr>
          <w:b/>
          <w:sz w:val="22"/>
        </w:rPr>
        <w:t xml:space="preserve"> </w:t>
      </w:r>
      <w:r w:rsidRPr="006246DF">
        <w:rPr>
          <w:sz w:val="22"/>
        </w:rPr>
        <w:t xml:space="preserve">εκατ. ευρώ, </w:t>
      </w:r>
      <w:r>
        <w:rPr>
          <w:sz w:val="22"/>
        </w:rPr>
        <w:t xml:space="preserve">έναντι </w:t>
      </w:r>
      <w:r w:rsidR="00AD4909">
        <w:rPr>
          <w:sz w:val="22"/>
        </w:rPr>
        <w:t xml:space="preserve">της εκτίμησης </w:t>
      </w:r>
      <w:r>
        <w:rPr>
          <w:sz w:val="22"/>
        </w:rPr>
        <w:t>για έλλειμμα ύψους 720 εκατ. ευρώ το 2020, παρουσιάζοντας βελτίωση κατά 811 εκατ. ευρώ</w:t>
      </w:r>
    </w:p>
    <w:p w:rsidR="003C79F3" w:rsidRDefault="003C79F3" w:rsidP="003C79F3">
      <w:pPr>
        <w:jc w:val="both"/>
        <w:rPr>
          <w:sz w:val="22"/>
        </w:rPr>
      </w:pPr>
      <w:r>
        <w:rPr>
          <w:sz w:val="22"/>
        </w:rPr>
        <w:t>Το έλλειμμα για το 2020 οφείλεται στην υλοποίηση και χρηματοδότηση παρεμβάσεων για την πρ</w:t>
      </w:r>
      <w:r>
        <w:rPr>
          <w:sz w:val="22"/>
        </w:rPr>
        <w:t>ο</w:t>
      </w:r>
      <w:r>
        <w:rPr>
          <w:sz w:val="22"/>
        </w:rPr>
        <w:t xml:space="preserve">στασία των ανέργων που επλήγησαν από την πανδημία </w:t>
      </w:r>
      <w:r w:rsidR="00030AFE">
        <w:rPr>
          <w:sz w:val="22"/>
          <w:lang w:val="en-US"/>
        </w:rPr>
        <w:t>Covid</w:t>
      </w:r>
      <w:r w:rsidR="00030AFE">
        <w:rPr>
          <w:sz w:val="22"/>
        </w:rPr>
        <w:t>-</w:t>
      </w:r>
      <w:r w:rsidRPr="006B79C7">
        <w:rPr>
          <w:sz w:val="22"/>
        </w:rPr>
        <w:t xml:space="preserve">19 </w:t>
      </w:r>
      <w:r>
        <w:rPr>
          <w:sz w:val="22"/>
        </w:rPr>
        <w:t xml:space="preserve">εκτιμώμενου ύψους 932 εκατ. ευρώ. </w:t>
      </w:r>
    </w:p>
    <w:p w:rsidR="003C79F3" w:rsidRDefault="003C79F3" w:rsidP="003C79F3">
      <w:pPr>
        <w:jc w:val="both"/>
        <w:rPr>
          <w:sz w:val="22"/>
        </w:rPr>
      </w:pPr>
    </w:p>
    <w:p w:rsidR="003C79F3" w:rsidRDefault="003C79F3" w:rsidP="003C79F3">
      <w:pPr>
        <w:jc w:val="both"/>
        <w:rPr>
          <w:sz w:val="22"/>
        </w:rPr>
      </w:pPr>
      <w:r>
        <w:rPr>
          <w:sz w:val="22"/>
        </w:rPr>
        <w:t>Ως προς το σκέλος των εσόδων, οι ασφαλιστικές εισφορές για το 2021, συμπεριλαμβανομένων των εσόδων από τη ρύθμιση οφειλών, αναμένεται να είναι μειωμένες κατά 650 εκατ. ευρώ σε σχέση με το 2020. Η μείωση αυτή οφείλ</w:t>
      </w:r>
      <w:r w:rsidR="00030AFE">
        <w:rPr>
          <w:sz w:val="22"/>
        </w:rPr>
        <w:t>εται κυρίως στην εφαρμογή από 1/1/</w:t>
      </w:r>
      <w:r>
        <w:rPr>
          <w:sz w:val="22"/>
        </w:rPr>
        <w:t xml:space="preserve">2021 του μέτρου της μείωσης κατά τρεις ποσοστιαίες μονάδες των ασφαλιστικών εισφορών των μισθωτών του ιδιωτικού τομέα με </w:t>
      </w:r>
      <w:r w:rsidR="003D65BF">
        <w:rPr>
          <w:sz w:val="22"/>
        </w:rPr>
        <w:t>συν</w:t>
      </w:r>
      <w:r w:rsidR="003D65BF">
        <w:rPr>
          <w:sz w:val="22"/>
        </w:rPr>
        <w:t>ο</w:t>
      </w:r>
      <w:r w:rsidR="003D65BF">
        <w:rPr>
          <w:sz w:val="22"/>
        </w:rPr>
        <w:t xml:space="preserve">λικό </w:t>
      </w:r>
      <w:r>
        <w:rPr>
          <w:sz w:val="22"/>
        </w:rPr>
        <w:t>κόστος 816 εκατ. ευρώ</w:t>
      </w:r>
      <w:r w:rsidR="003D65BF">
        <w:rPr>
          <w:sz w:val="22"/>
        </w:rPr>
        <w:t xml:space="preserve"> (συμπεριλαμβανομένης και της απώλειας στον </w:t>
      </w:r>
      <w:r w:rsidR="003D65BF">
        <w:rPr>
          <w:sz w:val="22"/>
          <w:lang w:val="en-US"/>
        </w:rPr>
        <w:t>e</w:t>
      </w:r>
      <w:r w:rsidR="00687ED4" w:rsidRPr="00687ED4">
        <w:rPr>
          <w:sz w:val="22"/>
        </w:rPr>
        <w:t>-</w:t>
      </w:r>
      <w:r w:rsidR="003D65BF">
        <w:rPr>
          <w:sz w:val="22"/>
        </w:rPr>
        <w:t>ΕΦΚΑ)</w:t>
      </w:r>
      <w:r>
        <w:rPr>
          <w:sz w:val="22"/>
        </w:rPr>
        <w:t xml:space="preserve">, </w:t>
      </w:r>
      <w:r w:rsidRPr="00C276FD">
        <w:rPr>
          <w:sz w:val="22"/>
        </w:rPr>
        <w:t xml:space="preserve">στο πλαίσιο των παρεμβάσεων για την αντιμετώπιση των συνεπειών της πανδημίας </w:t>
      </w:r>
      <w:r w:rsidR="00030AFE" w:rsidRPr="00C276FD">
        <w:rPr>
          <w:sz w:val="22"/>
          <w:lang w:val="en-US"/>
        </w:rPr>
        <w:t>Covid</w:t>
      </w:r>
      <w:r w:rsidR="00030AFE">
        <w:rPr>
          <w:sz w:val="22"/>
        </w:rPr>
        <w:t>-</w:t>
      </w:r>
      <w:r w:rsidRPr="00C276FD">
        <w:rPr>
          <w:sz w:val="22"/>
        </w:rPr>
        <w:t>19</w:t>
      </w:r>
      <w:r>
        <w:rPr>
          <w:sz w:val="22"/>
        </w:rPr>
        <w:t xml:space="preserve">. </w:t>
      </w:r>
    </w:p>
    <w:p w:rsidR="003C79F3" w:rsidRDefault="003C79F3" w:rsidP="003C79F3">
      <w:pPr>
        <w:jc w:val="both"/>
        <w:rPr>
          <w:sz w:val="22"/>
        </w:rPr>
      </w:pPr>
    </w:p>
    <w:p w:rsidR="003C79F3" w:rsidRPr="00C276FD" w:rsidRDefault="003C79F3" w:rsidP="003C79F3">
      <w:pPr>
        <w:jc w:val="both"/>
        <w:rPr>
          <w:sz w:val="22"/>
        </w:rPr>
      </w:pPr>
      <w:r w:rsidRPr="00C276FD">
        <w:rPr>
          <w:sz w:val="22"/>
        </w:rPr>
        <w:t>Για την αναπλήρωση των εσόδων αυτών, έχει προβλεφθεί στον προϋπολογισμό του Υπουργείου Ε</w:t>
      </w:r>
      <w:r w:rsidRPr="00C276FD">
        <w:rPr>
          <w:sz w:val="22"/>
        </w:rPr>
        <w:t>ρ</w:t>
      </w:r>
      <w:r w:rsidRPr="00C276FD">
        <w:rPr>
          <w:sz w:val="22"/>
        </w:rPr>
        <w:t>γασίας &amp; Κοινωνικών Υποθέσεων έτους 2021 ισόποση (816 εκατ. ευρώ) μεταβίβαση προς τους Ο</w:t>
      </w:r>
      <w:r>
        <w:rPr>
          <w:sz w:val="22"/>
        </w:rPr>
        <w:t>ρ</w:t>
      </w:r>
      <w:r>
        <w:rPr>
          <w:sz w:val="22"/>
        </w:rPr>
        <w:t>γανισμούς Κοινωνικής Ασφάλισης και ειδικότερα: το ποσό των 571,2 εκατ. ευρώ θα δοθεί ως επιχ</w:t>
      </w:r>
      <w:r>
        <w:rPr>
          <w:sz w:val="22"/>
        </w:rPr>
        <w:t>ο</w:t>
      </w:r>
      <w:r>
        <w:rPr>
          <w:sz w:val="22"/>
        </w:rPr>
        <w:t>ρήγηση προς τον ΟΑΕΔ</w:t>
      </w:r>
      <w:r w:rsidR="00030AFE">
        <w:rPr>
          <w:sz w:val="22"/>
        </w:rPr>
        <w:t>,</w:t>
      </w:r>
      <w:r>
        <w:rPr>
          <w:sz w:val="22"/>
        </w:rPr>
        <w:t xml:space="preserve"> </w:t>
      </w:r>
      <w:r w:rsidR="00E6597E">
        <w:rPr>
          <w:sz w:val="22"/>
        </w:rPr>
        <w:t xml:space="preserve">καλύπτοντας την καθαρή απώλεια εσόδων για τον Οργανισμό, </w:t>
      </w:r>
      <w:r>
        <w:rPr>
          <w:sz w:val="22"/>
        </w:rPr>
        <w:t xml:space="preserve">ενώ ποσό ύψους 244,8 εκατ. ευρώ που θα έπρεπε να επιστραφεί από τον ΟΑΕΔ στον </w:t>
      </w:r>
      <w:r>
        <w:rPr>
          <w:sz w:val="22"/>
          <w:lang w:val="en-US"/>
        </w:rPr>
        <w:t>e</w:t>
      </w:r>
      <w:r w:rsidRPr="00C276FD">
        <w:rPr>
          <w:sz w:val="22"/>
        </w:rPr>
        <w:t>-</w:t>
      </w:r>
      <w:r>
        <w:rPr>
          <w:sz w:val="22"/>
        </w:rPr>
        <w:t xml:space="preserve">ΕΦΚΑ ως κοινωνικός πόρος </w:t>
      </w:r>
      <w:r w:rsidR="00F46090" w:rsidRPr="00F46090">
        <w:rPr>
          <w:sz w:val="22"/>
        </w:rPr>
        <w:t xml:space="preserve">του άρθρου 42 του </w:t>
      </w:r>
      <w:r w:rsidRPr="00F46090">
        <w:rPr>
          <w:sz w:val="22"/>
        </w:rPr>
        <w:t>ν</w:t>
      </w:r>
      <w:r w:rsidR="00F46090" w:rsidRPr="00F46090">
        <w:rPr>
          <w:sz w:val="22"/>
        </w:rPr>
        <w:t>.</w:t>
      </w:r>
      <w:r w:rsidR="00F46090">
        <w:rPr>
          <w:sz w:val="22"/>
        </w:rPr>
        <w:t xml:space="preserve"> 3863/10</w:t>
      </w:r>
      <w:r>
        <w:rPr>
          <w:sz w:val="22"/>
        </w:rPr>
        <w:t xml:space="preserve"> θα δοθεί απευθείας ως επιχορήγηση στον </w:t>
      </w:r>
      <w:r>
        <w:rPr>
          <w:sz w:val="22"/>
          <w:lang w:val="en-US"/>
        </w:rPr>
        <w:t>e</w:t>
      </w:r>
      <w:r w:rsidRPr="00C276FD">
        <w:rPr>
          <w:sz w:val="22"/>
        </w:rPr>
        <w:t>-</w:t>
      </w:r>
      <w:r>
        <w:rPr>
          <w:sz w:val="22"/>
        </w:rPr>
        <w:t xml:space="preserve">ΕΦΚΑ.  </w:t>
      </w:r>
    </w:p>
    <w:p w:rsidR="003C79F3" w:rsidRPr="006B79C7" w:rsidRDefault="003C79F3" w:rsidP="003C79F3">
      <w:pPr>
        <w:jc w:val="both"/>
        <w:rPr>
          <w:sz w:val="22"/>
        </w:rPr>
      </w:pPr>
    </w:p>
    <w:p w:rsidR="003C79F3" w:rsidRDefault="003C79F3" w:rsidP="003C79F3">
      <w:pPr>
        <w:jc w:val="both"/>
        <w:rPr>
          <w:sz w:val="22"/>
        </w:rPr>
      </w:pPr>
      <w:r>
        <w:rPr>
          <w:sz w:val="22"/>
        </w:rPr>
        <w:t xml:space="preserve">Στο σκέλος των </w:t>
      </w:r>
      <w:r w:rsidR="003D65BF">
        <w:rPr>
          <w:sz w:val="22"/>
        </w:rPr>
        <w:t xml:space="preserve">δαπανών </w:t>
      </w:r>
      <w:r w:rsidR="00040347">
        <w:rPr>
          <w:sz w:val="22"/>
        </w:rPr>
        <w:t>προβλέπεται ότι</w:t>
      </w:r>
      <w:r>
        <w:rPr>
          <w:sz w:val="22"/>
        </w:rPr>
        <w:t xml:space="preserve"> θα παρουσιαστεί μείωση κατά 972 εκατ. ευρώ σε σχέση με το 2020, κυρίως λόγω της ανάγκης εφαρμογής λιγότερων μέτρων στήριξης των ανέργων εντός του 2021</w:t>
      </w:r>
      <w:r w:rsidR="00040347">
        <w:rPr>
          <w:sz w:val="22"/>
        </w:rPr>
        <w:t xml:space="preserve"> εξαιτίας της αναμενόμενης ανάσχεσης της πανδημίας</w:t>
      </w:r>
      <w:r>
        <w:rPr>
          <w:sz w:val="22"/>
        </w:rPr>
        <w:t>. Εκτιμάται ωστόσο ότι η δαπάνη για την εφαρμογή ενεργητικών πολιτικών απασχόλησης θα είναι αυξημένη κατά 47 εκατ. ευρώ.</w:t>
      </w:r>
    </w:p>
    <w:p w:rsidR="0042330B" w:rsidRDefault="0042330B" w:rsidP="0042330B">
      <w:pPr>
        <w:jc w:val="both"/>
        <w:rPr>
          <w:sz w:val="22"/>
        </w:rPr>
      </w:pPr>
    </w:p>
    <w:p w:rsidR="0042330B" w:rsidRPr="00FA3852" w:rsidRDefault="0042330B" w:rsidP="0042330B">
      <w:pPr>
        <w:spacing w:line="235" w:lineRule="auto"/>
        <w:rPr>
          <w:rFonts w:ascii="Arial Narrow" w:hAnsi="Arial Narrow"/>
          <w:b/>
        </w:rPr>
      </w:pPr>
      <w:r w:rsidRPr="00FA3852">
        <w:rPr>
          <w:rFonts w:ascii="Arial Narrow" w:hAnsi="Arial Narrow"/>
          <w:b/>
        </w:rPr>
        <w:t>Εθνικός Οργανισμός Παροχής Υπηρεσιών Υγείας (ΕΟΠΥΥ)</w:t>
      </w:r>
    </w:p>
    <w:p w:rsidR="0042330B" w:rsidRPr="00FA3852" w:rsidRDefault="0042330B" w:rsidP="0042330B">
      <w:pPr>
        <w:jc w:val="both"/>
        <w:rPr>
          <w:b/>
          <w:i/>
          <w:sz w:val="22"/>
        </w:rPr>
      </w:pPr>
    </w:p>
    <w:p w:rsidR="00030AFE" w:rsidRPr="00E85913" w:rsidRDefault="00030AFE" w:rsidP="00030AFE">
      <w:pPr>
        <w:jc w:val="both"/>
        <w:rPr>
          <w:sz w:val="22"/>
        </w:rPr>
      </w:pPr>
      <w:r w:rsidRPr="00E85913">
        <w:rPr>
          <w:sz w:val="22"/>
        </w:rPr>
        <w:t>Το ισοζύγιο του ΕΟΠΥΥ για το οικονομικό έτος 2020 εκτιμάται ότι θα ανέλθει σε πλεόνασμα ύψους 263 εκατ. ευρώ</w:t>
      </w:r>
      <w:r w:rsidR="003D65BF">
        <w:rPr>
          <w:sz w:val="22"/>
        </w:rPr>
        <w:t>,</w:t>
      </w:r>
      <w:r w:rsidRPr="00E85913">
        <w:rPr>
          <w:sz w:val="22"/>
        </w:rPr>
        <w:t xml:space="preserve"> ενώ για το 2021 προβλέπεται </w:t>
      </w:r>
      <w:r w:rsidR="003D65BF">
        <w:rPr>
          <w:sz w:val="22"/>
        </w:rPr>
        <w:t>να διαμορφωθεί στα</w:t>
      </w:r>
      <w:r w:rsidRPr="00E85913">
        <w:rPr>
          <w:sz w:val="22"/>
        </w:rPr>
        <w:t xml:space="preserve"> 248 εκατ. </w:t>
      </w:r>
      <w:r w:rsidR="00040347">
        <w:rPr>
          <w:sz w:val="22"/>
        </w:rPr>
        <w:t>ευρώ.</w:t>
      </w:r>
    </w:p>
    <w:p w:rsidR="00030AFE" w:rsidRPr="00E85913" w:rsidRDefault="00030AFE" w:rsidP="00030AFE">
      <w:pPr>
        <w:jc w:val="both"/>
        <w:rPr>
          <w:sz w:val="22"/>
        </w:rPr>
      </w:pPr>
    </w:p>
    <w:p w:rsidR="00030AFE" w:rsidRPr="00E85913" w:rsidRDefault="00030AFE" w:rsidP="00030AFE">
      <w:pPr>
        <w:jc w:val="both"/>
        <w:rPr>
          <w:sz w:val="22"/>
        </w:rPr>
      </w:pPr>
      <w:r w:rsidRPr="00E85913">
        <w:rPr>
          <w:sz w:val="22"/>
        </w:rPr>
        <w:t>Τα έσοδα του φορέα εκτιμάται ότι θα παρουσιάσουν μείωση κατά 57 εκατ. ευρώ σε σχέση με το 2020.   Η μεταβολή αυτή οφείλεται από τη μία στην αναμενόμενη αύξηση των εσόδων από ασφαλιστικές ε</w:t>
      </w:r>
      <w:r w:rsidRPr="00E85913">
        <w:rPr>
          <w:sz w:val="22"/>
        </w:rPr>
        <w:t>ι</w:t>
      </w:r>
      <w:r w:rsidRPr="00E85913">
        <w:rPr>
          <w:sz w:val="22"/>
        </w:rPr>
        <w:t>σφορές, συμπεριλαμβανομένων των εσόδων από ρυθμίσεις οφειλών, κατά 255 εκατ. ευρώ ως  αποτ</w:t>
      </w:r>
      <w:r w:rsidRPr="00E85913">
        <w:rPr>
          <w:sz w:val="22"/>
        </w:rPr>
        <w:t>έ</w:t>
      </w:r>
      <w:r w:rsidRPr="00E85913">
        <w:rPr>
          <w:sz w:val="22"/>
        </w:rPr>
        <w:t xml:space="preserve">λεσμα της επανεκκίνησης της οικονομικής δραστηριότητας και της ενίσχυσης της απασχόλησης και από την άλλη στη μείωση των μεταβιβάσεων από το κράτος κατά 308 εκατ. ευρώ.  </w:t>
      </w:r>
    </w:p>
    <w:p w:rsidR="00030AFE" w:rsidRPr="00E85913" w:rsidRDefault="00030AFE" w:rsidP="00030AFE">
      <w:pPr>
        <w:jc w:val="both"/>
        <w:rPr>
          <w:sz w:val="22"/>
        </w:rPr>
      </w:pPr>
    </w:p>
    <w:p w:rsidR="00030AFE" w:rsidRPr="00E85913" w:rsidRDefault="00030AFE" w:rsidP="00030AFE">
      <w:pPr>
        <w:jc w:val="both"/>
        <w:rPr>
          <w:sz w:val="22"/>
        </w:rPr>
      </w:pPr>
      <w:r w:rsidRPr="00E85913">
        <w:rPr>
          <w:sz w:val="22"/>
        </w:rPr>
        <w:t>Ειδικότερα, εκτιμάται ότι το ύψος των πρόσθετων επιχο</w:t>
      </w:r>
      <w:r>
        <w:rPr>
          <w:sz w:val="22"/>
        </w:rPr>
        <w:t>ρηγήσεων που θα εισπράξει ο ΕΟΠΥ</w:t>
      </w:r>
      <w:r w:rsidRPr="00E85913">
        <w:rPr>
          <w:sz w:val="22"/>
        </w:rPr>
        <w:t xml:space="preserve">Υ εντός του 2020 θα ανέλθει σε 500 εκατ. ευρώ περίπου, γεγονός που οφείλεται στην ανάγκη αποκατάστασης της απαιτούμενης ταμειακής ρευστότητας που προκλήθηκε από τη μείωση των εσόδων του από </w:t>
      </w:r>
      <w:r w:rsidRPr="00E85913">
        <w:rPr>
          <w:sz w:val="22"/>
        </w:rPr>
        <w:t>α</w:t>
      </w:r>
      <w:r w:rsidRPr="00E85913">
        <w:rPr>
          <w:sz w:val="22"/>
        </w:rPr>
        <w:t xml:space="preserve">σφαλιστικές εισφορές εν μέσω πανδημίας, στην εξαίρεση </w:t>
      </w:r>
      <w:r w:rsidR="004671D7" w:rsidRPr="00E85913">
        <w:rPr>
          <w:sz w:val="22"/>
        </w:rPr>
        <w:t xml:space="preserve">από το όριο της φαρμακευτικής δαπάνης </w:t>
      </w:r>
      <w:r w:rsidRPr="00E85913">
        <w:rPr>
          <w:sz w:val="22"/>
        </w:rPr>
        <w:t xml:space="preserve">της δαπάνης των εμβολίων που εντάσσονται στο πρόγραμμα εθνικού εμβολιασμού με δημοσιονομικό κόστος 100 εκατ. ευρώ για το 2020 και την κάλυψη της δαπάνης συμψηφισμού του </w:t>
      </w:r>
      <w:r w:rsidRPr="00E85913">
        <w:rPr>
          <w:sz w:val="22"/>
          <w:lang w:val="en-US"/>
        </w:rPr>
        <w:t>clawback</w:t>
      </w:r>
      <w:r w:rsidRPr="00E85913">
        <w:rPr>
          <w:sz w:val="22"/>
        </w:rPr>
        <w:t xml:space="preserve"> της φαρμακευτικής δαπάνης με ποσοστά επί των δαπανών έρευνας και ανάπτυξης (άρθρο 11 του ν. 4052/2012, όπως τροποποιήθηκε και ισχύει).</w:t>
      </w:r>
    </w:p>
    <w:p w:rsidR="00030AFE" w:rsidRPr="00E85913" w:rsidRDefault="00030AFE" w:rsidP="00030AFE">
      <w:pPr>
        <w:jc w:val="both"/>
        <w:rPr>
          <w:sz w:val="22"/>
        </w:rPr>
      </w:pPr>
    </w:p>
    <w:p w:rsidR="00030AFE" w:rsidRPr="00E85913" w:rsidRDefault="00030AFE" w:rsidP="00030AFE">
      <w:pPr>
        <w:jc w:val="both"/>
        <w:rPr>
          <w:sz w:val="22"/>
        </w:rPr>
      </w:pPr>
      <w:r w:rsidRPr="00E85913">
        <w:rPr>
          <w:sz w:val="22"/>
        </w:rPr>
        <w:t>Για το 2021, η επιχορήγηση του ΕΟΠΥΥ εκτιμάται ότι θα ανέλθει σε 300 εκατ. ευρώ</w:t>
      </w:r>
      <w:r w:rsidR="004671D7">
        <w:rPr>
          <w:sz w:val="22"/>
        </w:rPr>
        <w:t>,</w:t>
      </w:r>
      <w:r w:rsidRPr="00E85913">
        <w:rPr>
          <w:sz w:val="22"/>
        </w:rPr>
        <w:t xml:space="preserve"> προκειμένου να καλυφθεί η εξαίρεση </w:t>
      </w:r>
      <w:r w:rsidR="004671D7" w:rsidRPr="00E85913">
        <w:rPr>
          <w:sz w:val="22"/>
        </w:rPr>
        <w:t xml:space="preserve">από το όριο της φαρμακευτικής δαπάνης </w:t>
      </w:r>
      <w:r w:rsidRPr="00E85913">
        <w:rPr>
          <w:sz w:val="22"/>
        </w:rPr>
        <w:t>της δαπάνης των εμβολίων που εντά</w:t>
      </w:r>
      <w:r w:rsidRPr="00E85913">
        <w:rPr>
          <w:sz w:val="22"/>
        </w:rPr>
        <w:t>σ</w:t>
      </w:r>
      <w:r w:rsidRPr="00E85913">
        <w:rPr>
          <w:sz w:val="22"/>
        </w:rPr>
        <w:t>σονται στο πρόγραμμα εθνικού εμβολιασμού με δημοσιονομικό κόστος 170 εκατ. ευρώ.</w:t>
      </w:r>
    </w:p>
    <w:p w:rsidR="00030AFE" w:rsidRPr="00E85913" w:rsidRDefault="00030AFE" w:rsidP="00030AFE">
      <w:pPr>
        <w:jc w:val="both"/>
        <w:rPr>
          <w:sz w:val="22"/>
        </w:rPr>
      </w:pPr>
    </w:p>
    <w:p w:rsidR="00030AFE" w:rsidRPr="00E85913" w:rsidRDefault="00030AFE" w:rsidP="00030AFE">
      <w:pPr>
        <w:jc w:val="both"/>
        <w:rPr>
          <w:sz w:val="22"/>
        </w:rPr>
      </w:pPr>
      <w:r w:rsidRPr="00E85913">
        <w:rPr>
          <w:sz w:val="22"/>
        </w:rPr>
        <w:t>Παράλληλα, επισημαίνεται η συνεχιζόμενη προσπάθεια μείωσης του ύψους των απλήρωτων υπ</w:t>
      </w:r>
      <w:r w:rsidRPr="00E85913">
        <w:rPr>
          <w:sz w:val="22"/>
        </w:rPr>
        <w:t>ο</w:t>
      </w:r>
      <w:r w:rsidRPr="00E85913">
        <w:rPr>
          <w:sz w:val="22"/>
        </w:rPr>
        <w:t>χρεώσεων του Οργανισμού προς τρίτους, μέσω της επιτάχυνσης των πληρωμών από τα ταμειακά δι</w:t>
      </w:r>
      <w:r w:rsidRPr="00E85913">
        <w:rPr>
          <w:sz w:val="22"/>
        </w:rPr>
        <w:t>α</w:t>
      </w:r>
      <w:r w:rsidRPr="00E85913">
        <w:rPr>
          <w:sz w:val="22"/>
        </w:rPr>
        <w:t>θέσιμα και του συμψηφισμού υποχρεώσεων με οφειλόμενα ποσά από τους μηχανισμούς αυτόματων επιστροφών και εκπτώσεων (clawback και rebate).</w:t>
      </w:r>
    </w:p>
    <w:p w:rsidR="00030AFE" w:rsidRPr="00E85913" w:rsidRDefault="00030AFE" w:rsidP="00030AFE">
      <w:pPr>
        <w:jc w:val="both"/>
        <w:rPr>
          <w:sz w:val="22"/>
        </w:rPr>
      </w:pPr>
    </w:p>
    <w:p w:rsidR="00030AFE" w:rsidRDefault="00030AFE" w:rsidP="00030AFE">
      <w:pPr>
        <w:jc w:val="both"/>
        <w:rPr>
          <w:sz w:val="22"/>
        </w:rPr>
      </w:pPr>
      <w:r w:rsidRPr="00E85913">
        <w:rPr>
          <w:sz w:val="22"/>
        </w:rPr>
        <w:t>Τέλος, σημειώνεται ότι τα επιτρεπόμενα όρια της φαρμακευτικής δαπάνης και της δαπάνης των παρ</w:t>
      </w:r>
      <w:r w:rsidRPr="00E85913">
        <w:rPr>
          <w:sz w:val="22"/>
        </w:rPr>
        <w:t>ό</w:t>
      </w:r>
      <w:r w:rsidRPr="00E85913">
        <w:rPr>
          <w:sz w:val="22"/>
        </w:rPr>
        <w:t>χων υγείας σε δεδουλευμένη βάση για το έτος 2021 παραμένουν σταθερά σε σχέση με το 2020 και δ</w:t>
      </w:r>
      <w:r w:rsidRPr="00E85913">
        <w:rPr>
          <w:sz w:val="22"/>
        </w:rPr>
        <w:t>ι</w:t>
      </w:r>
      <w:r w:rsidRPr="00E85913">
        <w:rPr>
          <w:sz w:val="22"/>
        </w:rPr>
        <w:t>αμορφώνονται σε 2.088 εκατ. ευρώ (εκ των οποίων 87 εκ</w:t>
      </w:r>
      <w:r w:rsidR="00B90E33">
        <w:rPr>
          <w:sz w:val="22"/>
        </w:rPr>
        <w:t>ατ. ευρώ</w:t>
      </w:r>
      <w:r w:rsidRPr="00E85913">
        <w:rPr>
          <w:sz w:val="22"/>
        </w:rPr>
        <w:t xml:space="preserve"> για τη νοσοκομειακή φαρμακευτ</w:t>
      </w:r>
      <w:r w:rsidRPr="00E85913">
        <w:rPr>
          <w:sz w:val="22"/>
        </w:rPr>
        <w:t>ι</w:t>
      </w:r>
      <w:r w:rsidRPr="00E85913">
        <w:rPr>
          <w:sz w:val="22"/>
        </w:rPr>
        <w:t>κή δα</w:t>
      </w:r>
      <w:r w:rsidR="00B90E33">
        <w:rPr>
          <w:sz w:val="22"/>
        </w:rPr>
        <w:t>πάνη και 2.001 εκατ. ευρώ</w:t>
      </w:r>
      <w:r w:rsidRPr="00E85913">
        <w:rPr>
          <w:sz w:val="22"/>
        </w:rPr>
        <w:t xml:space="preserve"> για τη λοιπή φαρμακευτική δαπάνη του ΕΟΠΥΥ) και 1.553 εκατ. ευρώ αντίστοιχα.  </w:t>
      </w:r>
    </w:p>
    <w:p w:rsidR="005A601E" w:rsidRPr="00E85913" w:rsidRDefault="005A601E" w:rsidP="00030AFE">
      <w:pPr>
        <w:jc w:val="both"/>
        <w:rPr>
          <w:sz w:val="22"/>
        </w:rPr>
      </w:pPr>
    </w:p>
    <w:p w:rsidR="0042330B" w:rsidRPr="00FA3852" w:rsidRDefault="0042330B" w:rsidP="0042330B">
      <w:pPr>
        <w:spacing w:line="235" w:lineRule="auto"/>
        <w:rPr>
          <w:rFonts w:ascii="Arial Narrow" w:hAnsi="Arial Narrow"/>
          <w:b/>
        </w:rPr>
      </w:pPr>
      <w:r w:rsidRPr="00FA3852">
        <w:rPr>
          <w:rFonts w:ascii="Arial Narrow" w:hAnsi="Arial Narrow"/>
          <w:b/>
        </w:rPr>
        <w:t>ΟΠΕΚΑ – ΝΑΤ</w:t>
      </w:r>
    </w:p>
    <w:p w:rsidR="0042330B" w:rsidRPr="00FA3852" w:rsidRDefault="0042330B" w:rsidP="0042330B">
      <w:pPr>
        <w:jc w:val="both"/>
        <w:rPr>
          <w:b/>
          <w:i/>
          <w:sz w:val="22"/>
        </w:rPr>
      </w:pPr>
    </w:p>
    <w:p w:rsidR="00B47763" w:rsidRPr="00060876" w:rsidRDefault="00B47763" w:rsidP="00B47763">
      <w:pPr>
        <w:jc w:val="both"/>
        <w:rPr>
          <w:sz w:val="22"/>
        </w:rPr>
      </w:pPr>
      <w:r w:rsidRPr="00060876">
        <w:rPr>
          <w:sz w:val="22"/>
        </w:rPr>
        <w:t>Το ισοζύγιο του Οργανισμού Προνοιακών Επιδομάτων και Κοινωνικής Αλληλεγγύης (ΟΠΕΚΑ) και του Ναυτικού Απομαχικού Ταμείου (ΝΑΤ) για το οικονομικό έτος 2020 εμφανίζεται αρνητικό κατ</w:t>
      </w:r>
      <w:r w:rsidR="00E6597E">
        <w:rPr>
          <w:sz w:val="22"/>
        </w:rPr>
        <w:t>ά 68 εκατ. ευρώ, λόγω κάλυψης της δαπάνης σχολικών γευμάτων από επιχορηγήσεις</w:t>
      </w:r>
      <w:r w:rsidR="00040347">
        <w:rPr>
          <w:sz w:val="22"/>
        </w:rPr>
        <w:t xml:space="preserve"> </w:t>
      </w:r>
      <w:r w:rsidR="00E6597E">
        <w:rPr>
          <w:sz w:val="22"/>
        </w:rPr>
        <w:t xml:space="preserve">προηγούμενων ετών προς τον Οργανισμό. Για </w:t>
      </w:r>
      <w:r w:rsidR="00040347">
        <w:rPr>
          <w:sz w:val="22"/>
        </w:rPr>
        <w:t>το 2021</w:t>
      </w:r>
      <w:r w:rsidRPr="00060876">
        <w:rPr>
          <w:sz w:val="22"/>
        </w:rPr>
        <w:t xml:space="preserve"> </w:t>
      </w:r>
      <w:r w:rsidR="00040347">
        <w:rPr>
          <w:sz w:val="22"/>
        </w:rPr>
        <w:t xml:space="preserve">προβλέπεται </w:t>
      </w:r>
      <w:r w:rsidR="00E6597E">
        <w:rPr>
          <w:sz w:val="22"/>
        </w:rPr>
        <w:t>ότι το ισοζύγιο θα</w:t>
      </w:r>
      <w:r w:rsidRPr="00060876">
        <w:rPr>
          <w:sz w:val="22"/>
        </w:rPr>
        <w:t xml:space="preserve"> είναι αρνητικό κατά 4 εκατ. ευρώ, παρουσιάζοντας βελτίωση ύ</w:t>
      </w:r>
      <w:r w:rsidR="00E6597E">
        <w:rPr>
          <w:sz w:val="22"/>
        </w:rPr>
        <w:t>ψους 64 εκατ. ευρώ σε σχέση με το 2020.</w:t>
      </w:r>
    </w:p>
    <w:p w:rsidR="00B47763" w:rsidRPr="00060876" w:rsidRDefault="00B47763" w:rsidP="00B47763">
      <w:pPr>
        <w:jc w:val="both"/>
        <w:rPr>
          <w:sz w:val="22"/>
        </w:rPr>
      </w:pPr>
    </w:p>
    <w:p w:rsidR="00B47763" w:rsidRPr="00060876" w:rsidRDefault="00B47763" w:rsidP="00B47763">
      <w:pPr>
        <w:jc w:val="both"/>
        <w:rPr>
          <w:sz w:val="22"/>
        </w:rPr>
      </w:pPr>
      <w:r w:rsidRPr="00060876">
        <w:rPr>
          <w:sz w:val="22"/>
        </w:rPr>
        <w:t>Για το 2021 προβλέπεται η συνέχιση της καταβολής των προνοιακών παροχών και οικονομικών εν</w:t>
      </w:r>
      <w:r w:rsidRPr="00060876">
        <w:rPr>
          <w:sz w:val="22"/>
        </w:rPr>
        <w:t>ι</w:t>
      </w:r>
      <w:r w:rsidRPr="00060876">
        <w:rPr>
          <w:sz w:val="22"/>
        </w:rPr>
        <w:t>σχύσεων που έχουν ήδη νομοθετηθεί και υλοποιούνται, όπως:</w:t>
      </w:r>
    </w:p>
    <w:p w:rsidR="00B47763" w:rsidRPr="00060876" w:rsidRDefault="00B47763" w:rsidP="00B47763">
      <w:pPr>
        <w:jc w:val="both"/>
        <w:rPr>
          <w:sz w:val="22"/>
        </w:rPr>
      </w:pPr>
    </w:p>
    <w:p w:rsidR="00B47763" w:rsidRPr="00060876" w:rsidRDefault="00B47763" w:rsidP="00B47763">
      <w:pPr>
        <w:numPr>
          <w:ilvl w:val="0"/>
          <w:numId w:val="15"/>
        </w:numPr>
        <w:ind w:left="284" w:hanging="284"/>
        <w:jc w:val="both"/>
        <w:rPr>
          <w:sz w:val="22"/>
        </w:rPr>
      </w:pPr>
      <w:r w:rsidRPr="00060876">
        <w:rPr>
          <w:sz w:val="22"/>
        </w:rPr>
        <w:t>η παροχή σε ανασφάλιστους υπερήλικες,</w:t>
      </w:r>
    </w:p>
    <w:p w:rsidR="00B47763" w:rsidRPr="00060876" w:rsidRDefault="00B47763" w:rsidP="00B47763">
      <w:pPr>
        <w:numPr>
          <w:ilvl w:val="0"/>
          <w:numId w:val="15"/>
        </w:numPr>
        <w:ind w:left="284" w:hanging="284"/>
        <w:jc w:val="both"/>
        <w:rPr>
          <w:sz w:val="22"/>
        </w:rPr>
      </w:pPr>
      <w:r w:rsidRPr="00060876">
        <w:rPr>
          <w:sz w:val="22"/>
        </w:rPr>
        <w:t>το επίδομα κοινωνικής αλληλεγγύης ανασφάλιστων υπερηλίκων,</w:t>
      </w:r>
    </w:p>
    <w:p w:rsidR="00B47763" w:rsidRPr="00060876" w:rsidRDefault="00B47763" w:rsidP="00B47763">
      <w:pPr>
        <w:numPr>
          <w:ilvl w:val="0"/>
          <w:numId w:val="15"/>
        </w:numPr>
        <w:ind w:left="284" w:hanging="284"/>
        <w:jc w:val="both"/>
        <w:rPr>
          <w:sz w:val="22"/>
        </w:rPr>
      </w:pPr>
      <w:r w:rsidRPr="00060876">
        <w:rPr>
          <w:sz w:val="22"/>
        </w:rPr>
        <w:t>το επίδομα παιδιού,</w:t>
      </w:r>
    </w:p>
    <w:p w:rsidR="00B47763" w:rsidRPr="00060876" w:rsidRDefault="00B47763" w:rsidP="00B47763">
      <w:pPr>
        <w:numPr>
          <w:ilvl w:val="0"/>
          <w:numId w:val="15"/>
        </w:numPr>
        <w:ind w:left="284" w:hanging="284"/>
        <w:jc w:val="both"/>
        <w:rPr>
          <w:sz w:val="22"/>
        </w:rPr>
      </w:pPr>
      <w:r w:rsidRPr="00060876">
        <w:rPr>
          <w:sz w:val="22"/>
        </w:rPr>
        <w:lastRenderedPageBreak/>
        <w:t xml:space="preserve">το ελάχιστο εγγυημένο εισόδημα, </w:t>
      </w:r>
    </w:p>
    <w:p w:rsidR="00B47763" w:rsidRPr="00060876" w:rsidRDefault="00B47763" w:rsidP="00B47763">
      <w:pPr>
        <w:numPr>
          <w:ilvl w:val="0"/>
          <w:numId w:val="15"/>
        </w:numPr>
        <w:ind w:left="284" w:hanging="284"/>
        <w:jc w:val="both"/>
        <w:rPr>
          <w:sz w:val="22"/>
        </w:rPr>
      </w:pPr>
      <w:r w:rsidRPr="00060876">
        <w:rPr>
          <w:sz w:val="22"/>
        </w:rPr>
        <w:t>η επιδότηση στέγασης,</w:t>
      </w:r>
    </w:p>
    <w:p w:rsidR="00B47763" w:rsidRDefault="00B47763" w:rsidP="00B47763">
      <w:pPr>
        <w:numPr>
          <w:ilvl w:val="0"/>
          <w:numId w:val="15"/>
        </w:numPr>
        <w:ind w:left="284" w:hanging="284"/>
        <w:jc w:val="both"/>
        <w:rPr>
          <w:sz w:val="22"/>
        </w:rPr>
      </w:pPr>
      <w:r w:rsidRPr="00060876">
        <w:rPr>
          <w:sz w:val="22"/>
        </w:rPr>
        <w:t>οι προνοιακές παροχές σε χρήμα σε άτομα με αναπηρία,</w:t>
      </w:r>
    </w:p>
    <w:p w:rsidR="00B47763" w:rsidRPr="00060876" w:rsidRDefault="00B47763" w:rsidP="00B47763">
      <w:pPr>
        <w:numPr>
          <w:ilvl w:val="0"/>
          <w:numId w:val="15"/>
        </w:numPr>
        <w:ind w:left="284" w:hanging="284"/>
        <w:jc w:val="both"/>
        <w:rPr>
          <w:sz w:val="22"/>
        </w:rPr>
      </w:pPr>
      <w:r>
        <w:rPr>
          <w:sz w:val="22"/>
        </w:rPr>
        <w:t>η χορήγηση επιδόματος ύψους 2.000 ευρώ για κάθε νέο παιδί που γεννιέται</w:t>
      </w:r>
      <w:r w:rsidRPr="00060876">
        <w:rPr>
          <w:sz w:val="22"/>
        </w:rPr>
        <w:t xml:space="preserve"> και</w:t>
      </w:r>
    </w:p>
    <w:p w:rsidR="00B47763" w:rsidRPr="00060876" w:rsidRDefault="00B47763" w:rsidP="00B47763">
      <w:pPr>
        <w:numPr>
          <w:ilvl w:val="0"/>
          <w:numId w:val="15"/>
        </w:numPr>
        <w:ind w:left="284" w:hanging="284"/>
        <w:jc w:val="both"/>
        <w:rPr>
          <w:sz w:val="22"/>
        </w:rPr>
      </w:pPr>
      <w:r w:rsidRPr="00060876">
        <w:rPr>
          <w:sz w:val="22"/>
        </w:rPr>
        <w:t>λοιπά προγράμματα και δράσεις που αφορούν προνοιακές πολιτικές.</w:t>
      </w:r>
    </w:p>
    <w:p w:rsidR="00B47763" w:rsidRPr="003C708C" w:rsidRDefault="00B47763" w:rsidP="00B47763">
      <w:pPr>
        <w:ind w:left="1080"/>
        <w:jc w:val="both"/>
        <w:rPr>
          <w:sz w:val="22"/>
          <w:highlight w:val="yellow"/>
        </w:rPr>
      </w:pPr>
    </w:p>
    <w:p w:rsidR="00B47763" w:rsidRPr="00060876" w:rsidRDefault="00B47763" w:rsidP="00B47763">
      <w:pPr>
        <w:jc w:val="both"/>
        <w:rPr>
          <w:sz w:val="22"/>
        </w:rPr>
      </w:pPr>
      <w:r w:rsidRPr="00060876">
        <w:rPr>
          <w:sz w:val="22"/>
        </w:rPr>
        <w:t xml:space="preserve">Επιπρόσθετα, </w:t>
      </w:r>
      <w:r>
        <w:rPr>
          <w:sz w:val="22"/>
        </w:rPr>
        <w:t xml:space="preserve">στο πλαίσιο των παρεμβάσεων για την αντιμετώπιση των συνεπειών της πανδημίας </w:t>
      </w:r>
      <w:r w:rsidRPr="007A29A7">
        <w:rPr>
          <w:sz w:val="22"/>
        </w:rPr>
        <w:t>Covid</w:t>
      </w:r>
      <w:r>
        <w:rPr>
          <w:sz w:val="22"/>
        </w:rPr>
        <w:t>-</w:t>
      </w:r>
      <w:r w:rsidRPr="00060876">
        <w:rPr>
          <w:sz w:val="22"/>
        </w:rPr>
        <w:t xml:space="preserve">19 </w:t>
      </w:r>
      <w:r>
        <w:rPr>
          <w:sz w:val="22"/>
        </w:rPr>
        <w:t xml:space="preserve">στην ελληνική οικονομία, </w:t>
      </w:r>
      <w:r w:rsidRPr="00060876">
        <w:rPr>
          <w:sz w:val="22"/>
        </w:rPr>
        <w:t xml:space="preserve">προβλέπεται η </w:t>
      </w:r>
      <w:r>
        <w:rPr>
          <w:sz w:val="22"/>
        </w:rPr>
        <w:t xml:space="preserve">υλοποίηση του Προγράμματος </w:t>
      </w:r>
      <w:r w:rsidR="00FC77EF">
        <w:rPr>
          <w:sz w:val="22"/>
        </w:rPr>
        <w:t>«ΓΕΦΥΡΑ»</w:t>
      </w:r>
      <w:r>
        <w:rPr>
          <w:sz w:val="22"/>
        </w:rPr>
        <w:t xml:space="preserve"> που αφορά στην επιδότηση της πρώτης κατοικίας για δανειολήπτες που επλήγησαν από την πανδημία </w:t>
      </w:r>
      <w:r>
        <w:rPr>
          <w:sz w:val="22"/>
        </w:rPr>
        <w:t>ύ</w:t>
      </w:r>
      <w:r>
        <w:rPr>
          <w:sz w:val="22"/>
        </w:rPr>
        <w:t>ψους 108 και 280 εκατ. ευρώ για τα έτη 2020 και 2021 αντίστοιχα, ενώ παράλληλα ο ΟΠΕΚΑ αν</w:t>
      </w:r>
      <w:r>
        <w:rPr>
          <w:sz w:val="22"/>
        </w:rPr>
        <w:t>α</w:t>
      </w:r>
      <w:r>
        <w:rPr>
          <w:sz w:val="22"/>
        </w:rPr>
        <w:t xml:space="preserve">λαμβάνει την καταβολή του επιδόματος στέγασης που θεσπίζει </w:t>
      </w:r>
      <w:r w:rsidRPr="007A29A7">
        <w:rPr>
          <w:sz w:val="22"/>
        </w:rPr>
        <w:t>ο κώδικας διευθέτησης οφειλών και παροχής δεύτερης ευκαιρίας σε δανειολήπτες, με δημοσιονομικό κόστος 100 εκατ. ευρώ για το 2021.</w:t>
      </w:r>
    </w:p>
    <w:p w:rsidR="00E77244" w:rsidRDefault="00E77244" w:rsidP="0042330B">
      <w:pPr>
        <w:jc w:val="both"/>
        <w:rPr>
          <w:sz w:val="22"/>
        </w:rPr>
      </w:pPr>
    </w:p>
    <w:p w:rsidR="002101BD" w:rsidRDefault="002101BD" w:rsidP="0042330B">
      <w:pPr>
        <w:jc w:val="both"/>
        <w:rPr>
          <w:sz w:val="22"/>
        </w:rPr>
      </w:pPr>
    </w:p>
    <w:p w:rsidR="0042330B" w:rsidRPr="00081614" w:rsidRDefault="0042330B" w:rsidP="0042330B">
      <w:pPr>
        <w:autoSpaceDE w:val="0"/>
        <w:autoSpaceDN w:val="0"/>
        <w:adjustRightInd w:val="0"/>
        <w:jc w:val="both"/>
        <w:rPr>
          <w:rFonts w:ascii="Arial Narrow" w:hAnsi="Arial Narrow"/>
          <w:color w:val="000000"/>
          <w:szCs w:val="20"/>
        </w:rPr>
      </w:pPr>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6"/>
        <w:gridCol w:w="1669"/>
        <w:gridCol w:w="1656"/>
      </w:tblGrid>
      <w:tr w:rsidR="0042330B" w:rsidRPr="00794616" w:rsidTr="003C79F3">
        <w:trPr>
          <w:tblHeader/>
          <w:jc w:val="center"/>
        </w:trPr>
        <w:tc>
          <w:tcPr>
            <w:tcW w:w="8751" w:type="dxa"/>
            <w:gridSpan w:val="3"/>
            <w:tcBorders>
              <w:bottom w:val="nil"/>
            </w:tcBorders>
            <w:shd w:val="clear" w:color="auto" w:fill="404040"/>
          </w:tcPr>
          <w:p w:rsidR="0042330B" w:rsidRPr="00794616" w:rsidRDefault="0042330B" w:rsidP="00F239D4">
            <w:pPr>
              <w:tabs>
                <w:tab w:val="num" w:pos="720"/>
              </w:tabs>
              <w:spacing w:before="160"/>
              <w:jc w:val="center"/>
              <w:rPr>
                <w:rFonts w:ascii="Arial Narrow" w:hAnsi="Arial Narrow"/>
                <w:b/>
                <w:color w:val="FFFFFF"/>
                <w:szCs w:val="16"/>
              </w:rPr>
            </w:pPr>
            <w:r w:rsidRPr="00794616">
              <w:rPr>
                <w:rFonts w:ascii="Arial Narrow" w:hAnsi="Arial Narrow"/>
                <w:b/>
                <w:color w:val="FFFFFF"/>
                <w:szCs w:val="16"/>
              </w:rPr>
              <w:t>Πίνακας</w:t>
            </w:r>
            <w:r w:rsidR="002101BD">
              <w:rPr>
                <w:rFonts w:ascii="Arial Narrow" w:hAnsi="Arial Narrow"/>
                <w:b/>
                <w:color w:val="FFFFFF"/>
                <w:szCs w:val="16"/>
              </w:rPr>
              <w:t xml:space="preserve"> 3.25 </w:t>
            </w:r>
            <w:r w:rsidRPr="00794616">
              <w:rPr>
                <w:rFonts w:ascii="Arial Narrow" w:hAnsi="Arial Narrow"/>
                <w:b/>
                <w:color w:val="FFFFFF"/>
                <w:szCs w:val="16"/>
              </w:rPr>
              <w:t xml:space="preserve"> Προϋπολογισμοί </w:t>
            </w:r>
            <w:r w:rsidR="00A419C7">
              <w:rPr>
                <w:rFonts w:ascii="Arial Narrow" w:hAnsi="Arial Narrow"/>
                <w:b/>
                <w:color w:val="FFFFFF"/>
                <w:szCs w:val="16"/>
              </w:rPr>
              <w:t>Οργανισμών</w:t>
            </w:r>
            <w:r w:rsidRPr="00794616">
              <w:rPr>
                <w:rFonts w:ascii="Arial Narrow" w:hAnsi="Arial Narrow"/>
                <w:b/>
                <w:color w:val="FFFFFF"/>
                <w:szCs w:val="16"/>
              </w:rPr>
              <w:t xml:space="preserve"> Κοινωνικής Ασφάλισης </w:t>
            </w:r>
          </w:p>
          <w:p w:rsidR="0042330B" w:rsidRPr="00794616" w:rsidRDefault="0042330B" w:rsidP="005040CE">
            <w:pPr>
              <w:tabs>
                <w:tab w:val="num" w:pos="720"/>
              </w:tabs>
              <w:spacing w:after="120"/>
              <w:jc w:val="center"/>
              <w:rPr>
                <w:rFonts w:ascii="Arial Narrow" w:hAnsi="Arial Narrow"/>
                <w:b/>
                <w:color w:val="FFFFFF"/>
                <w:szCs w:val="16"/>
              </w:rPr>
            </w:pPr>
            <w:r w:rsidRPr="00794616">
              <w:rPr>
                <w:rFonts w:ascii="Arial Narrow" w:hAnsi="Arial Narrow"/>
                <w:b/>
                <w:color w:val="FFFFFF"/>
                <w:szCs w:val="16"/>
              </w:rPr>
              <w:t>(σε εκατ. ευρώ)</w:t>
            </w:r>
          </w:p>
        </w:tc>
      </w:tr>
      <w:tr w:rsidR="0042330B" w:rsidRPr="005040CE" w:rsidTr="003C79F3">
        <w:trPr>
          <w:trHeight w:val="57"/>
          <w:tblHeader/>
          <w:jc w:val="center"/>
        </w:trPr>
        <w:tc>
          <w:tcPr>
            <w:tcW w:w="8751" w:type="dxa"/>
            <w:gridSpan w:val="3"/>
            <w:tcBorders>
              <w:top w:val="nil"/>
            </w:tcBorders>
          </w:tcPr>
          <w:p w:rsidR="0042330B" w:rsidRPr="005040CE" w:rsidRDefault="0042330B" w:rsidP="003C79F3">
            <w:pPr>
              <w:tabs>
                <w:tab w:val="num" w:pos="720"/>
              </w:tabs>
              <w:jc w:val="center"/>
              <w:rPr>
                <w:rFonts w:ascii="Arial Narrow" w:hAnsi="Arial Narrow"/>
                <w:b/>
                <w:sz w:val="16"/>
                <w:szCs w:val="16"/>
              </w:rPr>
            </w:pPr>
          </w:p>
        </w:tc>
      </w:tr>
      <w:tr w:rsidR="0042330B" w:rsidRPr="00794616" w:rsidTr="003C79F3">
        <w:trPr>
          <w:trHeight w:val="454"/>
          <w:tblHeader/>
          <w:jc w:val="center"/>
        </w:trPr>
        <w:tc>
          <w:tcPr>
            <w:tcW w:w="5426" w:type="dxa"/>
            <w:tcBorders>
              <w:bottom w:val="single" w:sz="4" w:space="0" w:color="auto"/>
            </w:tcBorders>
          </w:tcPr>
          <w:p w:rsidR="0042330B" w:rsidRPr="00794616" w:rsidRDefault="0042330B" w:rsidP="003C79F3">
            <w:pPr>
              <w:tabs>
                <w:tab w:val="num" w:pos="720"/>
              </w:tabs>
              <w:spacing w:line="235" w:lineRule="auto"/>
              <w:jc w:val="center"/>
              <w:rPr>
                <w:rFonts w:ascii="Arial Narrow" w:hAnsi="Arial Narrow"/>
                <w:b/>
                <w:sz w:val="16"/>
                <w:szCs w:val="16"/>
              </w:rPr>
            </w:pPr>
          </w:p>
        </w:tc>
        <w:tc>
          <w:tcPr>
            <w:tcW w:w="1669" w:type="dxa"/>
            <w:tcBorders>
              <w:bottom w:val="single" w:sz="4" w:space="0" w:color="auto"/>
            </w:tcBorders>
            <w:vAlign w:val="center"/>
          </w:tcPr>
          <w:p w:rsidR="0042330B" w:rsidRPr="00794616" w:rsidRDefault="00794616" w:rsidP="003C79F3">
            <w:pPr>
              <w:tabs>
                <w:tab w:val="num" w:pos="720"/>
              </w:tabs>
              <w:spacing w:line="235" w:lineRule="auto"/>
              <w:jc w:val="center"/>
              <w:rPr>
                <w:rFonts w:ascii="Arial Narrow" w:hAnsi="Arial Narrow"/>
                <w:b/>
                <w:sz w:val="16"/>
                <w:szCs w:val="16"/>
              </w:rPr>
            </w:pPr>
            <w:r>
              <w:rPr>
                <w:rFonts w:ascii="Arial Narrow" w:hAnsi="Arial Narrow"/>
                <w:b/>
                <w:sz w:val="16"/>
                <w:szCs w:val="16"/>
              </w:rPr>
              <w:t>2020</w:t>
            </w:r>
          </w:p>
          <w:p w:rsidR="0042330B" w:rsidRPr="00794616" w:rsidRDefault="0042330B" w:rsidP="003C79F3">
            <w:pPr>
              <w:tabs>
                <w:tab w:val="num" w:pos="720"/>
              </w:tabs>
              <w:spacing w:line="235" w:lineRule="auto"/>
              <w:jc w:val="center"/>
              <w:rPr>
                <w:rFonts w:ascii="Arial Narrow" w:hAnsi="Arial Narrow"/>
                <w:b/>
                <w:sz w:val="16"/>
                <w:szCs w:val="16"/>
              </w:rPr>
            </w:pPr>
            <w:r w:rsidRPr="00794616">
              <w:rPr>
                <w:rFonts w:ascii="Arial Narrow" w:hAnsi="Arial Narrow"/>
                <w:b/>
                <w:sz w:val="16"/>
                <w:szCs w:val="16"/>
              </w:rPr>
              <w:t>Εκτιμήσεις</w:t>
            </w:r>
          </w:p>
        </w:tc>
        <w:tc>
          <w:tcPr>
            <w:tcW w:w="1656" w:type="dxa"/>
            <w:tcBorders>
              <w:bottom w:val="single" w:sz="4" w:space="0" w:color="auto"/>
            </w:tcBorders>
            <w:vAlign w:val="center"/>
          </w:tcPr>
          <w:p w:rsidR="0042330B" w:rsidRPr="00794616" w:rsidRDefault="00794616" w:rsidP="003C79F3">
            <w:pPr>
              <w:tabs>
                <w:tab w:val="num" w:pos="720"/>
              </w:tabs>
              <w:spacing w:line="235" w:lineRule="auto"/>
              <w:jc w:val="center"/>
              <w:rPr>
                <w:rFonts w:ascii="Arial Narrow" w:hAnsi="Arial Narrow"/>
                <w:b/>
                <w:sz w:val="16"/>
                <w:szCs w:val="16"/>
              </w:rPr>
            </w:pPr>
            <w:r>
              <w:rPr>
                <w:rFonts w:ascii="Arial Narrow" w:hAnsi="Arial Narrow"/>
                <w:b/>
                <w:sz w:val="16"/>
                <w:szCs w:val="16"/>
              </w:rPr>
              <w:t>2021</w:t>
            </w:r>
          </w:p>
          <w:p w:rsidR="0042330B" w:rsidRPr="00794616" w:rsidRDefault="0042330B" w:rsidP="003C79F3">
            <w:pPr>
              <w:tabs>
                <w:tab w:val="num" w:pos="720"/>
              </w:tabs>
              <w:spacing w:line="235" w:lineRule="auto"/>
              <w:jc w:val="center"/>
              <w:rPr>
                <w:rFonts w:ascii="Arial Narrow" w:hAnsi="Arial Narrow"/>
                <w:b/>
                <w:sz w:val="16"/>
                <w:szCs w:val="16"/>
              </w:rPr>
            </w:pPr>
            <w:r w:rsidRPr="00794616">
              <w:rPr>
                <w:rFonts w:ascii="Arial Narrow" w:hAnsi="Arial Narrow"/>
                <w:b/>
                <w:sz w:val="16"/>
                <w:szCs w:val="16"/>
              </w:rPr>
              <w:t>Προβλέψεις</w:t>
            </w:r>
          </w:p>
        </w:tc>
      </w:tr>
      <w:tr w:rsidR="0042330B" w:rsidRPr="00794616" w:rsidTr="003C79F3">
        <w:trPr>
          <w:jc w:val="center"/>
        </w:trPr>
        <w:tc>
          <w:tcPr>
            <w:tcW w:w="5426" w:type="dxa"/>
            <w:tcBorders>
              <w:bottom w:val="nil"/>
              <w:right w:val="nil"/>
            </w:tcBorders>
            <w:shd w:val="clear" w:color="auto" w:fill="BFBFBF" w:themeFill="background1" w:themeFillShade="BF"/>
          </w:tcPr>
          <w:p w:rsidR="0042330B" w:rsidRPr="00794616" w:rsidRDefault="00A419C7" w:rsidP="003C79F3">
            <w:pPr>
              <w:tabs>
                <w:tab w:val="num" w:pos="720"/>
              </w:tabs>
              <w:rPr>
                <w:rFonts w:ascii="Arial Narrow" w:hAnsi="Arial Narrow"/>
                <w:b/>
                <w:sz w:val="16"/>
                <w:szCs w:val="16"/>
              </w:rPr>
            </w:pPr>
            <w:r>
              <w:rPr>
                <w:rFonts w:ascii="Arial Narrow" w:hAnsi="Arial Narrow"/>
                <w:b/>
                <w:sz w:val="16"/>
                <w:szCs w:val="16"/>
              </w:rPr>
              <w:t>Οργανισμοί</w:t>
            </w:r>
            <w:r w:rsidR="0042330B" w:rsidRPr="00794616">
              <w:rPr>
                <w:rFonts w:ascii="Arial Narrow" w:hAnsi="Arial Narrow"/>
                <w:b/>
                <w:sz w:val="16"/>
                <w:szCs w:val="16"/>
              </w:rPr>
              <w:t xml:space="preserve"> </w:t>
            </w:r>
            <w:r w:rsidRPr="00794616">
              <w:rPr>
                <w:rFonts w:ascii="Arial Narrow" w:hAnsi="Arial Narrow"/>
                <w:b/>
                <w:sz w:val="16"/>
                <w:szCs w:val="16"/>
              </w:rPr>
              <w:t>Κοινωνικής Ασφάλισης</w:t>
            </w:r>
          </w:p>
        </w:tc>
        <w:tc>
          <w:tcPr>
            <w:tcW w:w="1669" w:type="dxa"/>
            <w:tcBorders>
              <w:left w:val="nil"/>
              <w:bottom w:val="nil"/>
              <w:right w:val="nil"/>
            </w:tcBorders>
            <w:shd w:val="clear" w:color="auto" w:fill="BFBFBF" w:themeFill="background1" w:themeFillShade="BF"/>
            <w:vAlign w:val="center"/>
          </w:tcPr>
          <w:p w:rsidR="0042330B" w:rsidRPr="00794616" w:rsidRDefault="0042330B" w:rsidP="003C79F3">
            <w:pPr>
              <w:ind w:right="567"/>
              <w:jc w:val="right"/>
              <w:rPr>
                <w:rFonts w:ascii="Arial Narrow" w:hAnsi="Arial Narrow"/>
                <w:b/>
                <w:bCs/>
                <w:sz w:val="16"/>
                <w:szCs w:val="16"/>
              </w:rPr>
            </w:pPr>
            <w:r w:rsidRPr="00794616">
              <w:rPr>
                <w:rFonts w:ascii="Arial Narrow" w:hAnsi="Arial Narrow"/>
                <w:b/>
                <w:bCs/>
                <w:sz w:val="16"/>
                <w:szCs w:val="16"/>
              </w:rPr>
              <w:t> </w:t>
            </w:r>
          </w:p>
        </w:tc>
        <w:tc>
          <w:tcPr>
            <w:tcW w:w="1656" w:type="dxa"/>
            <w:tcBorders>
              <w:left w:val="nil"/>
              <w:bottom w:val="nil"/>
            </w:tcBorders>
            <w:shd w:val="clear" w:color="auto" w:fill="BFBFBF" w:themeFill="background1" w:themeFillShade="BF"/>
            <w:vAlign w:val="center"/>
          </w:tcPr>
          <w:p w:rsidR="0042330B" w:rsidRPr="00794616" w:rsidRDefault="0042330B" w:rsidP="003C79F3">
            <w:pPr>
              <w:ind w:right="567"/>
              <w:jc w:val="right"/>
              <w:rPr>
                <w:rFonts w:ascii="Arial Narrow" w:hAnsi="Arial Narrow"/>
                <w:b/>
                <w:bCs/>
                <w:sz w:val="16"/>
                <w:szCs w:val="16"/>
              </w:rPr>
            </w:pPr>
            <w:r w:rsidRPr="00794616">
              <w:rPr>
                <w:rFonts w:ascii="Arial Narrow" w:hAnsi="Arial Narrow"/>
                <w:b/>
                <w:bCs/>
                <w:sz w:val="16"/>
                <w:szCs w:val="16"/>
              </w:rPr>
              <w:t> </w:t>
            </w:r>
          </w:p>
        </w:tc>
      </w:tr>
      <w:tr w:rsidR="0042330B" w:rsidRPr="00794616" w:rsidTr="003C79F3">
        <w:trPr>
          <w:jc w:val="center"/>
        </w:trPr>
        <w:tc>
          <w:tcPr>
            <w:tcW w:w="5426" w:type="dxa"/>
            <w:tcBorders>
              <w:top w:val="nil"/>
              <w:bottom w:val="nil"/>
              <w:right w:val="nil"/>
            </w:tcBorders>
          </w:tcPr>
          <w:p w:rsidR="0042330B" w:rsidRPr="00794616" w:rsidRDefault="0042330B" w:rsidP="003C79F3">
            <w:pPr>
              <w:rPr>
                <w:rFonts w:ascii="Arial Narrow" w:hAnsi="Arial Narrow"/>
                <w:sz w:val="16"/>
                <w:szCs w:val="16"/>
              </w:rPr>
            </w:pPr>
            <w:r w:rsidRPr="00794616">
              <w:rPr>
                <w:rFonts w:ascii="Arial Narrow" w:hAnsi="Arial Narrow"/>
                <w:sz w:val="16"/>
                <w:szCs w:val="16"/>
              </w:rPr>
              <w:t>α) Ασφαλιστικά Ταμεία</w:t>
            </w:r>
          </w:p>
        </w:tc>
        <w:tc>
          <w:tcPr>
            <w:tcW w:w="1669" w:type="dxa"/>
            <w:tcBorders>
              <w:top w:val="nil"/>
              <w:left w:val="nil"/>
              <w:bottom w:val="nil"/>
              <w:right w:val="nil"/>
            </w:tcBorders>
            <w:vAlign w:val="center"/>
          </w:tcPr>
          <w:p w:rsidR="0042330B" w:rsidRPr="00794616" w:rsidRDefault="0042330B" w:rsidP="003C79F3">
            <w:pPr>
              <w:ind w:right="567"/>
              <w:jc w:val="right"/>
              <w:rPr>
                <w:rFonts w:ascii="Arial Narrow" w:hAnsi="Arial Narrow"/>
                <w:sz w:val="16"/>
                <w:szCs w:val="16"/>
              </w:rPr>
            </w:pPr>
            <w:r w:rsidRPr="00794616">
              <w:rPr>
                <w:rFonts w:ascii="Arial Narrow" w:hAnsi="Arial Narrow"/>
                <w:sz w:val="16"/>
                <w:szCs w:val="16"/>
              </w:rPr>
              <w:t> </w:t>
            </w:r>
          </w:p>
        </w:tc>
        <w:tc>
          <w:tcPr>
            <w:tcW w:w="1656" w:type="dxa"/>
            <w:tcBorders>
              <w:top w:val="nil"/>
              <w:left w:val="nil"/>
              <w:bottom w:val="nil"/>
            </w:tcBorders>
            <w:vAlign w:val="center"/>
          </w:tcPr>
          <w:p w:rsidR="0042330B" w:rsidRPr="00794616" w:rsidRDefault="0042330B" w:rsidP="003C79F3">
            <w:pPr>
              <w:ind w:right="567"/>
              <w:jc w:val="right"/>
              <w:rPr>
                <w:rFonts w:ascii="Arial Narrow" w:hAnsi="Arial Narrow"/>
                <w:sz w:val="16"/>
                <w:szCs w:val="16"/>
              </w:rPr>
            </w:pPr>
            <w:r w:rsidRPr="00794616">
              <w:rPr>
                <w:rFonts w:ascii="Arial Narrow" w:hAnsi="Arial Narrow"/>
                <w:sz w:val="16"/>
                <w:szCs w:val="16"/>
              </w:rPr>
              <w:t> </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b/>
                <w:bCs/>
                <w:sz w:val="16"/>
                <w:szCs w:val="16"/>
              </w:rPr>
            </w:pPr>
            <w:r w:rsidRPr="00794616">
              <w:rPr>
                <w:rFonts w:ascii="Arial Narrow" w:hAnsi="Arial Narrow"/>
                <w:b/>
                <w:bCs/>
                <w:sz w:val="16"/>
                <w:szCs w:val="16"/>
              </w:rPr>
              <w:t>Έσοδα</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b/>
                <w:bCs/>
                <w:sz w:val="16"/>
                <w:szCs w:val="16"/>
              </w:rPr>
            </w:pPr>
            <w:r w:rsidRPr="00EE2DCF">
              <w:rPr>
                <w:rFonts w:ascii="Arial Narrow" w:hAnsi="Arial Narrow"/>
                <w:b/>
                <w:bCs/>
                <w:sz w:val="16"/>
                <w:szCs w:val="16"/>
              </w:rPr>
              <w:t>43.</w:t>
            </w:r>
            <w:r>
              <w:rPr>
                <w:rFonts w:ascii="Arial Narrow" w:hAnsi="Arial Narrow"/>
                <w:b/>
                <w:bCs/>
                <w:sz w:val="16"/>
                <w:szCs w:val="16"/>
              </w:rPr>
              <w:t>731</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b/>
                <w:bCs/>
                <w:sz w:val="16"/>
                <w:szCs w:val="16"/>
              </w:rPr>
            </w:pPr>
            <w:r>
              <w:rPr>
                <w:rFonts w:ascii="Arial Narrow" w:hAnsi="Arial Narrow"/>
                <w:b/>
                <w:bCs/>
                <w:sz w:val="16"/>
                <w:szCs w:val="16"/>
              </w:rPr>
              <w:t>42.646</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Ασφαλιστικές εισφορές</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13.001</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lang w:val="en-US"/>
              </w:rPr>
            </w:pPr>
            <w:r>
              <w:rPr>
                <w:rFonts w:ascii="Arial Narrow" w:hAnsi="Arial Narrow"/>
                <w:sz w:val="16"/>
                <w:szCs w:val="16"/>
              </w:rPr>
              <w:t>13.927</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Ρύθμιση οφειλών</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lang w:val="en-US"/>
              </w:rPr>
            </w:pPr>
            <w:r w:rsidRPr="00EE2DCF">
              <w:rPr>
                <w:rFonts w:ascii="Arial Narrow" w:hAnsi="Arial Narrow"/>
                <w:sz w:val="16"/>
                <w:szCs w:val="16"/>
              </w:rPr>
              <w:t>1.0</w:t>
            </w:r>
            <w:r>
              <w:rPr>
                <w:rFonts w:ascii="Arial Narrow" w:hAnsi="Arial Narrow"/>
                <w:sz w:val="16"/>
                <w:szCs w:val="16"/>
              </w:rPr>
              <w:t>32</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1.194</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Μεταβιβάσεις από ΑΚΑΓΕ</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sidRPr="00EE2DCF">
              <w:rPr>
                <w:rFonts w:ascii="Arial Narrow" w:hAnsi="Arial Narrow"/>
                <w:sz w:val="16"/>
                <w:szCs w:val="16"/>
              </w:rPr>
              <w:t>0</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sidRPr="00EE2DCF">
              <w:rPr>
                <w:rFonts w:ascii="Arial Narrow" w:hAnsi="Arial Narrow"/>
                <w:sz w:val="16"/>
                <w:szCs w:val="16"/>
              </w:rPr>
              <w:t>0</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Κοινωνικοί πόροι</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591</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393</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vertAlign w:val="superscript"/>
              </w:rPr>
            </w:pPr>
            <w:r w:rsidRPr="00794616">
              <w:rPr>
                <w:rFonts w:ascii="Arial Narrow" w:hAnsi="Arial Narrow"/>
                <w:sz w:val="16"/>
                <w:szCs w:val="16"/>
              </w:rPr>
              <w:t>Μεταβιβάσεις από τακτικό προϋπολογισμό</w:t>
            </w:r>
            <w:r w:rsidRPr="00794616">
              <w:rPr>
                <w:rFonts w:ascii="Arial Narrow" w:hAnsi="Arial Narrow"/>
                <w:sz w:val="16"/>
                <w:szCs w:val="16"/>
                <w:vertAlign w:val="superscript"/>
              </w:rPr>
              <w:t>(1)</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16.838</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14.860</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Αντικριζόμενα έσοδα</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Απόδοση περιουσίας</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1.108</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1.108</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Εισπράξεις υπέρ Δημοσίου και τρίτων</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11.015</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11.043</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Λοιπά έσοδα</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146</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121</w:t>
            </w:r>
          </w:p>
        </w:tc>
      </w:tr>
      <w:tr w:rsidR="009174DA" w:rsidRPr="00794616" w:rsidTr="003C79F3">
        <w:trPr>
          <w:jc w:val="center"/>
        </w:trPr>
        <w:tc>
          <w:tcPr>
            <w:tcW w:w="5426" w:type="dxa"/>
            <w:tcBorders>
              <w:top w:val="nil"/>
              <w:bottom w:val="nil"/>
              <w:right w:val="nil"/>
            </w:tcBorders>
          </w:tcPr>
          <w:p w:rsidR="009174DA" w:rsidRPr="00794616" w:rsidRDefault="00B521BB" w:rsidP="003C79F3">
            <w:pPr>
              <w:rPr>
                <w:rFonts w:ascii="Arial Narrow" w:hAnsi="Arial Narrow"/>
                <w:b/>
                <w:bCs/>
                <w:sz w:val="16"/>
                <w:szCs w:val="16"/>
              </w:rPr>
            </w:pPr>
            <w:r>
              <w:rPr>
                <w:rFonts w:ascii="Arial Narrow" w:hAnsi="Arial Narrow"/>
                <w:b/>
                <w:bCs/>
                <w:sz w:val="16"/>
                <w:szCs w:val="16"/>
              </w:rPr>
              <w:t>Δαπάνες</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b/>
                <w:bCs/>
                <w:sz w:val="16"/>
                <w:szCs w:val="16"/>
              </w:rPr>
            </w:pPr>
            <w:r>
              <w:rPr>
                <w:rFonts w:ascii="Arial Narrow" w:hAnsi="Arial Narrow"/>
                <w:b/>
                <w:bCs/>
                <w:sz w:val="16"/>
                <w:szCs w:val="16"/>
              </w:rPr>
              <w:t>43.298</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b/>
                <w:bCs/>
                <w:sz w:val="16"/>
                <w:szCs w:val="16"/>
                <w:lang w:val="en-US"/>
              </w:rPr>
            </w:pPr>
            <w:r w:rsidRPr="00EE2DCF">
              <w:rPr>
                <w:rFonts w:ascii="Arial Narrow" w:hAnsi="Arial Narrow"/>
                <w:b/>
                <w:bCs/>
                <w:sz w:val="16"/>
                <w:szCs w:val="16"/>
              </w:rPr>
              <w:t>42</w:t>
            </w:r>
            <w:r>
              <w:rPr>
                <w:rFonts w:ascii="Arial Narrow" w:hAnsi="Arial Narrow"/>
                <w:b/>
                <w:bCs/>
                <w:sz w:val="16"/>
                <w:szCs w:val="16"/>
              </w:rPr>
              <w:t>.252</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Συντάξεις</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28.736</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29.235</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i/>
                <w:iCs/>
                <w:sz w:val="16"/>
                <w:szCs w:val="16"/>
              </w:rPr>
            </w:pPr>
            <w:r w:rsidRPr="00794616">
              <w:rPr>
                <w:rFonts w:ascii="Arial Narrow" w:hAnsi="Arial Narrow"/>
                <w:i/>
                <w:iCs/>
                <w:sz w:val="16"/>
                <w:szCs w:val="16"/>
              </w:rPr>
              <w:t xml:space="preserve">    Κύριας ασφάλισης</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24.825</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sidRPr="00EE2DCF">
              <w:rPr>
                <w:rFonts w:ascii="Arial Narrow" w:hAnsi="Arial Narrow"/>
                <w:sz w:val="16"/>
                <w:szCs w:val="16"/>
              </w:rPr>
              <w:t>25.4</w:t>
            </w:r>
            <w:r>
              <w:rPr>
                <w:rFonts w:ascii="Arial Narrow" w:hAnsi="Arial Narrow"/>
                <w:sz w:val="16"/>
                <w:szCs w:val="16"/>
              </w:rPr>
              <w:t>51</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i/>
                <w:iCs/>
                <w:sz w:val="16"/>
                <w:szCs w:val="16"/>
              </w:rPr>
            </w:pPr>
            <w:r w:rsidRPr="00794616">
              <w:rPr>
                <w:rFonts w:ascii="Arial Narrow" w:hAnsi="Arial Narrow"/>
                <w:i/>
                <w:iCs/>
                <w:sz w:val="16"/>
                <w:szCs w:val="16"/>
              </w:rPr>
              <w:t xml:space="preserve">    Επικουρικής ασφάλισης</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sidRPr="00EE2DCF">
              <w:rPr>
                <w:rFonts w:ascii="Arial Narrow" w:hAnsi="Arial Narrow"/>
                <w:sz w:val="16"/>
                <w:szCs w:val="16"/>
              </w:rPr>
              <w:t>3.</w:t>
            </w:r>
            <w:r>
              <w:rPr>
                <w:rFonts w:ascii="Arial Narrow" w:hAnsi="Arial Narrow"/>
                <w:sz w:val="16"/>
                <w:szCs w:val="16"/>
              </w:rPr>
              <w:t>911</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sidRPr="00EE2DCF">
              <w:rPr>
                <w:rFonts w:ascii="Arial Narrow" w:hAnsi="Arial Narrow"/>
                <w:sz w:val="16"/>
                <w:szCs w:val="16"/>
              </w:rPr>
              <w:t>3.</w:t>
            </w:r>
            <w:r>
              <w:rPr>
                <w:rFonts w:ascii="Arial Narrow" w:hAnsi="Arial Narrow"/>
                <w:sz w:val="16"/>
                <w:szCs w:val="16"/>
              </w:rPr>
              <w:t>784</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Λοιπές παροχές ασθένειας</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sidRPr="00EE2DCF">
              <w:rPr>
                <w:rFonts w:ascii="Arial Narrow" w:hAnsi="Arial Narrow"/>
                <w:sz w:val="16"/>
                <w:szCs w:val="16"/>
              </w:rPr>
              <w:t>2</w:t>
            </w:r>
            <w:r>
              <w:rPr>
                <w:rFonts w:ascii="Arial Narrow" w:hAnsi="Arial Narrow"/>
                <w:sz w:val="16"/>
                <w:szCs w:val="16"/>
              </w:rPr>
              <w:t>16</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216</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Προνοιακές παροχές</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807</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633</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Λοιπές μεταβιβάσεις σε τρίτους</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2.027</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sidRPr="00EE2DCF">
              <w:rPr>
                <w:rFonts w:ascii="Arial Narrow" w:hAnsi="Arial Narrow"/>
                <w:sz w:val="16"/>
                <w:szCs w:val="16"/>
              </w:rPr>
              <w:t>6</w:t>
            </w:r>
            <w:r>
              <w:rPr>
                <w:rFonts w:ascii="Arial Narrow" w:hAnsi="Arial Narrow"/>
                <w:sz w:val="16"/>
                <w:szCs w:val="16"/>
              </w:rPr>
              <w:t>10</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Απόδοση εισπράξεων τρίτων</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11.015</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11.043</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Λοιπές δαπάνες</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sidRPr="00EE2DCF">
              <w:rPr>
                <w:rFonts w:ascii="Arial Narrow" w:hAnsi="Arial Narrow"/>
                <w:sz w:val="16"/>
                <w:szCs w:val="16"/>
              </w:rPr>
              <w:t>334</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sidRPr="00EE2DCF">
              <w:rPr>
                <w:rFonts w:ascii="Arial Narrow" w:hAnsi="Arial Narrow"/>
                <w:sz w:val="16"/>
                <w:szCs w:val="16"/>
              </w:rPr>
              <w:t>340</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Δαπάνες προσωπικού</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lang w:val="en-US"/>
              </w:rPr>
            </w:pPr>
            <w:r w:rsidRPr="00EE2DCF">
              <w:rPr>
                <w:rFonts w:ascii="Arial Narrow" w:hAnsi="Arial Narrow"/>
                <w:sz w:val="16"/>
                <w:szCs w:val="16"/>
              </w:rPr>
              <w:t>2</w:t>
            </w:r>
            <w:r>
              <w:rPr>
                <w:rFonts w:ascii="Arial Narrow" w:hAnsi="Arial Narrow"/>
                <w:sz w:val="16"/>
                <w:szCs w:val="16"/>
              </w:rPr>
              <w:t>94</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316</w:t>
            </w:r>
          </w:p>
        </w:tc>
      </w:tr>
      <w:tr w:rsidR="009174DA" w:rsidRPr="00794616" w:rsidTr="003C79F3">
        <w:trPr>
          <w:jc w:val="center"/>
        </w:trPr>
        <w:tc>
          <w:tcPr>
            <w:tcW w:w="5426" w:type="dxa"/>
            <w:tcBorders>
              <w:top w:val="nil"/>
              <w:bottom w:val="nil"/>
              <w:right w:val="nil"/>
            </w:tcBorders>
            <w:shd w:val="clear" w:color="auto" w:fill="D9D9D9" w:themeFill="background1" w:themeFillShade="D9"/>
          </w:tcPr>
          <w:p w:rsidR="009174DA" w:rsidRPr="00794616" w:rsidRDefault="009174DA" w:rsidP="003C79F3">
            <w:pPr>
              <w:rPr>
                <w:rFonts w:ascii="Arial Narrow" w:hAnsi="Arial Narrow"/>
                <w:b/>
                <w:sz w:val="16"/>
                <w:szCs w:val="16"/>
              </w:rPr>
            </w:pPr>
            <w:r w:rsidRPr="00794616">
              <w:rPr>
                <w:rFonts w:ascii="Arial Narrow" w:hAnsi="Arial Narrow"/>
                <w:b/>
                <w:sz w:val="16"/>
                <w:szCs w:val="16"/>
              </w:rPr>
              <w:t>Ταμειακό ισοζύγιο</w:t>
            </w:r>
          </w:p>
        </w:tc>
        <w:tc>
          <w:tcPr>
            <w:tcW w:w="1669" w:type="dxa"/>
            <w:tcBorders>
              <w:top w:val="nil"/>
              <w:left w:val="nil"/>
              <w:bottom w:val="nil"/>
              <w:right w:val="nil"/>
            </w:tcBorders>
            <w:shd w:val="clear" w:color="auto" w:fill="D9D9D9" w:themeFill="background1" w:themeFillShade="D9"/>
            <w:vAlign w:val="center"/>
          </w:tcPr>
          <w:p w:rsidR="009174DA" w:rsidRPr="00EE2DCF" w:rsidRDefault="009174DA" w:rsidP="00CD55E6">
            <w:pPr>
              <w:ind w:right="567"/>
              <w:jc w:val="right"/>
              <w:rPr>
                <w:rFonts w:ascii="Arial Narrow" w:hAnsi="Arial Narrow"/>
                <w:b/>
                <w:bCs/>
                <w:sz w:val="16"/>
                <w:szCs w:val="16"/>
              </w:rPr>
            </w:pPr>
            <w:r>
              <w:rPr>
                <w:rFonts w:ascii="Arial Narrow" w:hAnsi="Arial Narrow"/>
                <w:b/>
                <w:bCs/>
                <w:sz w:val="16"/>
                <w:szCs w:val="16"/>
              </w:rPr>
              <w:t>4</w:t>
            </w:r>
            <w:r w:rsidR="00A419C7">
              <w:rPr>
                <w:rFonts w:ascii="Arial Narrow" w:hAnsi="Arial Narrow"/>
                <w:b/>
                <w:bCs/>
                <w:sz w:val="16"/>
                <w:szCs w:val="16"/>
              </w:rPr>
              <w:t>32</w:t>
            </w:r>
          </w:p>
        </w:tc>
        <w:tc>
          <w:tcPr>
            <w:tcW w:w="1656" w:type="dxa"/>
            <w:tcBorders>
              <w:top w:val="nil"/>
              <w:left w:val="nil"/>
              <w:bottom w:val="nil"/>
            </w:tcBorders>
            <w:shd w:val="clear" w:color="auto" w:fill="D9D9D9" w:themeFill="background1" w:themeFillShade="D9"/>
            <w:vAlign w:val="center"/>
          </w:tcPr>
          <w:p w:rsidR="009174DA" w:rsidRPr="00EE2DCF" w:rsidRDefault="009174DA" w:rsidP="00CD55E6">
            <w:pPr>
              <w:ind w:right="567"/>
              <w:jc w:val="right"/>
              <w:rPr>
                <w:rFonts w:ascii="Arial Narrow" w:hAnsi="Arial Narrow"/>
                <w:b/>
                <w:bCs/>
                <w:sz w:val="16"/>
                <w:szCs w:val="16"/>
              </w:rPr>
            </w:pPr>
            <w:r>
              <w:rPr>
                <w:rFonts w:ascii="Arial Narrow" w:hAnsi="Arial Narrow"/>
                <w:b/>
                <w:bCs/>
                <w:sz w:val="16"/>
                <w:szCs w:val="16"/>
              </w:rPr>
              <w:t>393</w:t>
            </w:r>
          </w:p>
        </w:tc>
      </w:tr>
      <w:tr w:rsidR="009174DA" w:rsidRPr="00794616" w:rsidTr="003C79F3">
        <w:trPr>
          <w:jc w:val="center"/>
        </w:trPr>
        <w:tc>
          <w:tcPr>
            <w:tcW w:w="5426" w:type="dxa"/>
            <w:tcBorders>
              <w:top w:val="nil"/>
              <w:bottom w:val="nil"/>
              <w:right w:val="nil"/>
            </w:tcBorders>
            <w:shd w:val="clear" w:color="auto" w:fill="D9D9D9" w:themeFill="background1" w:themeFillShade="D9"/>
          </w:tcPr>
          <w:p w:rsidR="009174DA" w:rsidRPr="00794616" w:rsidRDefault="009174DA" w:rsidP="003C79F3">
            <w:pPr>
              <w:rPr>
                <w:rFonts w:ascii="Arial Narrow" w:hAnsi="Arial Narrow"/>
                <w:b/>
                <w:sz w:val="16"/>
                <w:szCs w:val="16"/>
              </w:rPr>
            </w:pPr>
            <w:r w:rsidRPr="00794616">
              <w:rPr>
                <w:rFonts w:ascii="Arial Narrow" w:hAnsi="Arial Narrow"/>
                <w:b/>
                <w:sz w:val="16"/>
                <w:szCs w:val="16"/>
              </w:rPr>
              <w:t>Εθνικολογιστικές προσαρμογές</w:t>
            </w:r>
          </w:p>
        </w:tc>
        <w:tc>
          <w:tcPr>
            <w:tcW w:w="1669" w:type="dxa"/>
            <w:tcBorders>
              <w:top w:val="nil"/>
              <w:left w:val="nil"/>
              <w:bottom w:val="nil"/>
              <w:right w:val="nil"/>
            </w:tcBorders>
            <w:shd w:val="clear" w:color="auto" w:fill="D9D9D9" w:themeFill="background1" w:themeFillShade="D9"/>
            <w:vAlign w:val="center"/>
          </w:tcPr>
          <w:p w:rsidR="009174DA" w:rsidRPr="00EE2DCF" w:rsidRDefault="009174DA" w:rsidP="00CD55E6">
            <w:pPr>
              <w:ind w:right="567"/>
              <w:jc w:val="right"/>
              <w:rPr>
                <w:rFonts w:ascii="Arial Narrow" w:hAnsi="Arial Narrow"/>
                <w:b/>
                <w:bCs/>
                <w:sz w:val="16"/>
                <w:szCs w:val="16"/>
              </w:rPr>
            </w:pPr>
            <w:r>
              <w:rPr>
                <w:rFonts w:ascii="Arial Narrow" w:hAnsi="Arial Narrow"/>
                <w:b/>
                <w:bCs/>
                <w:sz w:val="16"/>
                <w:szCs w:val="16"/>
              </w:rPr>
              <w:t>269</w:t>
            </w:r>
          </w:p>
        </w:tc>
        <w:tc>
          <w:tcPr>
            <w:tcW w:w="1656" w:type="dxa"/>
            <w:tcBorders>
              <w:top w:val="nil"/>
              <w:left w:val="nil"/>
              <w:bottom w:val="nil"/>
            </w:tcBorders>
            <w:shd w:val="clear" w:color="auto" w:fill="D9D9D9" w:themeFill="background1" w:themeFillShade="D9"/>
            <w:vAlign w:val="center"/>
          </w:tcPr>
          <w:p w:rsidR="009174DA" w:rsidRPr="00EE2DCF" w:rsidRDefault="009174DA" w:rsidP="00CD55E6">
            <w:pPr>
              <w:ind w:right="567"/>
              <w:jc w:val="right"/>
              <w:rPr>
                <w:rFonts w:ascii="Arial Narrow" w:hAnsi="Arial Narrow"/>
                <w:b/>
                <w:bCs/>
                <w:sz w:val="16"/>
                <w:szCs w:val="16"/>
              </w:rPr>
            </w:pPr>
            <w:r>
              <w:rPr>
                <w:rFonts w:ascii="Arial Narrow" w:hAnsi="Arial Narrow"/>
                <w:b/>
                <w:bCs/>
                <w:sz w:val="16"/>
                <w:szCs w:val="16"/>
              </w:rPr>
              <w:t>25</w:t>
            </w:r>
          </w:p>
        </w:tc>
      </w:tr>
      <w:tr w:rsidR="009174DA" w:rsidRPr="00794616" w:rsidTr="003C79F3">
        <w:trPr>
          <w:jc w:val="center"/>
        </w:trPr>
        <w:tc>
          <w:tcPr>
            <w:tcW w:w="5426" w:type="dxa"/>
            <w:tcBorders>
              <w:top w:val="nil"/>
              <w:bottom w:val="nil"/>
              <w:right w:val="nil"/>
            </w:tcBorders>
            <w:shd w:val="clear" w:color="auto" w:fill="D9D9D9" w:themeFill="background1" w:themeFillShade="D9"/>
          </w:tcPr>
          <w:p w:rsidR="009174DA" w:rsidRPr="00794616" w:rsidRDefault="009174DA" w:rsidP="003C79F3">
            <w:pPr>
              <w:rPr>
                <w:rFonts w:ascii="Arial Narrow" w:hAnsi="Arial Narrow"/>
                <w:b/>
                <w:bCs/>
                <w:sz w:val="16"/>
                <w:szCs w:val="16"/>
              </w:rPr>
            </w:pPr>
            <w:r w:rsidRPr="00794616">
              <w:rPr>
                <w:rFonts w:ascii="Arial Narrow" w:hAnsi="Arial Narrow"/>
                <w:b/>
                <w:bCs/>
                <w:sz w:val="16"/>
                <w:szCs w:val="16"/>
              </w:rPr>
              <w:t xml:space="preserve">Ισοζύγιο κατά </w:t>
            </w:r>
            <w:r w:rsidRPr="00794616">
              <w:rPr>
                <w:rFonts w:ascii="Arial Narrow" w:hAnsi="Arial Narrow"/>
                <w:b/>
                <w:bCs/>
                <w:sz w:val="16"/>
                <w:szCs w:val="16"/>
                <w:lang w:val="en-GB"/>
              </w:rPr>
              <w:t xml:space="preserve">ESA </w:t>
            </w:r>
          </w:p>
        </w:tc>
        <w:tc>
          <w:tcPr>
            <w:tcW w:w="1669" w:type="dxa"/>
            <w:tcBorders>
              <w:top w:val="nil"/>
              <w:left w:val="nil"/>
              <w:bottom w:val="nil"/>
              <w:right w:val="nil"/>
            </w:tcBorders>
            <w:shd w:val="clear" w:color="auto" w:fill="D9D9D9" w:themeFill="background1" w:themeFillShade="D9"/>
            <w:vAlign w:val="center"/>
          </w:tcPr>
          <w:p w:rsidR="009174DA" w:rsidRPr="00EE2DCF" w:rsidRDefault="009174DA" w:rsidP="00CD55E6">
            <w:pPr>
              <w:ind w:right="567"/>
              <w:jc w:val="right"/>
              <w:rPr>
                <w:rFonts w:ascii="Arial Narrow" w:hAnsi="Arial Narrow"/>
                <w:b/>
                <w:bCs/>
                <w:sz w:val="16"/>
                <w:szCs w:val="16"/>
              </w:rPr>
            </w:pPr>
            <w:r>
              <w:rPr>
                <w:rFonts w:ascii="Arial Narrow" w:hAnsi="Arial Narrow"/>
                <w:b/>
                <w:bCs/>
                <w:sz w:val="16"/>
                <w:szCs w:val="16"/>
              </w:rPr>
              <w:t>701</w:t>
            </w:r>
          </w:p>
        </w:tc>
        <w:tc>
          <w:tcPr>
            <w:tcW w:w="1656" w:type="dxa"/>
            <w:tcBorders>
              <w:top w:val="nil"/>
              <w:left w:val="nil"/>
              <w:bottom w:val="nil"/>
            </w:tcBorders>
            <w:shd w:val="clear" w:color="auto" w:fill="D9D9D9" w:themeFill="background1" w:themeFillShade="D9"/>
            <w:vAlign w:val="center"/>
          </w:tcPr>
          <w:p w:rsidR="009174DA" w:rsidRPr="00EE2DCF" w:rsidRDefault="009174DA" w:rsidP="00CD55E6">
            <w:pPr>
              <w:ind w:right="567"/>
              <w:jc w:val="right"/>
              <w:rPr>
                <w:rFonts w:ascii="Arial Narrow" w:hAnsi="Arial Narrow"/>
                <w:b/>
                <w:bCs/>
                <w:sz w:val="16"/>
                <w:szCs w:val="16"/>
              </w:rPr>
            </w:pPr>
            <w:r>
              <w:rPr>
                <w:rFonts w:ascii="Arial Narrow" w:hAnsi="Arial Narrow"/>
                <w:b/>
                <w:bCs/>
                <w:sz w:val="16"/>
                <w:szCs w:val="16"/>
              </w:rPr>
              <w:t>418</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β) ΟΑΕΔ</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sidRPr="00EE2DCF">
              <w:rPr>
                <w:rFonts w:ascii="Arial Narrow" w:hAnsi="Arial Narrow"/>
                <w:sz w:val="16"/>
                <w:szCs w:val="16"/>
              </w:rPr>
              <w:t> </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sidRPr="00EE2DCF">
              <w:rPr>
                <w:rFonts w:ascii="Arial Narrow" w:hAnsi="Arial Narrow"/>
                <w:sz w:val="16"/>
                <w:szCs w:val="16"/>
              </w:rPr>
              <w:t> </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b/>
                <w:bCs/>
                <w:sz w:val="16"/>
                <w:szCs w:val="16"/>
              </w:rPr>
            </w:pPr>
            <w:r w:rsidRPr="00794616">
              <w:rPr>
                <w:rFonts w:ascii="Arial Narrow" w:hAnsi="Arial Narrow"/>
                <w:b/>
                <w:bCs/>
                <w:sz w:val="16"/>
                <w:szCs w:val="16"/>
              </w:rPr>
              <w:t>Έσοδα</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b/>
                <w:bCs/>
                <w:sz w:val="16"/>
                <w:szCs w:val="16"/>
                <w:lang w:val="en-US"/>
              </w:rPr>
            </w:pPr>
            <w:r>
              <w:rPr>
                <w:rFonts w:ascii="Arial Narrow" w:hAnsi="Arial Narrow"/>
                <w:b/>
                <w:bCs/>
                <w:sz w:val="16"/>
                <w:szCs w:val="16"/>
              </w:rPr>
              <w:t>2.824</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b/>
                <w:bCs/>
                <w:sz w:val="16"/>
                <w:szCs w:val="16"/>
              </w:rPr>
            </w:pPr>
            <w:r>
              <w:rPr>
                <w:rFonts w:ascii="Arial Narrow" w:hAnsi="Arial Narrow"/>
                <w:b/>
                <w:bCs/>
                <w:sz w:val="16"/>
                <w:szCs w:val="16"/>
              </w:rPr>
              <w:t>2.664</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Ασφαλιστικές εισφορές</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1.677</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998</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Ρύθμιση οφειλών</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lang w:val="en-US"/>
              </w:rPr>
            </w:pPr>
            <w:r>
              <w:rPr>
                <w:rFonts w:ascii="Arial Narrow" w:hAnsi="Arial Narrow"/>
                <w:sz w:val="16"/>
                <w:szCs w:val="16"/>
              </w:rPr>
              <w:t>185</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214</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Μεταβιβάσεις από τακτικό προϋπολογισμό</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sidRPr="00EE2DCF">
              <w:rPr>
                <w:rFonts w:ascii="Arial Narrow" w:hAnsi="Arial Narrow"/>
                <w:sz w:val="16"/>
                <w:szCs w:val="16"/>
              </w:rPr>
              <w:t>5</w:t>
            </w:r>
            <w:r>
              <w:rPr>
                <w:rFonts w:ascii="Arial Narrow" w:hAnsi="Arial Narrow"/>
                <w:sz w:val="16"/>
                <w:szCs w:val="16"/>
              </w:rPr>
              <w:t>8</w:t>
            </w:r>
            <w:r w:rsidRPr="00EE2DCF">
              <w:rPr>
                <w:rFonts w:ascii="Arial Narrow" w:hAnsi="Arial Narrow"/>
                <w:sz w:val="16"/>
                <w:szCs w:val="16"/>
              </w:rPr>
              <w:t>5</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1.076</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Μεταβιβάσεις από ΠΔΕ</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150</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sidRPr="00EE2DCF">
              <w:rPr>
                <w:rFonts w:ascii="Arial Narrow" w:hAnsi="Arial Narrow"/>
                <w:sz w:val="16"/>
                <w:szCs w:val="16"/>
              </w:rPr>
              <w:t>150</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Απόδοση περιουσίας</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sidRPr="00EE2DCF">
              <w:rPr>
                <w:rFonts w:ascii="Arial Narrow" w:hAnsi="Arial Narrow"/>
                <w:sz w:val="16"/>
                <w:szCs w:val="16"/>
              </w:rPr>
              <w:t>71</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sidRPr="00EE2DCF">
              <w:rPr>
                <w:rFonts w:ascii="Arial Narrow" w:hAnsi="Arial Narrow"/>
                <w:sz w:val="16"/>
                <w:szCs w:val="16"/>
              </w:rPr>
              <w:t>71</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Εισπράξεις υπέρ Δημοσίου και τρίτων</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98</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98</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Λοιπά έσοδα</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sidRPr="00EE2DCF">
              <w:rPr>
                <w:rFonts w:ascii="Arial Narrow" w:hAnsi="Arial Narrow"/>
                <w:sz w:val="16"/>
                <w:szCs w:val="16"/>
              </w:rPr>
              <w:t>58</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sidRPr="00EE2DCF">
              <w:rPr>
                <w:rFonts w:ascii="Arial Narrow" w:hAnsi="Arial Narrow"/>
                <w:sz w:val="16"/>
                <w:szCs w:val="16"/>
              </w:rPr>
              <w:t>58</w:t>
            </w:r>
          </w:p>
        </w:tc>
      </w:tr>
      <w:tr w:rsidR="009174DA" w:rsidRPr="00794616" w:rsidTr="003C79F3">
        <w:trPr>
          <w:jc w:val="center"/>
        </w:trPr>
        <w:tc>
          <w:tcPr>
            <w:tcW w:w="5426" w:type="dxa"/>
            <w:tcBorders>
              <w:top w:val="nil"/>
              <w:bottom w:val="nil"/>
              <w:right w:val="nil"/>
            </w:tcBorders>
          </w:tcPr>
          <w:p w:rsidR="009174DA" w:rsidRPr="00794616" w:rsidRDefault="00B521BB" w:rsidP="003C79F3">
            <w:pPr>
              <w:rPr>
                <w:rFonts w:ascii="Arial Narrow" w:hAnsi="Arial Narrow"/>
                <w:b/>
                <w:bCs/>
                <w:sz w:val="16"/>
                <w:szCs w:val="16"/>
              </w:rPr>
            </w:pPr>
            <w:r>
              <w:rPr>
                <w:rFonts w:ascii="Arial Narrow" w:hAnsi="Arial Narrow"/>
                <w:b/>
                <w:bCs/>
                <w:sz w:val="16"/>
                <w:szCs w:val="16"/>
              </w:rPr>
              <w:t>Δαπάνες</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b/>
                <w:bCs/>
                <w:sz w:val="16"/>
                <w:szCs w:val="16"/>
              </w:rPr>
            </w:pPr>
            <w:r>
              <w:rPr>
                <w:rFonts w:ascii="Arial Narrow" w:hAnsi="Arial Narrow"/>
                <w:b/>
                <w:bCs/>
                <w:sz w:val="16"/>
                <w:szCs w:val="16"/>
              </w:rPr>
              <w:t>3.544</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b/>
                <w:bCs/>
                <w:sz w:val="16"/>
                <w:szCs w:val="16"/>
              </w:rPr>
            </w:pPr>
            <w:r w:rsidRPr="00EE2DCF">
              <w:rPr>
                <w:rFonts w:ascii="Arial Narrow" w:hAnsi="Arial Narrow"/>
                <w:b/>
                <w:bCs/>
                <w:sz w:val="16"/>
                <w:szCs w:val="16"/>
              </w:rPr>
              <w:t>2.</w:t>
            </w:r>
            <w:r>
              <w:rPr>
                <w:rFonts w:ascii="Arial Narrow" w:hAnsi="Arial Narrow"/>
                <w:b/>
                <w:bCs/>
                <w:sz w:val="16"/>
                <w:szCs w:val="16"/>
              </w:rPr>
              <w:t>573</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Επιδόματα ανεργίας</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2.148</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1.328</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Προγράμματα απασχόλησης</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453</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500</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Λοιπές προνοιακές παροχές</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111</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104</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Μεταβιβάσεις στο ΙΚΑ</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511</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313</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Απόδοση εισπράξεων τρίτων</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sidRPr="00EE2DCF">
              <w:rPr>
                <w:rFonts w:ascii="Arial Narrow" w:hAnsi="Arial Narrow"/>
                <w:sz w:val="16"/>
                <w:szCs w:val="16"/>
              </w:rPr>
              <w:t>98</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sidRPr="00EE2DCF">
              <w:rPr>
                <w:rFonts w:ascii="Arial Narrow" w:hAnsi="Arial Narrow"/>
                <w:sz w:val="16"/>
                <w:szCs w:val="16"/>
              </w:rPr>
              <w:t>98</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Δαπάνες προσωπικού</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lang w:val="en-US"/>
              </w:rPr>
            </w:pPr>
            <w:r>
              <w:rPr>
                <w:rFonts w:ascii="Arial Narrow" w:hAnsi="Arial Narrow"/>
                <w:sz w:val="16"/>
                <w:szCs w:val="16"/>
              </w:rPr>
              <w:t>99</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106</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Επενδυτικές δαπάνες</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sidRPr="00EE2DCF">
              <w:rPr>
                <w:rFonts w:ascii="Arial Narrow" w:hAnsi="Arial Narrow"/>
                <w:sz w:val="16"/>
                <w:szCs w:val="16"/>
              </w:rPr>
              <w:t>12</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sidRPr="00EE2DCF">
              <w:rPr>
                <w:rFonts w:ascii="Arial Narrow" w:hAnsi="Arial Narrow"/>
                <w:sz w:val="16"/>
                <w:szCs w:val="16"/>
              </w:rPr>
              <w:t>12</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Λοιπές δαπάνες</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sidRPr="00EE2DCF">
              <w:rPr>
                <w:rFonts w:ascii="Arial Narrow" w:hAnsi="Arial Narrow"/>
                <w:sz w:val="16"/>
                <w:szCs w:val="16"/>
              </w:rPr>
              <w:t>112</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sidRPr="00EE2DCF">
              <w:rPr>
                <w:rFonts w:ascii="Arial Narrow" w:hAnsi="Arial Narrow"/>
                <w:sz w:val="16"/>
                <w:szCs w:val="16"/>
              </w:rPr>
              <w:t>112</w:t>
            </w:r>
          </w:p>
        </w:tc>
      </w:tr>
      <w:tr w:rsidR="009174DA" w:rsidRPr="00794616" w:rsidTr="005040CE">
        <w:trPr>
          <w:jc w:val="center"/>
        </w:trPr>
        <w:tc>
          <w:tcPr>
            <w:tcW w:w="5426" w:type="dxa"/>
            <w:tcBorders>
              <w:top w:val="nil"/>
              <w:bottom w:val="nil"/>
              <w:right w:val="nil"/>
            </w:tcBorders>
            <w:shd w:val="clear" w:color="auto" w:fill="D9D9D9" w:themeFill="background1" w:themeFillShade="D9"/>
          </w:tcPr>
          <w:p w:rsidR="009174DA" w:rsidRPr="00794616" w:rsidRDefault="009174DA" w:rsidP="003C79F3">
            <w:pPr>
              <w:rPr>
                <w:rFonts w:ascii="Arial Narrow" w:hAnsi="Arial Narrow"/>
                <w:b/>
                <w:sz w:val="16"/>
                <w:szCs w:val="16"/>
              </w:rPr>
            </w:pPr>
            <w:r w:rsidRPr="00794616">
              <w:rPr>
                <w:rFonts w:ascii="Arial Narrow" w:hAnsi="Arial Narrow"/>
                <w:b/>
                <w:sz w:val="16"/>
                <w:szCs w:val="16"/>
              </w:rPr>
              <w:t>Ταμειακό ισοζύγιο</w:t>
            </w:r>
          </w:p>
        </w:tc>
        <w:tc>
          <w:tcPr>
            <w:tcW w:w="1669" w:type="dxa"/>
            <w:tcBorders>
              <w:top w:val="nil"/>
              <w:left w:val="nil"/>
              <w:bottom w:val="nil"/>
              <w:right w:val="nil"/>
            </w:tcBorders>
            <w:shd w:val="clear" w:color="auto" w:fill="D9D9D9" w:themeFill="background1" w:themeFillShade="D9"/>
            <w:vAlign w:val="center"/>
          </w:tcPr>
          <w:p w:rsidR="009174DA" w:rsidRPr="00EE2DCF" w:rsidRDefault="009174DA" w:rsidP="00CD55E6">
            <w:pPr>
              <w:ind w:right="567"/>
              <w:jc w:val="right"/>
              <w:rPr>
                <w:rFonts w:ascii="Arial Narrow" w:hAnsi="Arial Narrow"/>
                <w:b/>
                <w:bCs/>
                <w:sz w:val="16"/>
                <w:szCs w:val="16"/>
              </w:rPr>
            </w:pPr>
            <w:r>
              <w:rPr>
                <w:rFonts w:ascii="Arial Narrow" w:hAnsi="Arial Narrow"/>
                <w:b/>
                <w:bCs/>
                <w:sz w:val="16"/>
                <w:szCs w:val="16"/>
              </w:rPr>
              <w:t>-720</w:t>
            </w:r>
          </w:p>
        </w:tc>
        <w:tc>
          <w:tcPr>
            <w:tcW w:w="1656" w:type="dxa"/>
            <w:tcBorders>
              <w:top w:val="nil"/>
              <w:left w:val="nil"/>
              <w:bottom w:val="nil"/>
            </w:tcBorders>
            <w:shd w:val="clear" w:color="auto" w:fill="D9D9D9" w:themeFill="background1" w:themeFillShade="D9"/>
            <w:vAlign w:val="center"/>
          </w:tcPr>
          <w:p w:rsidR="009174DA" w:rsidRPr="00EE2DCF" w:rsidRDefault="009174DA" w:rsidP="00CD55E6">
            <w:pPr>
              <w:ind w:right="567"/>
              <w:jc w:val="right"/>
              <w:rPr>
                <w:rFonts w:ascii="Arial Narrow" w:hAnsi="Arial Narrow"/>
                <w:b/>
                <w:bCs/>
                <w:sz w:val="16"/>
                <w:szCs w:val="16"/>
              </w:rPr>
            </w:pPr>
            <w:r>
              <w:rPr>
                <w:rFonts w:ascii="Arial Narrow" w:hAnsi="Arial Narrow"/>
                <w:b/>
                <w:bCs/>
                <w:sz w:val="16"/>
                <w:szCs w:val="16"/>
              </w:rPr>
              <w:t>91</w:t>
            </w:r>
          </w:p>
        </w:tc>
      </w:tr>
      <w:tr w:rsidR="009174DA" w:rsidRPr="00794616" w:rsidTr="005040CE">
        <w:trPr>
          <w:jc w:val="center"/>
        </w:trPr>
        <w:tc>
          <w:tcPr>
            <w:tcW w:w="5426" w:type="dxa"/>
            <w:tcBorders>
              <w:top w:val="nil"/>
              <w:bottom w:val="nil"/>
              <w:right w:val="nil"/>
            </w:tcBorders>
            <w:shd w:val="clear" w:color="auto" w:fill="D9D9D9" w:themeFill="background1" w:themeFillShade="D9"/>
          </w:tcPr>
          <w:p w:rsidR="009174DA" w:rsidRPr="00794616" w:rsidRDefault="009174DA" w:rsidP="003C79F3">
            <w:pPr>
              <w:rPr>
                <w:rFonts w:ascii="Arial Narrow" w:hAnsi="Arial Narrow"/>
                <w:b/>
                <w:sz w:val="16"/>
                <w:szCs w:val="16"/>
              </w:rPr>
            </w:pPr>
            <w:r w:rsidRPr="00794616">
              <w:rPr>
                <w:rFonts w:ascii="Arial Narrow" w:hAnsi="Arial Narrow"/>
                <w:b/>
                <w:sz w:val="16"/>
                <w:szCs w:val="16"/>
              </w:rPr>
              <w:t>Εθνικολογιστικές προσαρμογές</w:t>
            </w:r>
          </w:p>
        </w:tc>
        <w:tc>
          <w:tcPr>
            <w:tcW w:w="1669" w:type="dxa"/>
            <w:tcBorders>
              <w:top w:val="nil"/>
              <w:left w:val="nil"/>
              <w:bottom w:val="nil"/>
              <w:right w:val="nil"/>
            </w:tcBorders>
            <w:shd w:val="clear" w:color="auto" w:fill="D9D9D9" w:themeFill="background1" w:themeFillShade="D9"/>
            <w:vAlign w:val="center"/>
          </w:tcPr>
          <w:p w:rsidR="009174DA" w:rsidRPr="00EE2DCF" w:rsidRDefault="009174DA" w:rsidP="00CD55E6">
            <w:pPr>
              <w:ind w:right="567"/>
              <w:jc w:val="right"/>
              <w:rPr>
                <w:rFonts w:ascii="Arial Narrow" w:hAnsi="Arial Narrow"/>
                <w:b/>
                <w:bCs/>
                <w:sz w:val="16"/>
                <w:szCs w:val="16"/>
              </w:rPr>
            </w:pPr>
            <w:r w:rsidRPr="00EE2DCF">
              <w:rPr>
                <w:rFonts w:ascii="Arial Narrow" w:hAnsi="Arial Narrow"/>
                <w:b/>
                <w:bCs/>
                <w:sz w:val="16"/>
                <w:szCs w:val="16"/>
              </w:rPr>
              <w:t>0</w:t>
            </w:r>
          </w:p>
        </w:tc>
        <w:tc>
          <w:tcPr>
            <w:tcW w:w="1656" w:type="dxa"/>
            <w:tcBorders>
              <w:top w:val="nil"/>
              <w:left w:val="nil"/>
              <w:bottom w:val="nil"/>
            </w:tcBorders>
            <w:shd w:val="clear" w:color="auto" w:fill="D9D9D9" w:themeFill="background1" w:themeFillShade="D9"/>
            <w:vAlign w:val="center"/>
          </w:tcPr>
          <w:p w:rsidR="009174DA" w:rsidRPr="00EE2DCF" w:rsidRDefault="009174DA" w:rsidP="00CD55E6">
            <w:pPr>
              <w:ind w:right="567"/>
              <w:jc w:val="right"/>
              <w:rPr>
                <w:rFonts w:ascii="Arial Narrow" w:hAnsi="Arial Narrow"/>
                <w:b/>
                <w:bCs/>
                <w:sz w:val="16"/>
                <w:szCs w:val="16"/>
              </w:rPr>
            </w:pPr>
            <w:r w:rsidRPr="00EE2DCF">
              <w:rPr>
                <w:rFonts w:ascii="Arial Narrow" w:hAnsi="Arial Narrow"/>
                <w:b/>
                <w:bCs/>
                <w:sz w:val="16"/>
                <w:szCs w:val="16"/>
              </w:rPr>
              <w:t>0</w:t>
            </w:r>
          </w:p>
        </w:tc>
      </w:tr>
      <w:tr w:rsidR="009174DA" w:rsidRPr="00794616" w:rsidTr="005040CE">
        <w:trPr>
          <w:jc w:val="center"/>
        </w:trPr>
        <w:tc>
          <w:tcPr>
            <w:tcW w:w="5426" w:type="dxa"/>
            <w:tcBorders>
              <w:top w:val="nil"/>
              <w:bottom w:val="single" w:sz="4" w:space="0" w:color="auto"/>
              <w:right w:val="nil"/>
            </w:tcBorders>
            <w:shd w:val="clear" w:color="auto" w:fill="D9D9D9" w:themeFill="background1" w:themeFillShade="D9"/>
          </w:tcPr>
          <w:p w:rsidR="009174DA" w:rsidRPr="00794616" w:rsidRDefault="009174DA" w:rsidP="003C79F3">
            <w:pPr>
              <w:rPr>
                <w:rFonts w:ascii="Arial Narrow" w:hAnsi="Arial Narrow"/>
                <w:b/>
                <w:bCs/>
                <w:sz w:val="16"/>
                <w:szCs w:val="16"/>
              </w:rPr>
            </w:pPr>
            <w:r w:rsidRPr="00794616">
              <w:rPr>
                <w:rFonts w:ascii="Arial Narrow" w:hAnsi="Arial Narrow"/>
                <w:b/>
                <w:bCs/>
                <w:sz w:val="16"/>
                <w:szCs w:val="16"/>
              </w:rPr>
              <w:t xml:space="preserve">Ισοζύγιο κατά </w:t>
            </w:r>
            <w:r w:rsidRPr="00794616">
              <w:rPr>
                <w:rFonts w:ascii="Arial Narrow" w:hAnsi="Arial Narrow"/>
                <w:b/>
                <w:bCs/>
                <w:sz w:val="16"/>
                <w:szCs w:val="16"/>
                <w:lang w:val="en-GB"/>
              </w:rPr>
              <w:t>ESA</w:t>
            </w:r>
          </w:p>
        </w:tc>
        <w:tc>
          <w:tcPr>
            <w:tcW w:w="1669" w:type="dxa"/>
            <w:tcBorders>
              <w:top w:val="nil"/>
              <w:left w:val="nil"/>
              <w:bottom w:val="single" w:sz="4" w:space="0" w:color="auto"/>
              <w:right w:val="nil"/>
            </w:tcBorders>
            <w:shd w:val="clear" w:color="auto" w:fill="D9D9D9" w:themeFill="background1" w:themeFillShade="D9"/>
            <w:vAlign w:val="center"/>
          </w:tcPr>
          <w:p w:rsidR="009174DA" w:rsidRPr="00EE2DCF" w:rsidRDefault="009174DA" w:rsidP="00CD55E6">
            <w:pPr>
              <w:ind w:right="567"/>
              <w:jc w:val="right"/>
              <w:rPr>
                <w:rFonts w:ascii="Arial Narrow" w:hAnsi="Arial Narrow"/>
                <w:b/>
                <w:bCs/>
                <w:sz w:val="16"/>
                <w:szCs w:val="16"/>
              </w:rPr>
            </w:pPr>
            <w:r>
              <w:rPr>
                <w:rFonts w:ascii="Arial Narrow" w:hAnsi="Arial Narrow"/>
                <w:b/>
                <w:bCs/>
                <w:sz w:val="16"/>
                <w:szCs w:val="16"/>
              </w:rPr>
              <w:t>-720</w:t>
            </w:r>
          </w:p>
        </w:tc>
        <w:tc>
          <w:tcPr>
            <w:tcW w:w="1656" w:type="dxa"/>
            <w:tcBorders>
              <w:top w:val="nil"/>
              <w:left w:val="nil"/>
              <w:bottom w:val="single" w:sz="4" w:space="0" w:color="auto"/>
            </w:tcBorders>
            <w:shd w:val="clear" w:color="auto" w:fill="D9D9D9" w:themeFill="background1" w:themeFillShade="D9"/>
            <w:vAlign w:val="center"/>
          </w:tcPr>
          <w:p w:rsidR="009174DA" w:rsidRPr="00EE2DCF" w:rsidRDefault="009174DA" w:rsidP="00CD55E6">
            <w:pPr>
              <w:ind w:right="567"/>
              <w:jc w:val="right"/>
              <w:rPr>
                <w:rFonts w:ascii="Arial Narrow" w:hAnsi="Arial Narrow"/>
                <w:b/>
                <w:bCs/>
                <w:sz w:val="16"/>
                <w:szCs w:val="16"/>
              </w:rPr>
            </w:pPr>
            <w:r>
              <w:rPr>
                <w:rFonts w:ascii="Arial Narrow" w:hAnsi="Arial Narrow"/>
                <w:b/>
                <w:bCs/>
                <w:sz w:val="16"/>
                <w:szCs w:val="16"/>
              </w:rPr>
              <w:t>91</w:t>
            </w:r>
          </w:p>
        </w:tc>
      </w:tr>
      <w:tr w:rsidR="009174DA" w:rsidRPr="00794616" w:rsidTr="005040CE">
        <w:trPr>
          <w:jc w:val="center"/>
        </w:trPr>
        <w:tc>
          <w:tcPr>
            <w:tcW w:w="5426" w:type="dxa"/>
            <w:tcBorders>
              <w:top w:val="single" w:sz="4" w:space="0" w:color="auto"/>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lastRenderedPageBreak/>
              <w:t xml:space="preserve">γ) ΕΟΠΥΥ </w:t>
            </w:r>
          </w:p>
        </w:tc>
        <w:tc>
          <w:tcPr>
            <w:tcW w:w="1669" w:type="dxa"/>
            <w:tcBorders>
              <w:top w:val="single" w:sz="4" w:space="0" w:color="auto"/>
              <w:left w:val="nil"/>
              <w:bottom w:val="nil"/>
              <w:right w:val="nil"/>
            </w:tcBorders>
            <w:vAlign w:val="center"/>
          </w:tcPr>
          <w:p w:rsidR="009174DA" w:rsidRPr="00EE2DCF" w:rsidRDefault="009174DA" w:rsidP="00CD55E6">
            <w:pPr>
              <w:ind w:right="567"/>
              <w:jc w:val="right"/>
              <w:rPr>
                <w:rFonts w:ascii="Arial Narrow" w:hAnsi="Arial Narrow"/>
                <w:b/>
                <w:bCs/>
                <w:sz w:val="16"/>
                <w:szCs w:val="16"/>
              </w:rPr>
            </w:pPr>
            <w:r w:rsidRPr="00EE2DCF">
              <w:rPr>
                <w:rFonts w:ascii="Arial Narrow" w:hAnsi="Arial Narrow"/>
                <w:b/>
                <w:bCs/>
                <w:sz w:val="16"/>
                <w:szCs w:val="16"/>
              </w:rPr>
              <w:t> </w:t>
            </w:r>
          </w:p>
        </w:tc>
        <w:tc>
          <w:tcPr>
            <w:tcW w:w="1656" w:type="dxa"/>
            <w:tcBorders>
              <w:top w:val="single" w:sz="4" w:space="0" w:color="auto"/>
              <w:left w:val="nil"/>
              <w:bottom w:val="nil"/>
            </w:tcBorders>
            <w:vAlign w:val="center"/>
          </w:tcPr>
          <w:p w:rsidR="009174DA" w:rsidRPr="00EE2DCF" w:rsidRDefault="009174DA" w:rsidP="00CD55E6">
            <w:pPr>
              <w:ind w:right="567"/>
              <w:jc w:val="right"/>
              <w:rPr>
                <w:rFonts w:ascii="Arial Narrow" w:hAnsi="Arial Narrow"/>
                <w:b/>
                <w:bCs/>
                <w:sz w:val="16"/>
                <w:szCs w:val="16"/>
              </w:rPr>
            </w:pPr>
            <w:r w:rsidRPr="00EE2DCF">
              <w:rPr>
                <w:rFonts w:ascii="Arial Narrow" w:hAnsi="Arial Narrow"/>
                <w:b/>
                <w:bCs/>
                <w:sz w:val="16"/>
                <w:szCs w:val="16"/>
              </w:rPr>
              <w:t> </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b/>
                <w:bCs/>
                <w:sz w:val="16"/>
                <w:szCs w:val="16"/>
              </w:rPr>
            </w:pPr>
            <w:r w:rsidRPr="00794616">
              <w:rPr>
                <w:rFonts w:ascii="Arial Narrow" w:hAnsi="Arial Narrow"/>
                <w:b/>
                <w:bCs/>
                <w:sz w:val="16"/>
                <w:szCs w:val="16"/>
              </w:rPr>
              <w:t>Έσοδα</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b/>
                <w:bCs/>
                <w:sz w:val="16"/>
                <w:szCs w:val="16"/>
              </w:rPr>
            </w:pPr>
            <w:r w:rsidRPr="00EE2DCF">
              <w:rPr>
                <w:rFonts w:ascii="Arial Narrow" w:hAnsi="Arial Narrow"/>
                <w:b/>
                <w:bCs/>
                <w:sz w:val="16"/>
                <w:szCs w:val="16"/>
              </w:rPr>
              <w:t>5.</w:t>
            </w:r>
            <w:r>
              <w:rPr>
                <w:rFonts w:ascii="Arial Narrow" w:hAnsi="Arial Narrow"/>
                <w:b/>
                <w:bCs/>
                <w:sz w:val="16"/>
                <w:szCs w:val="16"/>
              </w:rPr>
              <w:t>566</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b/>
                <w:bCs/>
                <w:sz w:val="16"/>
                <w:szCs w:val="16"/>
              </w:rPr>
            </w:pPr>
            <w:r>
              <w:rPr>
                <w:rFonts w:ascii="Arial Narrow" w:hAnsi="Arial Narrow"/>
                <w:b/>
                <w:bCs/>
                <w:sz w:val="16"/>
                <w:szCs w:val="16"/>
              </w:rPr>
              <w:t>5.509</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Ασφαλιστικές εισφορές</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sidRPr="00EE2DCF">
              <w:rPr>
                <w:rFonts w:ascii="Arial Narrow" w:hAnsi="Arial Narrow"/>
                <w:sz w:val="16"/>
                <w:szCs w:val="16"/>
                <w:lang w:val="en-US"/>
              </w:rPr>
              <w:t>4.</w:t>
            </w:r>
            <w:r>
              <w:rPr>
                <w:rFonts w:ascii="Arial Narrow" w:hAnsi="Arial Narrow"/>
                <w:sz w:val="16"/>
                <w:szCs w:val="16"/>
              </w:rPr>
              <w:t>144</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4.363</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Ρύθμιση οφειλών</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229</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265</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Μεταβιβάσεις από τακτικό προϋπολογισμό</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608</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300</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Μεταβιβάσεις από φορείς κοινωνικής ασφάλισης</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215</w:t>
            </w:r>
          </w:p>
        </w:tc>
        <w:tc>
          <w:tcPr>
            <w:tcW w:w="1656" w:type="dxa"/>
            <w:tcBorders>
              <w:top w:val="nil"/>
              <w:left w:val="nil"/>
              <w:bottom w:val="nil"/>
            </w:tcBorders>
            <w:vAlign w:val="center"/>
          </w:tcPr>
          <w:p w:rsidR="009174DA" w:rsidRPr="00BC3460" w:rsidRDefault="009174DA" w:rsidP="00CD55E6">
            <w:pPr>
              <w:ind w:right="567"/>
              <w:jc w:val="right"/>
              <w:rPr>
                <w:rFonts w:ascii="Arial Narrow" w:hAnsi="Arial Narrow"/>
                <w:sz w:val="16"/>
                <w:szCs w:val="16"/>
              </w:rPr>
            </w:pPr>
            <w:r>
              <w:rPr>
                <w:rFonts w:ascii="Arial Narrow" w:hAnsi="Arial Narrow"/>
                <w:sz w:val="16"/>
                <w:szCs w:val="16"/>
              </w:rPr>
              <w:t>230</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Απόδοση περιουσίας</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95</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70</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Εισπράξεις υπέρ Δημοσίου και τρίτων</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260</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260</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Λοιπά έσοδα</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15</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20</w:t>
            </w:r>
          </w:p>
        </w:tc>
      </w:tr>
      <w:tr w:rsidR="009174DA" w:rsidRPr="00794616" w:rsidTr="003C79F3">
        <w:trPr>
          <w:jc w:val="center"/>
        </w:trPr>
        <w:tc>
          <w:tcPr>
            <w:tcW w:w="5426" w:type="dxa"/>
            <w:tcBorders>
              <w:top w:val="nil"/>
              <w:bottom w:val="nil"/>
              <w:right w:val="nil"/>
            </w:tcBorders>
          </w:tcPr>
          <w:p w:rsidR="009174DA" w:rsidRPr="00794616" w:rsidRDefault="00B521BB" w:rsidP="003C79F3">
            <w:pPr>
              <w:rPr>
                <w:rFonts w:ascii="Arial Narrow" w:hAnsi="Arial Narrow"/>
                <w:b/>
                <w:bCs/>
                <w:sz w:val="16"/>
                <w:szCs w:val="16"/>
              </w:rPr>
            </w:pPr>
            <w:r>
              <w:rPr>
                <w:rFonts w:ascii="Arial Narrow" w:hAnsi="Arial Narrow"/>
                <w:b/>
                <w:bCs/>
                <w:sz w:val="16"/>
                <w:szCs w:val="16"/>
              </w:rPr>
              <w:t>Δαπάνες</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b/>
                <w:bCs/>
                <w:sz w:val="16"/>
                <w:szCs w:val="16"/>
              </w:rPr>
            </w:pPr>
            <w:r>
              <w:rPr>
                <w:rFonts w:ascii="Arial Narrow" w:hAnsi="Arial Narrow"/>
                <w:b/>
                <w:bCs/>
                <w:sz w:val="16"/>
                <w:szCs w:val="16"/>
              </w:rPr>
              <w:t>5.852</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b/>
                <w:bCs/>
                <w:sz w:val="16"/>
                <w:szCs w:val="16"/>
              </w:rPr>
            </w:pPr>
            <w:r>
              <w:rPr>
                <w:rFonts w:ascii="Arial Narrow" w:hAnsi="Arial Narrow"/>
                <w:b/>
                <w:bCs/>
                <w:sz w:val="16"/>
                <w:szCs w:val="16"/>
              </w:rPr>
              <w:t>5.610</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Φαρμακευτική δαπάνη</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2.488</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2.358</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Λοιπές παροχές ασθένειας</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2.030</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1.934</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Απόδοση εισπράξεων τρίτων</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260</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260</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Δαπάνες προσωπικού</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41</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44</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Λοιπές  δαπάνες</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115</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114</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Μεταβιβάσεις προς φορείς Γενικής Κυβέρνησης</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919</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sidRPr="00EE2DCF">
              <w:rPr>
                <w:rFonts w:ascii="Arial Narrow" w:hAnsi="Arial Narrow"/>
                <w:sz w:val="16"/>
                <w:szCs w:val="16"/>
              </w:rPr>
              <w:t>900</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i/>
                <w:sz w:val="16"/>
                <w:szCs w:val="16"/>
              </w:rPr>
            </w:pPr>
            <w:r w:rsidRPr="00794616">
              <w:rPr>
                <w:rFonts w:ascii="Arial Narrow" w:hAnsi="Arial Narrow"/>
                <w:i/>
                <w:sz w:val="16"/>
                <w:szCs w:val="16"/>
              </w:rPr>
              <w:t xml:space="preserve">   εκ των οποίων σε νοσοκομεία</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i/>
                <w:iCs/>
                <w:sz w:val="16"/>
                <w:szCs w:val="16"/>
              </w:rPr>
            </w:pPr>
            <w:r w:rsidRPr="00EE2DCF">
              <w:rPr>
                <w:rFonts w:ascii="Arial Narrow" w:hAnsi="Arial Narrow"/>
                <w:i/>
                <w:iCs/>
                <w:sz w:val="16"/>
                <w:szCs w:val="16"/>
              </w:rPr>
              <w:t>888</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i/>
                <w:iCs/>
                <w:sz w:val="16"/>
                <w:szCs w:val="16"/>
              </w:rPr>
            </w:pPr>
            <w:r w:rsidRPr="00EE2DCF">
              <w:rPr>
                <w:rFonts w:ascii="Arial Narrow" w:hAnsi="Arial Narrow"/>
                <w:i/>
                <w:iCs/>
                <w:sz w:val="16"/>
                <w:szCs w:val="16"/>
              </w:rPr>
              <w:t>888</w:t>
            </w:r>
          </w:p>
        </w:tc>
      </w:tr>
      <w:tr w:rsidR="009174DA" w:rsidRPr="00794616" w:rsidTr="003C79F3">
        <w:trPr>
          <w:jc w:val="center"/>
        </w:trPr>
        <w:tc>
          <w:tcPr>
            <w:tcW w:w="5426" w:type="dxa"/>
            <w:tcBorders>
              <w:top w:val="nil"/>
              <w:bottom w:val="nil"/>
              <w:right w:val="nil"/>
            </w:tcBorders>
            <w:shd w:val="clear" w:color="auto" w:fill="D9D9D9" w:themeFill="background1" w:themeFillShade="D9"/>
          </w:tcPr>
          <w:p w:rsidR="009174DA" w:rsidRPr="00794616" w:rsidRDefault="009174DA" w:rsidP="003C79F3">
            <w:pPr>
              <w:rPr>
                <w:rFonts w:ascii="Arial Narrow" w:hAnsi="Arial Narrow"/>
                <w:b/>
                <w:sz w:val="16"/>
                <w:szCs w:val="16"/>
              </w:rPr>
            </w:pPr>
            <w:r w:rsidRPr="00794616">
              <w:rPr>
                <w:rFonts w:ascii="Arial Narrow" w:hAnsi="Arial Narrow"/>
                <w:b/>
                <w:sz w:val="16"/>
                <w:szCs w:val="16"/>
              </w:rPr>
              <w:t>Ταμειακό ισοζύγιο</w:t>
            </w:r>
          </w:p>
        </w:tc>
        <w:tc>
          <w:tcPr>
            <w:tcW w:w="1669" w:type="dxa"/>
            <w:tcBorders>
              <w:top w:val="nil"/>
              <w:left w:val="nil"/>
              <w:bottom w:val="nil"/>
              <w:right w:val="nil"/>
            </w:tcBorders>
            <w:shd w:val="clear" w:color="auto" w:fill="D9D9D9" w:themeFill="background1" w:themeFillShade="D9"/>
            <w:vAlign w:val="center"/>
          </w:tcPr>
          <w:p w:rsidR="009174DA" w:rsidRPr="00EE2DCF" w:rsidRDefault="009174DA" w:rsidP="00CD55E6">
            <w:pPr>
              <w:ind w:right="567"/>
              <w:jc w:val="right"/>
              <w:rPr>
                <w:rFonts w:ascii="Arial Narrow" w:hAnsi="Arial Narrow"/>
                <w:b/>
                <w:bCs/>
                <w:sz w:val="16"/>
                <w:szCs w:val="16"/>
              </w:rPr>
            </w:pPr>
            <w:r>
              <w:rPr>
                <w:rFonts w:ascii="Arial Narrow" w:hAnsi="Arial Narrow"/>
                <w:b/>
                <w:bCs/>
                <w:sz w:val="16"/>
                <w:szCs w:val="16"/>
              </w:rPr>
              <w:t>-287</w:t>
            </w:r>
          </w:p>
        </w:tc>
        <w:tc>
          <w:tcPr>
            <w:tcW w:w="1656" w:type="dxa"/>
            <w:tcBorders>
              <w:top w:val="nil"/>
              <w:left w:val="nil"/>
              <w:bottom w:val="nil"/>
            </w:tcBorders>
            <w:shd w:val="clear" w:color="auto" w:fill="D9D9D9" w:themeFill="background1" w:themeFillShade="D9"/>
            <w:vAlign w:val="center"/>
          </w:tcPr>
          <w:p w:rsidR="009174DA" w:rsidRPr="00EE2DCF" w:rsidRDefault="009174DA" w:rsidP="00CD55E6">
            <w:pPr>
              <w:ind w:right="567"/>
              <w:jc w:val="right"/>
              <w:rPr>
                <w:rFonts w:ascii="Arial Narrow" w:hAnsi="Arial Narrow"/>
                <w:b/>
                <w:bCs/>
                <w:sz w:val="16"/>
                <w:szCs w:val="16"/>
              </w:rPr>
            </w:pPr>
            <w:r>
              <w:rPr>
                <w:rFonts w:ascii="Arial Narrow" w:hAnsi="Arial Narrow"/>
                <w:b/>
                <w:bCs/>
                <w:sz w:val="16"/>
                <w:szCs w:val="16"/>
              </w:rPr>
              <w:t>-102</w:t>
            </w:r>
          </w:p>
        </w:tc>
      </w:tr>
      <w:tr w:rsidR="009174DA" w:rsidRPr="00794616" w:rsidTr="00794616">
        <w:trPr>
          <w:jc w:val="center"/>
        </w:trPr>
        <w:tc>
          <w:tcPr>
            <w:tcW w:w="5426" w:type="dxa"/>
            <w:tcBorders>
              <w:top w:val="nil"/>
              <w:bottom w:val="nil"/>
              <w:right w:val="nil"/>
            </w:tcBorders>
            <w:shd w:val="clear" w:color="auto" w:fill="D9D9D9" w:themeFill="background1" w:themeFillShade="D9"/>
          </w:tcPr>
          <w:p w:rsidR="009174DA" w:rsidRPr="00794616" w:rsidRDefault="009174DA" w:rsidP="003C79F3">
            <w:pPr>
              <w:rPr>
                <w:rFonts w:ascii="Arial Narrow" w:hAnsi="Arial Narrow"/>
                <w:b/>
                <w:sz w:val="16"/>
                <w:szCs w:val="16"/>
              </w:rPr>
            </w:pPr>
            <w:r w:rsidRPr="00794616">
              <w:rPr>
                <w:rFonts w:ascii="Arial Narrow" w:hAnsi="Arial Narrow"/>
                <w:b/>
                <w:sz w:val="16"/>
                <w:szCs w:val="16"/>
              </w:rPr>
              <w:t>Εθνικολογιστικές προσαρμογές</w:t>
            </w:r>
          </w:p>
        </w:tc>
        <w:tc>
          <w:tcPr>
            <w:tcW w:w="1669" w:type="dxa"/>
            <w:tcBorders>
              <w:top w:val="nil"/>
              <w:left w:val="nil"/>
              <w:bottom w:val="nil"/>
              <w:right w:val="nil"/>
            </w:tcBorders>
            <w:shd w:val="clear" w:color="auto" w:fill="D9D9D9" w:themeFill="background1" w:themeFillShade="D9"/>
            <w:vAlign w:val="center"/>
          </w:tcPr>
          <w:p w:rsidR="009174DA" w:rsidRPr="00EE2DCF" w:rsidRDefault="009174DA" w:rsidP="00CD55E6">
            <w:pPr>
              <w:ind w:right="567"/>
              <w:jc w:val="right"/>
              <w:rPr>
                <w:rFonts w:ascii="Arial Narrow" w:hAnsi="Arial Narrow"/>
                <w:b/>
                <w:bCs/>
                <w:sz w:val="16"/>
                <w:szCs w:val="16"/>
              </w:rPr>
            </w:pPr>
            <w:r>
              <w:rPr>
                <w:rFonts w:ascii="Arial Narrow" w:hAnsi="Arial Narrow"/>
                <w:b/>
                <w:bCs/>
                <w:sz w:val="16"/>
                <w:szCs w:val="16"/>
              </w:rPr>
              <w:t>550</w:t>
            </w:r>
          </w:p>
        </w:tc>
        <w:tc>
          <w:tcPr>
            <w:tcW w:w="1656" w:type="dxa"/>
            <w:tcBorders>
              <w:top w:val="nil"/>
              <w:left w:val="nil"/>
              <w:bottom w:val="nil"/>
            </w:tcBorders>
            <w:shd w:val="clear" w:color="auto" w:fill="D9D9D9" w:themeFill="background1" w:themeFillShade="D9"/>
            <w:vAlign w:val="center"/>
          </w:tcPr>
          <w:p w:rsidR="009174DA" w:rsidRPr="00EE2DCF" w:rsidRDefault="009174DA" w:rsidP="00CD55E6">
            <w:pPr>
              <w:ind w:right="567"/>
              <w:jc w:val="right"/>
              <w:rPr>
                <w:rFonts w:ascii="Arial Narrow" w:hAnsi="Arial Narrow"/>
                <w:b/>
                <w:bCs/>
                <w:sz w:val="16"/>
                <w:szCs w:val="16"/>
              </w:rPr>
            </w:pPr>
            <w:r>
              <w:rPr>
                <w:rFonts w:ascii="Arial Narrow" w:hAnsi="Arial Narrow"/>
                <w:b/>
                <w:bCs/>
                <w:sz w:val="16"/>
                <w:szCs w:val="16"/>
              </w:rPr>
              <w:t>350</w:t>
            </w:r>
          </w:p>
        </w:tc>
      </w:tr>
      <w:tr w:rsidR="009174DA" w:rsidRPr="00794616" w:rsidTr="00794616">
        <w:trPr>
          <w:jc w:val="center"/>
        </w:trPr>
        <w:tc>
          <w:tcPr>
            <w:tcW w:w="5426" w:type="dxa"/>
            <w:tcBorders>
              <w:top w:val="nil"/>
              <w:bottom w:val="nil"/>
              <w:right w:val="nil"/>
            </w:tcBorders>
            <w:shd w:val="clear" w:color="auto" w:fill="D9D9D9" w:themeFill="background1" w:themeFillShade="D9"/>
          </w:tcPr>
          <w:p w:rsidR="009174DA" w:rsidRPr="00794616" w:rsidRDefault="009174DA" w:rsidP="003C79F3">
            <w:pPr>
              <w:rPr>
                <w:rFonts w:ascii="Arial Narrow" w:hAnsi="Arial Narrow"/>
                <w:b/>
                <w:bCs/>
                <w:sz w:val="16"/>
                <w:szCs w:val="16"/>
              </w:rPr>
            </w:pPr>
            <w:r w:rsidRPr="00794616">
              <w:rPr>
                <w:rFonts w:ascii="Arial Narrow" w:hAnsi="Arial Narrow"/>
                <w:b/>
                <w:bCs/>
                <w:sz w:val="16"/>
                <w:szCs w:val="16"/>
              </w:rPr>
              <w:t xml:space="preserve">Ισοζύγιο κατά </w:t>
            </w:r>
            <w:r w:rsidRPr="00794616">
              <w:rPr>
                <w:rFonts w:ascii="Arial Narrow" w:hAnsi="Arial Narrow"/>
                <w:b/>
                <w:bCs/>
                <w:sz w:val="16"/>
                <w:szCs w:val="16"/>
                <w:lang w:val="en-GB"/>
              </w:rPr>
              <w:t>ESA</w:t>
            </w:r>
          </w:p>
        </w:tc>
        <w:tc>
          <w:tcPr>
            <w:tcW w:w="1669" w:type="dxa"/>
            <w:tcBorders>
              <w:top w:val="nil"/>
              <w:left w:val="nil"/>
              <w:bottom w:val="nil"/>
              <w:right w:val="nil"/>
            </w:tcBorders>
            <w:shd w:val="clear" w:color="auto" w:fill="D9D9D9" w:themeFill="background1" w:themeFillShade="D9"/>
            <w:vAlign w:val="center"/>
          </w:tcPr>
          <w:p w:rsidR="009174DA" w:rsidRPr="00EE2DCF" w:rsidRDefault="009174DA" w:rsidP="00CD55E6">
            <w:pPr>
              <w:ind w:right="567"/>
              <w:jc w:val="right"/>
              <w:rPr>
                <w:rFonts w:ascii="Arial Narrow" w:hAnsi="Arial Narrow"/>
                <w:b/>
                <w:bCs/>
                <w:sz w:val="16"/>
                <w:szCs w:val="16"/>
              </w:rPr>
            </w:pPr>
            <w:r>
              <w:rPr>
                <w:rFonts w:ascii="Arial Narrow" w:hAnsi="Arial Narrow"/>
                <w:b/>
                <w:bCs/>
                <w:sz w:val="16"/>
                <w:szCs w:val="16"/>
              </w:rPr>
              <w:t>263</w:t>
            </w:r>
          </w:p>
        </w:tc>
        <w:tc>
          <w:tcPr>
            <w:tcW w:w="1656" w:type="dxa"/>
            <w:tcBorders>
              <w:top w:val="nil"/>
              <w:left w:val="nil"/>
              <w:bottom w:val="nil"/>
            </w:tcBorders>
            <w:shd w:val="clear" w:color="auto" w:fill="D9D9D9" w:themeFill="background1" w:themeFillShade="D9"/>
            <w:vAlign w:val="center"/>
          </w:tcPr>
          <w:p w:rsidR="009174DA" w:rsidRPr="00EE2DCF" w:rsidRDefault="009174DA" w:rsidP="00CD55E6">
            <w:pPr>
              <w:ind w:right="567"/>
              <w:jc w:val="right"/>
              <w:rPr>
                <w:rFonts w:ascii="Arial Narrow" w:hAnsi="Arial Narrow"/>
                <w:b/>
                <w:bCs/>
                <w:sz w:val="16"/>
                <w:szCs w:val="16"/>
              </w:rPr>
            </w:pPr>
            <w:r>
              <w:rPr>
                <w:rFonts w:ascii="Arial Narrow" w:hAnsi="Arial Narrow"/>
                <w:b/>
                <w:bCs/>
                <w:sz w:val="16"/>
                <w:szCs w:val="16"/>
              </w:rPr>
              <w:t>248</w:t>
            </w:r>
          </w:p>
        </w:tc>
      </w:tr>
      <w:tr w:rsidR="009174DA" w:rsidRPr="00794616" w:rsidTr="00794616">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δ) ΟΠΕΚΑ, ΝΑΤ (μη ασφαλιστικές αρμοδιότητες)</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b/>
                <w:bCs/>
                <w:sz w:val="16"/>
                <w:szCs w:val="16"/>
              </w:rPr>
            </w:pPr>
            <w:r w:rsidRPr="00EE2DCF">
              <w:rPr>
                <w:rFonts w:ascii="Arial Narrow" w:hAnsi="Arial Narrow"/>
                <w:b/>
                <w:bCs/>
                <w:sz w:val="16"/>
                <w:szCs w:val="16"/>
              </w:rPr>
              <w:t> </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b/>
                <w:bCs/>
                <w:sz w:val="16"/>
                <w:szCs w:val="16"/>
              </w:rPr>
            </w:pPr>
            <w:r w:rsidRPr="00EE2DCF">
              <w:rPr>
                <w:rFonts w:ascii="Arial Narrow" w:hAnsi="Arial Narrow"/>
                <w:b/>
                <w:bCs/>
                <w:sz w:val="16"/>
                <w:szCs w:val="16"/>
              </w:rPr>
              <w:t> </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b/>
                <w:bCs/>
                <w:sz w:val="16"/>
                <w:szCs w:val="16"/>
              </w:rPr>
            </w:pPr>
            <w:r w:rsidRPr="00794616">
              <w:rPr>
                <w:rFonts w:ascii="Arial Narrow" w:hAnsi="Arial Narrow"/>
                <w:b/>
                <w:bCs/>
                <w:sz w:val="16"/>
                <w:szCs w:val="16"/>
              </w:rPr>
              <w:t>Έσοδα</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b/>
                <w:bCs/>
                <w:sz w:val="16"/>
                <w:szCs w:val="16"/>
              </w:rPr>
            </w:pPr>
            <w:r>
              <w:rPr>
                <w:rFonts w:ascii="Arial Narrow" w:hAnsi="Arial Narrow"/>
                <w:b/>
                <w:bCs/>
                <w:sz w:val="16"/>
                <w:szCs w:val="16"/>
              </w:rPr>
              <w:t>3.555</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b/>
                <w:bCs/>
                <w:sz w:val="16"/>
                <w:szCs w:val="16"/>
              </w:rPr>
            </w:pPr>
            <w:r>
              <w:rPr>
                <w:rFonts w:ascii="Arial Narrow" w:hAnsi="Arial Narrow"/>
                <w:b/>
                <w:bCs/>
                <w:sz w:val="16"/>
                <w:szCs w:val="16"/>
              </w:rPr>
              <w:t>4.186</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bCs/>
                <w:sz w:val="16"/>
                <w:szCs w:val="16"/>
              </w:rPr>
            </w:pPr>
            <w:r w:rsidRPr="00794616">
              <w:rPr>
                <w:rFonts w:ascii="Arial Narrow" w:hAnsi="Arial Narrow"/>
                <w:bCs/>
                <w:sz w:val="16"/>
                <w:szCs w:val="16"/>
              </w:rPr>
              <w:t>Ασφαλιστικές εισφορές</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6</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6</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bCs/>
                <w:sz w:val="16"/>
                <w:szCs w:val="16"/>
              </w:rPr>
            </w:pPr>
            <w:r w:rsidRPr="00794616">
              <w:rPr>
                <w:rFonts w:ascii="Arial Narrow" w:hAnsi="Arial Narrow"/>
                <w:bCs/>
                <w:sz w:val="16"/>
                <w:szCs w:val="16"/>
              </w:rPr>
              <w:t>Απόδοση περιουσίας</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14</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14</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Μεταβιβάσεις από τακτικό προϋπολογισμό</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lang w:val="en-US"/>
              </w:rPr>
            </w:pPr>
            <w:r w:rsidRPr="00EE2DCF">
              <w:rPr>
                <w:rFonts w:ascii="Arial Narrow" w:hAnsi="Arial Narrow"/>
                <w:sz w:val="16"/>
                <w:szCs w:val="16"/>
              </w:rPr>
              <w:t>3.</w:t>
            </w:r>
            <w:r>
              <w:rPr>
                <w:rFonts w:ascii="Arial Narrow" w:hAnsi="Arial Narrow"/>
                <w:sz w:val="16"/>
                <w:szCs w:val="16"/>
              </w:rPr>
              <w:t>385</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4.017</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bCs/>
                <w:sz w:val="16"/>
                <w:szCs w:val="16"/>
              </w:rPr>
            </w:pPr>
            <w:r w:rsidRPr="00794616">
              <w:rPr>
                <w:rFonts w:ascii="Arial Narrow" w:hAnsi="Arial Narrow"/>
                <w:bCs/>
                <w:sz w:val="16"/>
                <w:szCs w:val="16"/>
              </w:rPr>
              <w:t>Εισπράξεις υπέρ Δημοσίου και τρίτων</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bCs/>
                <w:sz w:val="16"/>
                <w:szCs w:val="16"/>
              </w:rPr>
            </w:pPr>
            <w:r>
              <w:rPr>
                <w:rFonts w:ascii="Arial Narrow" w:hAnsi="Arial Narrow"/>
                <w:bCs/>
                <w:sz w:val="16"/>
                <w:szCs w:val="16"/>
              </w:rPr>
              <w:t>150</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bCs/>
                <w:sz w:val="16"/>
                <w:szCs w:val="16"/>
              </w:rPr>
            </w:pPr>
            <w:r>
              <w:rPr>
                <w:rFonts w:ascii="Arial Narrow" w:hAnsi="Arial Narrow"/>
                <w:bCs/>
                <w:sz w:val="16"/>
                <w:szCs w:val="16"/>
              </w:rPr>
              <w:t>150</w:t>
            </w:r>
          </w:p>
        </w:tc>
      </w:tr>
      <w:tr w:rsidR="009174DA" w:rsidRPr="00794616" w:rsidTr="003C79F3">
        <w:trPr>
          <w:jc w:val="center"/>
        </w:trPr>
        <w:tc>
          <w:tcPr>
            <w:tcW w:w="5426" w:type="dxa"/>
            <w:tcBorders>
              <w:top w:val="nil"/>
              <w:bottom w:val="nil"/>
              <w:right w:val="nil"/>
            </w:tcBorders>
          </w:tcPr>
          <w:p w:rsidR="009174DA" w:rsidRPr="00794616" w:rsidRDefault="00B521BB" w:rsidP="003C79F3">
            <w:pPr>
              <w:rPr>
                <w:rFonts w:ascii="Arial Narrow" w:hAnsi="Arial Narrow"/>
                <w:b/>
                <w:bCs/>
                <w:sz w:val="16"/>
                <w:szCs w:val="16"/>
              </w:rPr>
            </w:pPr>
            <w:r>
              <w:rPr>
                <w:rFonts w:ascii="Arial Narrow" w:hAnsi="Arial Narrow"/>
                <w:b/>
                <w:bCs/>
                <w:sz w:val="16"/>
                <w:szCs w:val="16"/>
              </w:rPr>
              <w:t>Δαπάνες</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b/>
                <w:bCs/>
                <w:sz w:val="16"/>
                <w:szCs w:val="16"/>
                <w:lang w:val="en-US"/>
              </w:rPr>
            </w:pPr>
            <w:r>
              <w:rPr>
                <w:rFonts w:ascii="Arial Narrow" w:hAnsi="Arial Narrow"/>
                <w:b/>
                <w:bCs/>
                <w:sz w:val="16"/>
                <w:szCs w:val="16"/>
              </w:rPr>
              <w:t>3.623</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b/>
                <w:bCs/>
                <w:sz w:val="16"/>
                <w:szCs w:val="16"/>
              </w:rPr>
            </w:pPr>
            <w:r>
              <w:rPr>
                <w:rFonts w:ascii="Arial Narrow" w:hAnsi="Arial Narrow"/>
                <w:b/>
                <w:bCs/>
                <w:sz w:val="16"/>
                <w:szCs w:val="16"/>
              </w:rPr>
              <w:t>4.190</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Παροχές σε ανασφάλιστους υπερήλικες</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145</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sidRPr="00EE2DCF">
              <w:rPr>
                <w:rFonts w:ascii="Arial Narrow" w:hAnsi="Arial Narrow"/>
                <w:sz w:val="16"/>
                <w:szCs w:val="16"/>
              </w:rPr>
              <w:t>145</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vertAlign w:val="superscript"/>
              </w:rPr>
            </w:pPr>
            <w:r w:rsidRPr="00794616">
              <w:rPr>
                <w:rFonts w:ascii="Arial Narrow" w:hAnsi="Arial Narrow"/>
                <w:sz w:val="16"/>
                <w:szCs w:val="16"/>
              </w:rPr>
              <w:t>Οικογενειακά επιδόματα</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1.065</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1.153</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Pr>
                <w:rFonts w:ascii="Arial Narrow" w:hAnsi="Arial Narrow"/>
                <w:sz w:val="16"/>
                <w:szCs w:val="16"/>
              </w:rPr>
              <w:t>Ελάχιστο Εγγυημένο Εισόδημα</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672</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767</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vertAlign w:val="superscript"/>
              </w:rPr>
            </w:pPr>
            <w:r w:rsidRPr="00794616">
              <w:rPr>
                <w:rFonts w:ascii="Arial Narrow" w:hAnsi="Arial Narrow"/>
                <w:sz w:val="16"/>
                <w:szCs w:val="16"/>
              </w:rPr>
              <w:t>Επιδόματα ΑμΕΑ</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816</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825</w:t>
            </w:r>
          </w:p>
        </w:tc>
      </w:tr>
      <w:tr w:rsidR="009174DA" w:rsidRPr="00794616" w:rsidTr="003C79F3">
        <w:trPr>
          <w:jc w:val="center"/>
        </w:trPr>
        <w:tc>
          <w:tcPr>
            <w:tcW w:w="5426" w:type="dxa"/>
            <w:tcBorders>
              <w:top w:val="nil"/>
              <w:bottom w:val="nil"/>
              <w:right w:val="nil"/>
            </w:tcBorders>
          </w:tcPr>
          <w:p w:rsidR="009174DA" w:rsidRPr="009174DA" w:rsidRDefault="009174DA" w:rsidP="003C79F3">
            <w:pPr>
              <w:rPr>
                <w:rFonts w:ascii="Arial Narrow" w:hAnsi="Arial Narrow"/>
                <w:sz w:val="16"/>
                <w:szCs w:val="16"/>
              </w:rPr>
            </w:pPr>
            <w:r>
              <w:rPr>
                <w:rFonts w:ascii="Arial Narrow" w:hAnsi="Arial Narrow"/>
                <w:sz w:val="16"/>
                <w:szCs w:val="16"/>
              </w:rPr>
              <w:t xml:space="preserve">Επιδότηση της πρώτης κατοικίας για δανειολήπτες που επλήγησαν από την πανδημία </w:t>
            </w:r>
            <w:r>
              <w:rPr>
                <w:rFonts w:ascii="Arial Narrow" w:hAnsi="Arial Narrow"/>
                <w:sz w:val="16"/>
                <w:szCs w:val="16"/>
                <w:lang w:val="en-US"/>
              </w:rPr>
              <w:t>Covid</w:t>
            </w:r>
            <w:r w:rsidRPr="009174DA">
              <w:rPr>
                <w:rFonts w:ascii="Arial Narrow" w:hAnsi="Arial Narrow"/>
                <w:sz w:val="16"/>
                <w:szCs w:val="16"/>
              </w:rPr>
              <w:t>-19 (</w:t>
            </w:r>
            <w:r>
              <w:rPr>
                <w:rFonts w:ascii="Arial Narrow" w:hAnsi="Arial Narrow"/>
                <w:sz w:val="16"/>
                <w:szCs w:val="16"/>
              </w:rPr>
              <w:t>Πρόγραμμα Γέφυρα)</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108</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280</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sidRPr="00794616">
              <w:rPr>
                <w:rFonts w:ascii="Arial Narrow" w:hAnsi="Arial Narrow"/>
                <w:sz w:val="16"/>
                <w:szCs w:val="16"/>
              </w:rPr>
              <w:t>Σχολικά γεύματα</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60</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74</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Pr>
                <w:rFonts w:ascii="Arial Narrow" w:hAnsi="Arial Narrow"/>
                <w:sz w:val="16"/>
                <w:szCs w:val="16"/>
              </w:rPr>
              <w:t>Επίδομα γέννησης</w:t>
            </w:r>
          </w:p>
        </w:tc>
        <w:tc>
          <w:tcPr>
            <w:tcW w:w="1669" w:type="dxa"/>
            <w:tcBorders>
              <w:top w:val="nil"/>
              <w:left w:val="nil"/>
              <w:bottom w:val="nil"/>
              <w:right w:val="nil"/>
            </w:tcBorders>
            <w:vAlign w:val="center"/>
          </w:tcPr>
          <w:p w:rsidR="009174DA" w:rsidRDefault="009174DA" w:rsidP="00CD55E6">
            <w:pPr>
              <w:ind w:right="567"/>
              <w:jc w:val="right"/>
              <w:rPr>
                <w:rFonts w:ascii="Arial Narrow" w:hAnsi="Arial Narrow"/>
                <w:sz w:val="16"/>
                <w:szCs w:val="16"/>
              </w:rPr>
            </w:pPr>
            <w:r>
              <w:rPr>
                <w:rFonts w:ascii="Arial Narrow" w:hAnsi="Arial Narrow"/>
                <w:sz w:val="16"/>
                <w:szCs w:val="16"/>
              </w:rPr>
              <w:t>125</w:t>
            </w:r>
          </w:p>
        </w:tc>
        <w:tc>
          <w:tcPr>
            <w:tcW w:w="1656" w:type="dxa"/>
            <w:tcBorders>
              <w:top w:val="nil"/>
              <w:left w:val="nil"/>
              <w:bottom w:val="nil"/>
            </w:tcBorders>
            <w:vAlign w:val="center"/>
          </w:tcPr>
          <w:p w:rsidR="009174DA" w:rsidRDefault="009174DA" w:rsidP="00CD55E6">
            <w:pPr>
              <w:ind w:right="567"/>
              <w:jc w:val="right"/>
              <w:rPr>
                <w:rFonts w:ascii="Arial Narrow" w:hAnsi="Arial Narrow"/>
                <w:sz w:val="16"/>
                <w:szCs w:val="16"/>
              </w:rPr>
            </w:pPr>
            <w:r>
              <w:rPr>
                <w:rFonts w:ascii="Arial Narrow" w:hAnsi="Arial Narrow"/>
                <w:sz w:val="16"/>
                <w:szCs w:val="16"/>
              </w:rPr>
              <w:t>170</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Pr>
                <w:rFonts w:ascii="Arial Narrow" w:hAnsi="Arial Narrow"/>
                <w:sz w:val="16"/>
                <w:szCs w:val="16"/>
              </w:rPr>
              <w:t>Στεγαστικό Επίδομα</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360</w:t>
            </w:r>
          </w:p>
        </w:tc>
        <w:tc>
          <w:tcPr>
            <w:tcW w:w="1656" w:type="dxa"/>
            <w:tcBorders>
              <w:top w:val="nil"/>
              <w:left w:val="nil"/>
              <w:bottom w:val="nil"/>
            </w:tcBorders>
            <w:vAlign w:val="center"/>
          </w:tcPr>
          <w:p w:rsidR="009174DA" w:rsidRDefault="009174DA" w:rsidP="00CD55E6">
            <w:pPr>
              <w:ind w:right="567"/>
              <w:jc w:val="right"/>
              <w:rPr>
                <w:rFonts w:ascii="Arial Narrow" w:hAnsi="Arial Narrow"/>
                <w:sz w:val="16"/>
                <w:szCs w:val="16"/>
              </w:rPr>
            </w:pPr>
            <w:r>
              <w:rPr>
                <w:rFonts w:ascii="Arial Narrow" w:hAnsi="Arial Narrow"/>
                <w:sz w:val="16"/>
                <w:szCs w:val="16"/>
              </w:rPr>
              <w:t>402</w:t>
            </w:r>
          </w:p>
        </w:tc>
      </w:tr>
      <w:tr w:rsidR="009174DA" w:rsidRPr="00794616" w:rsidTr="003C79F3">
        <w:trPr>
          <w:jc w:val="center"/>
        </w:trPr>
        <w:tc>
          <w:tcPr>
            <w:tcW w:w="5426" w:type="dxa"/>
            <w:tcBorders>
              <w:top w:val="nil"/>
              <w:bottom w:val="nil"/>
              <w:right w:val="nil"/>
            </w:tcBorders>
          </w:tcPr>
          <w:p w:rsidR="009174DA" w:rsidRPr="00794616" w:rsidRDefault="009174DA" w:rsidP="003C79F3">
            <w:pPr>
              <w:rPr>
                <w:rFonts w:ascii="Arial Narrow" w:hAnsi="Arial Narrow"/>
                <w:sz w:val="16"/>
                <w:szCs w:val="16"/>
              </w:rPr>
            </w:pPr>
            <w:r>
              <w:rPr>
                <w:rFonts w:ascii="Arial Narrow" w:hAnsi="Arial Narrow"/>
                <w:sz w:val="16"/>
                <w:szCs w:val="16"/>
              </w:rPr>
              <w:t>Κώδικα</w:t>
            </w:r>
            <w:r w:rsidR="00B521BB">
              <w:rPr>
                <w:rFonts w:ascii="Arial Narrow" w:hAnsi="Arial Narrow"/>
                <w:sz w:val="16"/>
                <w:szCs w:val="16"/>
              </w:rPr>
              <w:t>ς</w:t>
            </w:r>
            <w:r>
              <w:rPr>
                <w:rFonts w:ascii="Arial Narrow" w:hAnsi="Arial Narrow"/>
                <w:sz w:val="16"/>
                <w:szCs w:val="16"/>
              </w:rPr>
              <w:t xml:space="preserve"> Διευθέτησης Οφειλών και παροχής δεύτερης ευκαιρίας σε δανειολήπτες</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0</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100</w:t>
            </w:r>
          </w:p>
        </w:tc>
      </w:tr>
      <w:tr w:rsidR="009174DA" w:rsidRPr="00794616" w:rsidTr="003C79F3">
        <w:trPr>
          <w:jc w:val="center"/>
        </w:trPr>
        <w:tc>
          <w:tcPr>
            <w:tcW w:w="5426" w:type="dxa"/>
            <w:tcBorders>
              <w:top w:val="nil"/>
              <w:bottom w:val="nil"/>
              <w:right w:val="nil"/>
            </w:tcBorders>
          </w:tcPr>
          <w:p w:rsidR="009174DA" w:rsidRPr="00794616" w:rsidRDefault="004E5C56" w:rsidP="003C79F3">
            <w:pPr>
              <w:rPr>
                <w:rFonts w:ascii="Arial Narrow" w:hAnsi="Arial Narrow"/>
                <w:sz w:val="16"/>
                <w:szCs w:val="16"/>
              </w:rPr>
            </w:pPr>
            <w:r>
              <w:rPr>
                <w:rFonts w:ascii="Arial Narrow" w:hAnsi="Arial Narrow"/>
                <w:sz w:val="16"/>
                <w:szCs w:val="16"/>
              </w:rPr>
              <w:t>Λοιπά προγράμματα</w:t>
            </w:r>
          </w:p>
        </w:tc>
        <w:tc>
          <w:tcPr>
            <w:tcW w:w="1669" w:type="dxa"/>
            <w:tcBorders>
              <w:top w:val="nil"/>
              <w:left w:val="nil"/>
              <w:bottom w:val="nil"/>
              <w:right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97</w:t>
            </w:r>
          </w:p>
        </w:tc>
        <w:tc>
          <w:tcPr>
            <w:tcW w:w="1656" w:type="dxa"/>
            <w:tcBorders>
              <w:top w:val="nil"/>
              <w:left w:val="nil"/>
              <w:bottom w:val="nil"/>
            </w:tcBorders>
            <w:vAlign w:val="center"/>
          </w:tcPr>
          <w:p w:rsidR="009174DA" w:rsidRPr="00EE2DCF" w:rsidRDefault="009174DA" w:rsidP="00CD55E6">
            <w:pPr>
              <w:ind w:right="567"/>
              <w:jc w:val="right"/>
              <w:rPr>
                <w:rFonts w:ascii="Arial Narrow" w:hAnsi="Arial Narrow"/>
                <w:sz w:val="16"/>
                <w:szCs w:val="16"/>
              </w:rPr>
            </w:pPr>
            <w:r>
              <w:rPr>
                <w:rFonts w:ascii="Arial Narrow" w:hAnsi="Arial Narrow"/>
                <w:sz w:val="16"/>
                <w:szCs w:val="16"/>
              </w:rPr>
              <w:t>99</w:t>
            </w:r>
          </w:p>
        </w:tc>
      </w:tr>
      <w:tr w:rsidR="004E5C56" w:rsidRPr="00794616" w:rsidTr="003C79F3">
        <w:trPr>
          <w:jc w:val="center"/>
        </w:trPr>
        <w:tc>
          <w:tcPr>
            <w:tcW w:w="5426" w:type="dxa"/>
            <w:tcBorders>
              <w:top w:val="nil"/>
              <w:bottom w:val="nil"/>
              <w:right w:val="nil"/>
            </w:tcBorders>
          </w:tcPr>
          <w:p w:rsidR="004E5C56" w:rsidRDefault="004E5C56" w:rsidP="003C79F3">
            <w:pPr>
              <w:rPr>
                <w:rFonts w:ascii="Arial Narrow" w:hAnsi="Arial Narrow"/>
                <w:sz w:val="16"/>
                <w:szCs w:val="16"/>
              </w:rPr>
            </w:pPr>
            <w:r>
              <w:rPr>
                <w:rFonts w:ascii="Arial Narrow" w:hAnsi="Arial Narrow"/>
                <w:sz w:val="16"/>
                <w:szCs w:val="16"/>
              </w:rPr>
              <w:t>Απόδοση εισπράξεων τρίτων</w:t>
            </w:r>
          </w:p>
        </w:tc>
        <w:tc>
          <w:tcPr>
            <w:tcW w:w="1669" w:type="dxa"/>
            <w:tcBorders>
              <w:top w:val="nil"/>
              <w:left w:val="nil"/>
              <w:bottom w:val="nil"/>
              <w:right w:val="nil"/>
            </w:tcBorders>
            <w:vAlign w:val="center"/>
          </w:tcPr>
          <w:p w:rsidR="004E5C56" w:rsidRDefault="004E5C56" w:rsidP="00CD55E6">
            <w:pPr>
              <w:ind w:right="567"/>
              <w:jc w:val="right"/>
              <w:rPr>
                <w:rFonts w:ascii="Arial Narrow" w:hAnsi="Arial Narrow"/>
                <w:sz w:val="16"/>
                <w:szCs w:val="16"/>
              </w:rPr>
            </w:pPr>
            <w:r>
              <w:rPr>
                <w:rFonts w:ascii="Arial Narrow" w:hAnsi="Arial Narrow"/>
                <w:sz w:val="16"/>
                <w:szCs w:val="16"/>
              </w:rPr>
              <w:t>150</w:t>
            </w:r>
          </w:p>
        </w:tc>
        <w:tc>
          <w:tcPr>
            <w:tcW w:w="1656" w:type="dxa"/>
            <w:tcBorders>
              <w:top w:val="nil"/>
              <w:left w:val="nil"/>
              <w:bottom w:val="nil"/>
            </w:tcBorders>
            <w:vAlign w:val="center"/>
          </w:tcPr>
          <w:p w:rsidR="004E5C56" w:rsidRDefault="004E5C56" w:rsidP="00CD55E6">
            <w:pPr>
              <w:ind w:right="567"/>
              <w:jc w:val="right"/>
              <w:rPr>
                <w:rFonts w:ascii="Arial Narrow" w:hAnsi="Arial Narrow"/>
                <w:sz w:val="16"/>
                <w:szCs w:val="16"/>
              </w:rPr>
            </w:pPr>
            <w:r>
              <w:rPr>
                <w:rFonts w:ascii="Arial Narrow" w:hAnsi="Arial Narrow"/>
                <w:sz w:val="16"/>
                <w:szCs w:val="16"/>
              </w:rPr>
              <w:t>150</w:t>
            </w:r>
          </w:p>
        </w:tc>
      </w:tr>
      <w:tr w:rsidR="004E5C56" w:rsidRPr="00794616" w:rsidTr="003C79F3">
        <w:trPr>
          <w:jc w:val="center"/>
        </w:trPr>
        <w:tc>
          <w:tcPr>
            <w:tcW w:w="5426" w:type="dxa"/>
            <w:tcBorders>
              <w:top w:val="nil"/>
              <w:bottom w:val="nil"/>
              <w:right w:val="nil"/>
            </w:tcBorders>
          </w:tcPr>
          <w:p w:rsidR="004E5C56" w:rsidRDefault="004E5C56" w:rsidP="003C79F3">
            <w:pPr>
              <w:rPr>
                <w:rFonts w:ascii="Arial Narrow" w:hAnsi="Arial Narrow"/>
                <w:sz w:val="16"/>
                <w:szCs w:val="16"/>
              </w:rPr>
            </w:pPr>
            <w:r>
              <w:rPr>
                <w:rFonts w:ascii="Arial Narrow" w:hAnsi="Arial Narrow"/>
                <w:sz w:val="16"/>
                <w:szCs w:val="16"/>
              </w:rPr>
              <w:t>Δαπάνες προσωπικού</w:t>
            </w:r>
          </w:p>
        </w:tc>
        <w:tc>
          <w:tcPr>
            <w:tcW w:w="1669" w:type="dxa"/>
            <w:tcBorders>
              <w:top w:val="nil"/>
              <w:left w:val="nil"/>
              <w:bottom w:val="nil"/>
              <w:right w:val="nil"/>
            </w:tcBorders>
            <w:vAlign w:val="center"/>
          </w:tcPr>
          <w:p w:rsidR="004E5C56" w:rsidRPr="00EE2DCF" w:rsidRDefault="004E5C56" w:rsidP="00CD55E6">
            <w:pPr>
              <w:ind w:right="567"/>
              <w:jc w:val="right"/>
              <w:rPr>
                <w:rFonts w:ascii="Arial Narrow" w:hAnsi="Arial Narrow"/>
                <w:sz w:val="16"/>
                <w:szCs w:val="16"/>
              </w:rPr>
            </w:pPr>
            <w:r>
              <w:rPr>
                <w:rFonts w:ascii="Arial Narrow" w:hAnsi="Arial Narrow"/>
                <w:sz w:val="16"/>
                <w:szCs w:val="16"/>
              </w:rPr>
              <w:t>12</w:t>
            </w:r>
          </w:p>
        </w:tc>
        <w:tc>
          <w:tcPr>
            <w:tcW w:w="1656" w:type="dxa"/>
            <w:tcBorders>
              <w:top w:val="nil"/>
              <w:left w:val="nil"/>
              <w:bottom w:val="nil"/>
            </w:tcBorders>
            <w:vAlign w:val="center"/>
          </w:tcPr>
          <w:p w:rsidR="004E5C56" w:rsidRPr="00EE2DCF" w:rsidRDefault="004E5C56" w:rsidP="00CD55E6">
            <w:pPr>
              <w:ind w:right="567"/>
              <w:jc w:val="right"/>
              <w:rPr>
                <w:rFonts w:ascii="Arial Narrow" w:hAnsi="Arial Narrow"/>
                <w:sz w:val="16"/>
                <w:szCs w:val="16"/>
              </w:rPr>
            </w:pPr>
            <w:r>
              <w:rPr>
                <w:rFonts w:ascii="Arial Narrow" w:hAnsi="Arial Narrow"/>
                <w:sz w:val="16"/>
                <w:szCs w:val="16"/>
              </w:rPr>
              <w:t>12</w:t>
            </w:r>
          </w:p>
        </w:tc>
      </w:tr>
      <w:tr w:rsidR="004E5C56" w:rsidRPr="00794616" w:rsidTr="003C79F3">
        <w:trPr>
          <w:jc w:val="center"/>
        </w:trPr>
        <w:tc>
          <w:tcPr>
            <w:tcW w:w="5426" w:type="dxa"/>
            <w:tcBorders>
              <w:top w:val="nil"/>
              <w:bottom w:val="nil"/>
              <w:right w:val="nil"/>
            </w:tcBorders>
          </w:tcPr>
          <w:p w:rsidR="004E5C56" w:rsidRDefault="004E5C56" w:rsidP="003C79F3">
            <w:pPr>
              <w:rPr>
                <w:rFonts w:ascii="Arial Narrow" w:hAnsi="Arial Narrow"/>
                <w:sz w:val="16"/>
                <w:szCs w:val="16"/>
              </w:rPr>
            </w:pPr>
            <w:r>
              <w:rPr>
                <w:rFonts w:ascii="Arial Narrow" w:hAnsi="Arial Narrow"/>
                <w:sz w:val="16"/>
                <w:szCs w:val="16"/>
              </w:rPr>
              <w:t>Λοιπές δαπάνες</w:t>
            </w:r>
          </w:p>
        </w:tc>
        <w:tc>
          <w:tcPr>
            <w:tcW w:w="1669" w:type="dxa"/>
            <w:tcBorders>
              <w:top w:val="nil"/>
              <w:left w:val="nil"/>
              <w:bottom w:val="nil"/>
              <w:right w:val="nil"/>
            </w:tcBorders>
            <w:vAlign w:val="center"/>
          </w:tcPr>
          <w:p w:rsidR="004E5C56" w:rsidRPr="004B4876" w:rsidRDefault="004E5C56" w:rsidP="00CD55E6">
            <w:pPr>
              <w:ind w:right="567"/>
              <w:jc w:val="right"/>
              <w:rPr>
                <w:rFonts w:ascii="Arial Narrow" w:hAnsi="Arial Narrow"/>
                <w:sz w:val="16"/>
                <w:szCs w:val="16"/>
              </w:rPr>
            </w:pPr>
            <w:r w:rsidRPr="004B4876">
              <w:rPr>
                <w:rFonts w:ascii="Arial Narrow" w:hAnsi="Arial Narrow"/>
                <w:sz w:val="16"/>
                <w:szCs w:val="16"/>
              </w:rPr>
              <w:t>13</w:t>
            </w:r>
          </w:p>
        </w:tc>
        <w:tc>
          <w:tcPr>
            <w:tcW w:w="1656" w:type="dxa"/>
            <w:tcBorders>
              <w:top w:val="nil"/>
              <w:left w:val="nil"/>
              <w:bottom w:val="nil"/>
            </w:tcBorders>
            <w:vAlign w:val="center"/>
          </w:tcPr>
          <w:p w:rsidR="004E5C56" w:rsidRPr="004B4876" w:rsidRDefault="004E5C56" w:rsidP="00CD55E6">
            <w:pPr>
              <w:ind w:right="567"/>
              <w:jc w:val="right"/>
              <w:rPr>
                <w:rFonts w:ascii="Arial Narrow" w:hAnsi="Arial Narrow"/>
                <w:sz w:val="16"/>
                <w:szCs w:val="16"/>
              </w:rPr>
            </w:pPr>
            <w:r w:rsidRPr="004B4876">
              <w:rPr>
                <w:rFonts w:ascii="Arial Narrow" w:hAnsi="Arial Narrow"/>
                <w:sz w:val="16"/>
                <w:szCs w:val="16"/>
              </w:rPr>
              <w:t>13</w:t>
            </w:r>
          </w:p>
        </w:tc>
      </w:tr>
      <w:tr w:rsidR="004E5C56" w:rsidRPr="00794616" w:rsidTr="003C79F3">
        <w:trPr>
          <w:jc w:val="center"/>
        </w:trPr>
        <w:tc>
          <w:tcPr>
            <w:tcW w:w="5426" w:type="dxa"/>
            <w:tcBorders>
              <w:top w:val="nil"/>
              <w:bottom w:val="nil"/>
              <w:right w:val="nil"/>
            </w:tcBorders>
            <w:shd w:val="clear" w:color="auto" w:fill="D9D9D9" w:themeFill="background1" w:themeFillShade="D9"/>
          </w:tcPr>
          <w:p w:rsidR="004E5C56" w:rsidRPr="00794616" w:rsidRDefault="004E5C56" w:rsidP="003C79F3">
            <w:pPr>
              <w:rPr>
                <w:rFonts w:ascii="Arial Narrow" w:hAnsi="Arial Narrow"/>
                <w:b/>
                <w:sz w:val="16"/>
                <w:szCs w:val="16"/>
              </w:rPr>
            </w:pPr>
            <w:r w:rsidRPr="00794616">
              <w:rPr>
                <w:rFonts w:ascii="Arial Narrow" w:hAnsi="Arial Narrow"/>
                <w:b/>
                <w:sz w:val="16"/>
                <w:szCs w:val="16"/>
              </w:rPr>
              <w:t>Ταμειακό ισοζύγιο</w:t>
            </w:r>
          </w:p>
        </w:tc>
        <w:tc>
          <w:tcPr>
            <w:tcW w:w="1669" w:type="dxa"/>
            <w:tcBorders>
              <w:top w:val="nil"/>
              <w:left w:val="nil"/>
              <w:bottom w:val="nil"/>
              <w:right w:val="nil"/>
            </w:tcBorders>
            <w:shd w:val="clear" w:color="auto" w:fill="D9D9D9" w:themeFill="background1" w:themeFillShade="D9"/>
            <w:vAlign w:val="center"/>
          </w:tcPr>
          <w:p w:rsidR="004E5C56" w:rsidRPr="00EE2DCF" w:rsidRDefault="004E5C56" w:rsidP="00CD55E6">
            <w:pPr>
              <w:ind w:right="567"/>
              <w:jc w:val="right"/>
              <w:rPr>
                <w:rFonts w:ascii="Arial Narrow" w:hAnsi="Arial Narrow"/>
                <w:b/>
                <w:bCs/>
                <w:sz w:val="16"/>
                <w:szCs w:val="16"/>
              </w:rPr>
            </w:pPr>
            <w:r>
              <w:rPr>
                <w:rFonts w:ascii="Arial Narrow" w:hAnsi="Arial Narrow"/>
                <w:b/>
                <w:bCs/>
                <w:sz w:val="16"/>
                <w:szCs w:val="16"/>
              </w:rPr>
              <w:t>-68</w:t>
            </w:r>
          </w:p>
        </w:tc>
        <w:tc>
          <w:tcPr>
            <w:tcW w:w="1656" w:type="dxa"/>
            <w:tcBorders>
              <w:top w:val="nil"/>
              <w:left w:val="nil"/>
              <w:bottom w:val="nil"/>
            </w:tcBorders>
            <w:shd w:val="clear" w:color="auto" w:fill="D9D9D9" w:themeFill="background1" w:themeFillShade="D9"/>
            <w:vAlign w:val="center"/>
          </w:tcPr>
          <w:p w:rsidR="004E5C56" w:rsidRPr="00EE2DCF" w:rsidRDefault="004E5C56" w:rsidP="00CD55E6">
            <w:pPr>
              <w:ind w:right="567"/>
              <w:jc w:val="right"/>
              <w:rPr>
                <w:rFonts w:ascii="Arial Narrow" w:hAnsi="Arial Narrow"/>
                <w:b/>
                <w:bCs/>
                <w:sz w:val="16"/>
                <w:szCs w:val="16"/>
              </w:rPr>
            </w:pPr>
            <w:r>
              <w:rPr>
                <w:rFonts w:ascii="Arial Narrow" w:hAnsi="Arial Narrow"/>
                <w:b/>
                <w:bCs/>
                <w:sz w:val="16"/>
                <w:szCs w:val="16"/>
              </w:rPr>
              <w:t>-4</w:t>
            </w:r>
          </w:p>
        </w:tc>
      </w:tr>
      <w:tr w:rsidR="004E5C56" w:rsidRPr="00794616" w:rsidTr="003C79F3">
        <w:trPr>
          <w:jc w:val="center"/>
        </w:trPr>
        <w:tc>
          <w:tcPr>
            <w:tcW w:w="5426" w:type="dxa"/>
            <w:tcBorders>
              <w:top w:val="nil"/>
              <w:bottom w:val="nil"/>
              <w:right w:val="nil"/>
            </w:tcBorders>
            <w:shd w:val="clear" w:color="auto" w:fill="D9D9D9" w:themeFill="background1" w:themeFillShade="D9"/>
          </w:tcPr>
          <w:p w:rsidR="004E5C56" w:rsidRPr="00794616" w:rsidRDefault="004E5C56" w:rsidP="003C79F3">
            <w:pPr>
              <w:rPr>
                <w:rFonts w:ascii="Arial Narrow" w:hAnsi="Arial Narrow"/>
                <w:b/>
                <w:sz w:val="16"/>
                <w:szCs w:val="16"/>
              </w:rPr>
            </w:pPr>
            <w:r w:rsidRPr="00794616">
              <w:rPr>
                <w:rFonts w:ascii="Arial Narrow" w:hAnsi="Arial Narrow"/>
                <w:b/>
                <w:sz w:val="16"/>
                <w:szCs w:val="16"/>
              </w:rPr>
              <w:t>Εθνικολογιστικές προσαρμογές</w:t>
            </w:r>
          </w:p>
        </w:tc>
        <w:tc>
          <w:tcPr>
            <w:tcW w:w="1669" w:type="dxa"/>
            <w:tcBorders>
              <w:top w:val="nil"/>
              <w:left w:val="nil"/>
              <w:bottom w:val="nil"/>
              <w:right w:val="nil"/>
            </w:tcBorders>
            <w:shd w:val="clear" w:color="auto" w:fill="D9D9D9" w:themeFill="background1" w:themeFillShade="D9"/>
            <w:vAlign w:val="center"/>
          </w:tcPr>
          <w:p w:rsidR="004E5C56" w:rsidRPr="00EE2DCF" w:rsidRDefault="004E5C56" w:rsidP="00CD55E6">
            <w:pPr>
              <w:ind w:right="567"/>
              <w:jc w:val="right"/>
              <w:rPr>
                <w:rFonts w:ascii="Arial Narrow" w:hAnsi="Arial Narrow"/>
                <w:b/>
                <w:bCs/>
                <w:sz w:val="16"/>
                <w:szCs w:val="16"/>
              </w:rPr>
            </w:pPr>
            <w:r w:rsidRPr="00EE2DCF">
              <w:rPr>
                <w:rFonts w:ascii="Arial Narrow" w:hAnsi="Arial Narrow"/>
                <w:b/>
                <w:bCs/>
                <w:sz w:val="16"/>
                <w:szCs w:val="16"/>
              </w:rPr>
              <w:t>0</w:t>
            </w:r>
          </w:p>
        </w:tc>
        <w:tc>
          <w:tcPr>
            <w:tcW w:w="1656" w:type="dxa"/>
            <w:tcBorders>
              <w:top w:val="nil"/>
              <w:left w:val="nil"/>
              <w:bottom w:val="nil"/>
            </w:tcBorders>
            <w:shd w:val="clear" w:color="auto" w:fill="D9D9D9" w:themeFill="background1" w:themeFillShade="D9"/>
            <w:vAlign w:val="center"/>
          </w:tcPr>
          <w:p w:rsidR="004E5C56" w:rsidRPr="00EE2DCF" w:rsidRDefault="004E5C56" w:rsidP="00CD55E6">
            <w:pPr>
              <w:ind w:right="567"/>
              <w:jc w:val="right"/>
              <w:rPr>
                <w:rFonts w:ascii="Arial Narrow" w:hAnsi="Arial Narrow"/>
                <w:b/>
                <w:bCs/>
                <w:sz w:val="16"/>
                <w:szCs w:val="16"/>
              </w:rPr>
            </w:pPr>
            <w:r w:rsidRPr="00EE2DCF">
              <w:rPr>
                <w:rFonts w:ascii="Arial Narrow" w:hAnsi="Arial Narrow"/>
                <w:b/>
                <w:bCs/>
                <w:sz w:val="16"/>
                <w:szCs w:val="16"/>
              </w:rPr>
              <w:t>0</w:t>
            </w:r>
          </w:p>
        </w:tc>
      </w:tr>
      <w:tr w:rsidR="004E5C56" w:rsidRPr="00794616" w:rsidTr="003C79F3">
        <w:trPr>
          <w:jc w:val="center"/>
        </w:trPr>
        <w:tc>
          <w:tcPr>
            <w:tcW w:w="5426" w:type="dxa"/>
            <w:tcBorders>
              <w:top w:val="nil"/>
              <w:bottom w:val="nil"/>
              <w:right w:val="nil"/>
            </w:tcBorders>
            <w:shd w:val="clear" w:color="auto" w:fill="D9D9D9" w:themeFill="background1" w:themeFillShade="D9"/>
          </w:tcPr>
          <w:p w:rsidR="004E5C56" w:rsidRPr="00794616" w:rsidRDefault="004E5C56" w:rsidP="003C79F3">
            <w:pPr>
              <w:rPr>
                <w:rFonts w:ascii="Arial Narrow" w:hAnsi="Arial Narrow"/>
                <w:b/>
                <w:bCs/>
                <w:sz w:val="16"/>
                <w:szCs w:val="16"/>
                <w:lang w:val="en-GB"/>
              </w:rPr>
            </w:pPr>
            <w:r w:rsidRPr="00794616">
              <w:rPr>
                <w:rFonts w:ascii="Arial Narrow" w:hAnsi="Arial Narrow"/>
                <w:b/>
                <w:bCs/>
                <w:sz w:val="16"/>
                <w:szCs w:val="16"/>
              </w:rPr>
              <w:t xml:space="preserve">Ισοζύγιο κατά </w:t>
            </w:r>
            <w:r w:rsidRPr="00794616">
              <w:rPr>
                <w:rFonts w:ascii="Arial Narrow" w:hAnsi="Arial Narrow"/>
                <w:b/>
                <w:bCs/>
                <w:sz w:val="16"/>
                <w:szCs w:val="16"/>
                <w:lang w:val="en-GB"/>
              </w:rPr>
              <w:t>ESA</w:t>
            </w:r>
          </w:p>
        </w:tc>
        <w:tc>
          <w:tcPr>
            <w:tcW w:w="1669" w:type="dxa"/>
            <w:tcBorders>
              <w:top w:val="nil"/>
              <w:left w:val="nil"/>
              <w:bottom w:val="nil"/>
              <w:right w:val="nil"/>
            </w:tcBorders>
            <w:shd w:val="clear" w:color="auto" w:fill="D9D9D9" w:themeFill="background1" w:themeFillShade="D9"/>
            <w:vAlign w:val="center"/>
          </w:tcPr>
          <w:p w:rsidR="004E5C56" w:rsidRPr="00EE2DCF" w:rsidRDefault="004E5C56" w:rsidP="00CD55E6">
            <w:pPr>
              <w:ind w:right="567"/>
              <w:jc w:val="right"/>
              <w:rPr>
                <w:rFonts w:ascii="Arial Narrow" w:hAnsi="Arial Narrow"/>
                <w:b/>
                <w:bCs/>
                <w:sz w:val="16"/>
                <w:szCs w:val="16"/>
                <w:lang w:val="en-US"/>
              </w:rPr>
            </w:pPr>
            <w:r w:rsidRPr="00EE2DCF">
              <w:rPr>
                <w:rFonts w:ascii="Arial Narrow" w:hAnsi="Arial Narrow"/>
                <w:b/>
                <w:bCs/>
                <w:sz w:val="16"/>
                <w:szCs w:val="16"/>
              </w:rPr>
              <w:t>-</w:t>
            </w:r>
            <w:r>
              <w:rPr>
                <w:rFonts w:ascii="Arial Narrow" w:hAnsi="Arial Narrow"/>
                <w:b/>
                <w:bCs/>
                <w:sz w:val="16"/>
                <w:szCs w:val="16"/>
              </w:rPr>
              <w:t>68</w:t>
            </w:r>
          </w:p>
        </w:tc>
        <w:tc>
          <w:tcPr>
            <w:tcW w:w="1656" w:type="dxa"/>
            <w:tcBorders>
              <w:top w:val="nil"/>
              <w:left w:val="nil"/>
              <w:bottom w:val="nil"/>
            </w:tcBorders>
            <w:shd w:val="clear" w:color="auto" w:fill="D9D9D9" w:themeFill="background1" w:themeFillShade="D9"/>
            <w:vAlign w:val="center"/>
          </w:tcPr>
          <w:p w:rsidR="004E5C56" w:rsidRPr="00EE2DCF" w:rsidRDefault="004E5C56" w:rsidP="00CD55E6">
            <w:pPr>
              <w:ind w:right="567"/>
              <w:jc w:val="right"/>
              <w:rPr>
                <w:rFonts w:ascii="Arial Narrow" w:hAnsi="Arial Narrow"/>
                <w:b/>
                <w:bCs/>
                <w:sz w:val="16"/>
                <w:szCs w:val="16"/>
              </w:rPr>
            </w:pPr>
            <w:r>
              <w:rPr>
                <w:rFonts w:ascii="Arial Narrow" w:hAnsi="Arial Narrow"/>
                <w:b/>
                <w:bCs/>
                <w:sz w:val="16"/>
                <w:szCs w:val="16"/>
              </w:rPr>
              <w:t>-4</w:t>
            </w:r>
          </w:p>
        </w:tc>
      </w:tr>
      <w:tr w:rsidR="004E5C56" w:rsidRPr="00794616" w:rsidTr="003C79F3">
        <w:trPr>
          <w:jc w:val="center"/>
        </w:trPr>
        <w:tc>
          <w:tcPr>
            <w:tcW w:w="5426" w:type="dxa"/>
            <w:tcBorders>
              <w:top w:val="nil"/>
              <w:bottom w:val="nil"/>
              <w:right w:val="nil"/>
            </w:tcBorders>
            <w:shd w:val="clear" w:color="auto" w:fill="BFBFBF" w:themeFill="background1" w:themeFillShade="BF"/>
          </w:tcPr>
          <w:p w:rsidR="004E5C56" w:rsidRPr="00794616" w:rsidRDefault="00934C98" w:rsidP="003C79F3">
            <w:pPr>
              <w:rPr>
                <w:rFonts w:ascii="Arial Narrow" w:hAnsi="Arial Narrow"/>
                <w:b/>
                <w:bCs/>
                <w:sz w:val="16"/>
                <w:szCs w:val="16"/>
              </w:rPr>
            </w:pPr>
            <w:r>
              <w:rPr>
                <w:rFonts w:ascii="Arial Narrow" w:hAnsi="Arial Narrow"/>
                <w:b/>
                <w:bCs/>
                <w:sz w:val="16"/>
                <w:szCs w:val="16"/>
              </w:rPr>
              <w:t>Συνολικό ταμειακό ισοζύγιο Ο</w:t>
            </w:r>
            <w:r w:rsidR="004E5C56" w:rsidRPr="00794616">
              <w:rPr>
                <w:rFonts w:ascii="Arial Narrow" w:hAnsi="Arial Narrow"/>
                <w:b/>
                <w:bCs/>
                <w:sz w:val="16"/>
                <w:szCs w:val="16"/>
              </w:rPr>
              <w:t xml:space="preserve">ΚΑ </w:t>
            </w:r>
          </w:p>
        </w:tc>
        <w:tc>
          <w:tcPr>
            <w:tcW w:w="1669" w:type="dxa"/>
            <w:tcBorders>
              <w:top w:val="nil"/>
              <w:left w:val="nil"/>
              <w:bottom w:val="nil"/>
              <w:right w:val="nil"/>
            </w:tcBorders>
            <w:shd w:val="clear" w:color="auto" w:fill="BFBFBF" w:themeFill="background1" w:themeFillShade="BF"/>
            <w:vAlign w:val="center"/>
          </w:tcPr>
          <w:p w:rsidR="004E5C56" w:rsidRPr="00EE2DCF" w:rsidRDefault="004E5C56" w:rsidP="00CD55E6">
            <w:pPr>
              <w:ind w:right="567"/>
              <w:jc w:val="right"/>
              <w:rPr>
                <w:rFonts w:ascii="Arial Narrow" w:hAnsi="Arial Narrow"/>
                <w:b/>
                <w:bCs/>
                <w:sz w:val="16"/>
                <w:szCs w:val="16"/>
                <w:lang w:val="en-US"/>
              </w:rPr>
            </w:pPr>
            <w:r>
              <w:rPr>
                <w:rFonts w:ascii="Arial Narrow" w:hAnsi="Arial Narrow"/>
                <w:b/>
                <w:bCs/>
                <w:sz w:val="16"/>
                <w:szCs w:val="16"/>
              </w:rPr>
              <w:t>-643</w:t>
            </w:r>
          </w:p>
        </w:tc>
        <w:tc>
          <w:tcPr>
            <w:tcW w:w="1656" w:type="dxa"/>
            <w:tcBorders>
              <w:top w:val="nil"/>
              <w:left w:val="nil"/>
              <w:bottom w:val="nil"/>
            </w:tcBorders>
            <w:shd w:val="clear" w:color="auto" w:fill="BFBFBF" w:themeFill="background1" w:themeFillShade="BF"/>
            <w:vAlign w:val="center"/>
          </w:tcPr>
          <w:p w:rsidR="004E5C56" w:rsidRPr="00EE2DCF" w:rsidRDefault="004E5C56" w:rsidP="00CD55E6">
            <w:pPr>
              <w:ind w:right="567"/>
              <w:jc w:val="right"/>
              <w:rPr>
                <w:rFonts w:ascii="Arial Narrow" w:hAnsi="Arial Narrow"/>
                <w:b/>
                <w:bCs/>
                <w:sz w:val="16"/>
                <w:szCs w:val="16"/>
                <w:lang w:val="en-US"/>
              </w:rPr>
            </w:pPr>
            <w:r>
              <w:rPr>
                <w:rFonts w:ascii="Arial Narrow" w:hAnsi="Arial Narrow"/>
                <w:b/>
                <w:bCs/>
                <w:sz w:val="16"/>
                <w:szCs w:val="16"/>
              </w:rPr>
              <w:t>379</w:t>
            </w:r>
          </w:p>
        </w:tc>
      </w:tr>
      <w:tr w:rsidR="004E5C56" w:rsidRPr="00794616" w:rsidTr="003C79F3">
        <w:trPr>
          <w:jc w:val="center"/>
        </w:trPr>
        <w:tc>
          <w:tcPr>
            <w:tcW w:w="5426" w:type="dxa"/>
            <w:tcBorders>
              <w:top w:val="nil"/>
              <w:bottom w:val="nil"/>
              <w:right w:val="nil"/>
            </w:tcBorders>
            <w:shd w:val="clear" w:color="auto" w:fill="BFBFBF" w:themeFill="background1" w:themeFillShade="BF"/>
          </w:tcPr>
          <w:p w:rsidR="004E5C56" w:rsidRPr="00794616" w:rsidRDefault="004E5C56" w:rsidP="003C79F3">
            <w:pPr>
              <w:rPr>
                <w:rFonts w:ascii="Arial Narrow" w:hAnsi="Arial Narrow"/>
                <w:b/>
                <w:bCs/>
                <w:sz w:val="16"/>
                <w:szCs w:val="16"/>
              </w:rPr>
            </w:pPr>
            <w:r w:rsidRPr="00794616">
              <w:rPr>
                <w:rFonts w:ascii="Arial Narrow" w:hAnsi="Arial Narrow"/>
                <w:b/>
                <w:bCs/>
                <w:sz w:val="16"/>
                <w:szCs w:val="16"/>
              </w:rPr>
              <w:t>Εθνικολογιστικές προσαρμογές</w:t>
            </w:r>
          </w:p>
        </w:tc>
        <w:tc>
          <w:tcPr>
            <w:tcW w:w="1669" w:type="dxa"/>
            <w:tcBorders>
              <w:top w:val="nil"/>
              <w:left w:val="nil"/>
              <w:bottom w:val="nil"/>
              <w:right w:val="nil"/>
            </w:tcBorders>
            <w:shd w:val="clear" w:color="auto" w:fill="BFBFBF" w:themeFill="background1" w:themeFillShade="BF"/>
            <w:vAlign w:val="center"/>
          </w:tcPr>
          <w:p w:rsidR="004E5C56" w:rsidRPr="00EE2DCF" w:rsidRDefault="004E5C56" w:rsidP="00CD55E6">
            <w:pPr>
              <w:ind w:right="567"/>
              <w:jc w:val="right"/>
              <w:rPr>
                <w:rFonts w:ascii="Arial Narrow" w:hAnsi="Arial Narrow"/>
                <w:b/>
                <w:bCs/>
                <w:sz w:val="16"/>
                <w:szCs w:val="16"/>
              </w:rPr>
            </w:pPr>
            <w:r>
              <w:rPr>
                <w:rFonts w:ascii="Arial Narrow" w:hAnsi="Arial Narrow"/>
                <w:b/>
                <w:bCs/>
                <w:sz w:val="16"/>
                <w:szCs w:val="16"/>
              </w:rPr>
              <w:t>819</w:t>
            </w:r>
          </w:p>
        </w:tc>
        <w:tc>
          <w:tcPr>
            <w:tcW w:w="1656" w:type="dxa"/>
            <w:tcBorders>
              <w:top w:val="nil"/>
              <w:left w:val="nil"/>
              <w:bottom w:val="nil"/>
            </w:tcBorders>
            <w:shd w:val="clear" w:color="auto" w:fill="BFBFBF" w:themeFill="background1" w:themeFillShade="BF"/>
            <w:vAlign w:val="center"/>
          </w:tcPr>
          <w:p w:rsidR="004E5C56" w:rsidRPr="00EE2DCF" w:rsidRDefault="004E5C56" w:rsidP="00CD55E6">
            <w:pPr>
              <w:ind w:right="567"/>
              <w:jc w:val="right"/>
              <w:rPr>
                <w:rFonts w:ascii="Arial Narrow" w:hAnsi="Arial Narrow"/>
                <w:b/>
                <w:bCs/>
                <w:sz w:val="16"/>
                <w:szCs w:val="16"/>
              </w:rPr>
            </w:pPr>
            <w:r>
              <w:rPr>
                <w:rFonts w:ascii="Arial Narrow" w:hAnsi="Arial Narrow"/>
                <w:b/>
                <w:bCs/>
                <w:sz w:val="16"/>
                <w:szCs w:val="16"/>
              </w:rPr>
              <w:t>375</w:t>
            </w:r>
          </w:p>
        </w:tc>
      </w:tr>
      <w:tr w:rsidR="004E5C56" w:rsidRPr="00794616" w:rsidTr="003C79F3">
        <w:trPr>
          <w:jc w:val="center"/>
        </w:trPr>
        <w:tc>
          <w:tcPr>
            <w:tcW w:w="5426" w:type="dxa"/>
            <w:tcBorders>
              <w:top w:val="nil"/>
              <w:bottom w:val="single" w:sz="4" w:space="0" w:color="auto"/>
              <w:right w:val="nil"/>
            </w:tcBorders>
            <w:shd w:val="clear" w:color="auto" w:fill="BFBFBF" w:themeFill="background1" w:themeFillShade="BF"/>
          </w:tcPr>
          <w:p w:rsidR="004E5C56" w:rsidRPr="00794616" w:rsidRDefault="00934C98" w:rsidP="003C79F3">
            <w:pPr>
              <w:rPr>
                <w:rFonts w:ascii="Arial Narrow" w:hAnsi="Arial Narrow"/>
                <w:b/>
                <w:bCs/>
                <w:sz w:val="16"/>
                <w:szCs w:val="16"/>
              </w:rPr>
            </w:pPr>
            <w:r>
              <w:rPr>
                <w:rFonts w:ascii="Arial Narrow" w:hAnsi="Arial Narrow"/>
                <w:b/>
                <w:bCs/>
                <w:sz w:val="16"/>
                <w:szCs w:val="16"/>
              </w:rPr>
              <w:t>Συνολικό ισοζύγιο Ο</w:t>
            </w:r>
            <w:r w:rsidR="004E5C56" w:rsidRPr="00794616">
              <w:rPr>
                <w:rFonts w:ascii="Arial Narrow" w:hAnsi="Arial Narrow"/>
                <w:b/>
                <w:bCs/>
                <w:sz w:val="16"/>
                <w:szCs w:val="16"/>
              </w:rPr>
              <w:t xml:space="preserve">ΚΑ κατά </w:t>
            </w:r>
            <w:r w:rsidR="004E5C56" w:rsidRPr="00794616">
              <w:rPr>
                <w:rFonts w:ascii="Arial Narrow" w:hAnsi="Arial Narrow"/>
                <w:b/>
                <w:bCs/>
                <w:sz w:val="16"/>
                <w:szCs w:val="16"/>
                <w:lang w:val="en-GB"/>
              </w:rPr>
              <w:t>ESA</w:t>
            </w:r>
            <w:r w:rsidR="004E5C56" w:rsidRPr="00794616">
              <w:rPr>
                <w:rFonts w:ascii="Arial Narrow" w:hAnsi="Arial Narrow"/>
                <w:b/>
                <w:bCs/>
                <w:sz w:val="16"/>
                <w:szCs w:val="16"/>
              </w:rPr>
              <w:t xml:space="preserve"> </w:t>
            </w:r>
          </w:p>
        </w:tc>
        <w:tc>
          <w:tcPr>
            <w:tcW w:w="1669" w:type="dxa"/>
            <w:tcBorders>
              <w:top w:val="nil"/>
              <w:left w:val="nil"/>
              <w:bottom w:val="single" w:sz="4" w:space="0" w:color="auto"/>
              <w:right w:val="nil"/>
            </w:tcBorders>
            <w:shd w:val="clear" w:color="auto" w:fill="BFBFBF" w:themeFill="background1" w:themeFillShade="BF"/>
            <w:vAlign w:val="center"/>
          </w:tcPr>
          <w:p w:rsidR="004E5C56" w:rsidRPr="00EE2DCF" w:rsidRDefault="004E5C56" w:rsidP="00CD55E6">
            <w:pPr>
              <w:ind w:right="567"/>
              <w:jc w:val="right"/>
              <w:rPr>
                <w:rFonts w:ascii="Arial Narrow" w:hAnsi="Arial Narrow"/>
                <w:b/>
                <w:bCs/>
                <w:sz w:val="16"/>
                <w:szCs w:val="16"/>
              </w:rPr>
            </w:pPr>
            <w:r w:rsidRPr="00EE2DCF">
              <w:rPr>
                <w:rFonts w:ascii="Arial Narrow" w:hAnsi="Arial Narrow"/>
                <w:b/>
                <w:bCs/>
                <w:sz w:val="16"/>
                <w:szCs w:val="16"/>
              </w:rPr>
              <w:t>1</w:t>
            </w:r>
            <w:r>
              <w:rPr>
                <w:rFonts w:ascii="Arial Narrow" w:hAnsi="Arial Narrow"/>
                <w:b/>
                <w:bCs/>
                <w:sz w:val="16"/>
                <w:szCs w:val="16"/>
              </w:rPr>
              <w:t>76</w:t>
            </w:r>
          </w:p>
        </w:tc>
        <w:tc>
          <w:tcPr>
            <w:tcW w:w="1656" w:type="dxa"/>
            <w:tcBorders>
              <w:top w:val="nil"/>
              <w:left w:val="nil"/>
              <w:bottom w:val="single" w:sz="4" w:space="0" w:color="auto"/>
            </w:tcBorders>
            <w:shd w:val="clear" w:color="auto" w:fill="BFBFBF" w:themeFill="background1" w:themeFillShade="BF"/>
            <w:vAlign w:val="center"/>
          </w:tcPr>
          <w:p w:rsidR="004E5C56" w:rsidRPr="00EE2DCF" w:rsidRDefault="004E5C56" w:rsidP="00CD55E6">
            <w:pPr>
              <w:ind w:right="567"/>
              <w:jc w:val="right"/>
              <w:rPr>
                <w:rFonts w:ascii="Arial Narrow" w:hAnsi="Arial Narrow"/>
                <w:b/>
                <w:bCs/>
                <w:sz w:val="16"/>
                <w:szCs w:val="16"/>
                <w:lang w:val="en-US"/>
              </w:rPr>
            </w:pPr>
            <w:r>
              <w:rPr>
                <w:rFonts w:ascii="Arial Narrow" w:hAnsi="Arial Narrow"/>
                <w:b/>
                <w:bCs/>
                <w:sz w:val="16"/>
                <w:szCs w:val="16"/>
              </w:rPr>
              <w:t>754</w:t>
            </w:r>
          </w:p>
        </w:tc>
      </w:tr>
    </w:tbl>
    <w:p w:rsidR="0042330B" w:rsidRPr="00FA6F82" w:rsidRDefault="0042330B" w:rsidP="0042330B">
      <w:pPr>
        <w:autoSpaceDE w:val="0"/>
        <w:autoSpaceDN w:val="0"/>
        <w:adjustRightInd w:val="0"/>
        <w:ind w:left="284"/>
        <w:jc w:val="both"/>
        <w:rPr>
          <w:rFonts w:ascii="Arial Narrow" w:hAnsi="Arial Narrow"/>
          <w:color w:val="000000"/>
          <w:sz w:val="18"/>
          <w:szCs w:val="18"/>
          <w:vertAlign w:val="superscript"/>
        </w:rPr>
      </w:pPr>
    </w:p>
    <w:p w:rsidR="00BC637E" w:rsidRDefault="00BC637E" w:rsidP="004B6634"/>
    <w:p w:rsidR="005040CE" w:rsidRPr="008B7299" w:rsidRDefault="005040CE" w:rsidP="005040CE">
      <w:pPr>
        <w:jc w:val="both"/>
        <w:rPr>
          <w:sz w:val="22"/>
        </w:rPr>
      </w:pPr>
    </w:p>
    <w:p w:rsidR="005040CE" w:rsidRPr="008B7299" w:rsidRDefault="005040CE" w:rsidP="005040CE">
      <w:pPr>
        <w:jc w:val="both"/>
        <w:rPr>
          <w:sz w:val="22"/>
        </w:rPr>
      </w:pPr>
      <w:r w:rsidRPr="008B7299">
        <w:rPr>
          <w:sz w:val="22"/>
        </w:rPr>
        <w:t>Περαιτέρω αναμένεται να εφαρμοστούν δράσεις και πολιτικές από το Υπουργείο Εργασίας και Κο</w:t>
      </w:r>
      <w:r w:rsidRPr="008B7299">
        <w:rPr>
          <w:sz w:val="22"/>
        </w:rPr>
        <w:t>ι</w:t>
      </w:r>
      <w:r w:rsidRPr="008B7299">
        <w:rPr>
          <w:sz w:val="22"/>
        </w:rPr>
        <w:t>νωνικών Υποθέσεων που παρουσιάζονται αναλυτικά παρακάτω</w:t>
      </w:r>
      <w:r>
        <w:rPr>
          <w:sz w:val="22"/>
        </w:rPr>
        <w:t>:</w:t>
      </w:r>
    </w:p>
    <w:p w:rsidR="005040CE" w:rsidRPr="008B7299" w:rsidRDefault="005040CE" w:rsidP="005040CE">
      <w:pPr>
        <w:rPr>
          <w:sz w:val="22"/>
        </w:rPr>
      </w:pPr>
    </w:p>
    <w:p w:rsidR="005040CE" w:rsidRPr="008B7299" w:rsidRDefault="005040CE" w:rsidP="005040CE">
      <w:pPr>
        <w:rPr>
          <w:b/>
          <w:bCs/>
          <w:i/>
          <w:sz w:val="22"/>
        </w:rPr>
      </w:pPr>
      <w:r w:rsidRPr="008B7299">
        <w:rPr>
          <w:b/>
          <w:bCs/>
          <w:i/>
          <w:sz w:val="22"/>
        </w:rPr>
        <w:t>α)</w:t>
      </w:r>
      <w:r w:rsidRPr="008B7299">
        <w:rPr>
          <w:b/>
          <w:bCs/>
          <w:i/>
          <w:sz w:val="22"/>
        </w:rPr>
        <w:tab/>
        <w:t>Κοινωνική Ασφάλιση (Ασφαλιστικά Ταμεία)</w:t>
      </w:r>
    </w:p>
    <w:p w:rsidR="005040CE" w:rsidRPr="008B7299" w:rsidRDefault="005040CE" w:rsidP="005040CE">
      <w:pPr>
        <w:rPr>
          <w:b/>
          <w:bCs/>
          <w:sz w:val="22"/>
        </w:rPr>
      </w:pPr>
    </w:p>
    <w:p w:rsidR="005040CE" w:rsidRPr="0049240B" w:rsidRDefault="005040CE" w:rsidP="005040CE">
      <w:pPr>
        <w:jc w:val="both"/>
        <w:rPr>
          <w:sz w:val="22"/>
        </w:rPr>
      </w:pPr>
      <w:r w:rsidRPr="008B7299">
        <w:rPr>
          <w:sz w:val="22"/>
        </w:rPr>
        <w:t>Κατά το έτος 202</w:t>
      </w:r>
      <w:r>
        <w:rPr>
          <w:sz w:val="22"/>
        </w:rPr>
        <w:t>1 υλοποιούνται σε εφαρμογή του ν. 4670/2020 σημαντικές τομές στο σύστημα κο</w:t>
      </w:r>
      <w:r>
        <w:rPr>
          <w:sz w:val="22"/>
        </w:rPr>
        <w:t>ι</w:t>
      </w:r>
      <w:r>
        <w:rPr>
          <w:sz w:val="22"/>
        </w:rPr>
        <w:t>νωνικής ασφάλισης με την ψηφιοποίηση και ποιοτική αναβάθμιση των παρεχόμενων υπηρεσιών του ασφαλιστικού / συνταξιοδοτικού συστήματος προς τους πολίτες.</w:t>
      </w:r>
    </w:p>
    <w:p w:rsidR="005040CE" w:rsidRDefault="005040CE" w:rsidP="005040CE">
      <w:pPr>
        <w:jc w:val="both"/>
        <w:rPr>
          <w:sz w:val="22"/>
        </w:rPr>
      </w:pPr>
    </w:p>
    <w:p w:rsidR="005040CE" w:rsidRDefault="005040CE" w:rsidP="005040CE">
      <w:pPr>
        <w:jc w:val="both"/>
        <w:rPr>
          <w:sz w:val="22"/>
        </w:rPr>
      </w:pPr>
      <w:r w:rsidRPr="00464C08">
        <w:rPr>
          <w:sz w:val="22"/>
        </w:rPr>
        <w:t xml:space="preserve">Το πληροφοριακό σύστημα «ΑΤΛΑΣ» αποτελεί μια </w:t>
      </w:r>
      <w:r>
        <w:rPr>
          <w:sz w:val="22"/>
        </w:rPr>
        <w:t xml:space="preserve">σημαντική μεταρρύθμιση στο σύστημα με άμεση αντανάκλαση στις παρεχόμενες υπηρεσίες στον πολίτη. </w:t>
      </w:r>
      <w:r w:rsidRPr="00464C08">
        <w:rPr>
          <w:sz w:val="22"/>
        </w:rPr>
        <w:t>Μια γραφειοκρατική, χρονοβόρα</w:t>
      </w:r>
      <w:r>
        <w:rPr>
          <w:sz w:val="22"/>
        </w:rPr>
        <w:t xml:space="preserve"> </w:t>
      </w:r>
      <w:r w:rsidRPr="00464C08">
        <w:rPr>
          <w:sz w:val="22"/>
        </w:rPr>
        <w:t>και δα</w:t>
      </w:r>
      <w:r>
        <w:rPr>
          <w:sz w:val="22"/>
        </w:rPr>
        <w:t>ιδ</w:t>
      </w:r>
      <w:r>
        <w:rPr>
          <w:sz w:val="22"/>
        </w:rPr>
        <w:t>α</w:t>
      </w:r>
      <w:r>
        <w:rPr>
          <w:sz w:val="22"/>
        </w:rPr>
        <w:t>λώδης διαδικασία που αποτελούσε</w:t>
      </w:r>
      <w:r w:rsidRPr="00464C08">
        <w:rPr>
          <w:sz w:val="22"/>
        </w:rPr>
        <w:t xml:space="preserve"> το μεγαλύτερο πρόβλημα εδώ και δεκαετίες για όλους τους ασφ</w:t>
      </w:r>
      <w:r w:rsidRPr="00464C08">
        <w:rPr>
          <w:sz w:val="22"/>
        </w:rPr>
        <w:t>α</w:t>
      </w:r>
      <w:r w:rsidRPr="00464C08">
        <w:rPr>
          <w:sz w:val="22"/>
        </w:rPr>
        <w:lastRenderedPageBreak/>
        <w:t>λισμένους που ολοκληρώνουν τον εργασιακό τους βίο και την κοινωνική ασφάλιση</w:t>
      </w:r>
      <w:r>
        <w:rPr>
          <w:sz w:val="22"/>
        </w:rPr>
        <w:t xml:space="preserve">, </w:t>
      </w:r>
      <w:r w:rsidRPr="00464C08">
        <w:rPr>
          <w:sz w:val="22"/>
        </w:rPr>
        <w:t>αλλάζει. Με την αξιοποίηση των σύγχρονων τεχνολογικών εργαλείων, η διαδικασία</w:t>
      </w:r>
      <w:r>
        <w:rPr>
          <w:sz w:val="22"/>
        </w:rPr>
        <w:t xml:space="preserve"> απονομής σύνταξης</w:t>
      </w:r>
      <w:r w:rsidRPr="00464C08">
        <w:rPr>
          <w:sz w:val="22"/>
        </w:rPr>
        <w:t xml:space="preserve"> μετασχηματ</w:t>
      </w:r>
      <w:r w:rsidRPr="00464C08">
        <w:rPr>
          <w:sz w:val="22"/>
        </w:rPr>
        <w:t>ί</w:t>
      </w:r>
      <w:r w:rsidRPr="00464C08">
        <w:rPr>
          <w:sz w:val="22"/>
        </w:rPr>
        <w:t xml:space="preserve">ζεται </w:t>
      </w:r>
      <w:r>
        <w:rPr>
          <w:sz w:val="22"/>
        </w:rPr>
        <w:t xml:space="preserve">και </w:t>
      </w:r>
      <w:r w:rsidRPr="008F6BEA">
        <w:rPr>
          <w:sz w:val="22"/>
        </w:rPr>
        <w:t>αντικαθίσταται από την ψηφιακή απονομή σύνταξης μέσω της πλατφόρμας "ΑΤΛΑΣ"</w:t>
      </w:r>
      <w:r>
        <w:rPr>
          <w:sz w:val="22"/>
        </w:rPr>
        <w:t xml:space="preserve">, </w:t>
      </w:r>
      <w:r w:rsidRPr="008F6BEA">
        <w:rPr>
          <w:sz w:val="22"/>
        </w:rPr>
        <w:t>ελ</w:t>
      </w:r>
      <w:r w:rsidRPr="008F6BEA">
        <w:rPr>
          <w:sz w:val="22"/>
        </w:rPr>
        <w:t>α</w:t>
      </w:r>
      <w:r w:rsidRPr="008F6BEA">
        <w:rPr>
          <w:sz w:val="22"/>
        </w:rPr>
        <w:t>χιστοποιώντ</w:t>
      </w:r>
      <w:r>
        <w:rPr>
          <w:sz w:val="22"/>
        </w:rPr>
        <w:t>α</w:t>
      </w:r>
      <w:r w:rsidRPr="008F6BEA">
        <w:rPr>
          <w:sz w:val="22"/>
        </w:rPr>
        <w:t xml:space="preserve">ς τον χρόνο απονομής χωρίς να απαιτείται η εμπλοκή </w:t>
      </w:r>
      <w:r>
        <w:rPr>
          <w:sz w:val="22"/>
        </w:rPr>
        <w:t>των δικαιούχων/συνταξιούχων στη</w:t>
      </w:r>
      <w:r w:rsidRPr="008F6BEA">
        <w:rPr>
          <w:sz w:val="22"/>
        </w:rPr>
        <w:t xml:space="preserve"> διαδικασία. </w:t>
      </w:r>
    </w:p>
    <w:p w:rsidR="005040CE" w:rsidRDefault="005040CE" w:rsidP="005040CE">
      <w:pPr>
        <w:jc w:val="both"/>
        <w:rPr>
          <w:sz w:val="22"/>
        </w:rPr>
      </w:pPr>
    </w:p>
    <w:p w:rsidR="005040CE" w:rsidRPr="00464C08" w:rsidRDefault="005040CE" w:rsidP="005040CE">
      <w:pPr>
        <w:jc w:val="both"/>
        <w:rPr>
          <w:sz w:val="22"/>
        </w:rPr>
      </w:pPr>
      <w:r>
        <w:rPr>
          <w:sz w:val="22"/>
        </w:rPr>
        <w:t>Η παραγωγική λειτουργία της ψηφιακής απονομής σύνταξης ξεκίνησε το 2020 με σ</w:t>
      </w:r>
      <w:r w:rsidRPr="008F6BEA">
        <w:rPr>
          <w:sz w:val="22"/>
        </w:rPr>
        <w:t>τόχο έως το τέλος του 2021 να απονέμεται ψηφιακά το</w:t>
      </w:r>
      <w:r>
        <w:rPr>
          <w:sz w:val="22"/>
        </w:rPr>
        <w:t xml:space="preserve"> 85% των υποβαλλόμενων αιτήσεων συνταξιοδότησης.</w:t>
      </w:r>
      <w:r w:rsidRPr="008F6BEA">
        <w:rPr>
          <w:sz w:val="22"/>
        </w:rPr>
        <w:t xml:space="preserve"> </w:t>
      </w:r>
      <w:r>
        <w:rPr>
          <w:sz w:val="22"/>
        </w:rPr>
        <w:t>Παρά</w:t>
      </w:r>
      <w:r>
        <w:rPr>
          <w:sz w:val="22"/>
        </w:rPr>
        <w:t>λ</w:t>
      </w:r>
      <w:r>
        <w:rPr>
          <w:sz w:val="22"/>
        </w:rPr>
        <w:t xml:space="preserve">ληλα, θεσπίζεται μια νέα πρωτοβουλία, η υποχρεωτική, περιοδική δημοσίευση της έκθεσης «ΑΤΛΑΣ», με την οποία </w:t>
      </w:r>
      <w:r w:rsidRPr="00E671A4">
        <w:rPr>
          <w:sz w:val="22"/>
        </w:rPr>
        <w:t>παρουσιάζοντα</w:t>
      </w:r>
      <w:r>
        <w:rPr>
          <w:sz w:val="22"/>
        </w:rPr>
        <w:t>ι</w:t>
      </w:r>
      <w:r w:rsidRPr="00E671A4">
        <w:rPr>
          <w:sz w:val="22"/>
        </w:rPr>
        <w:t xml:space="preserve"> κρίσιμα και σημαντικά στοιχεία του ασφαλιστικού συστ</w:t>
      </w:r>
      <w:r w:rsidRPr="00E671A4">
        <w:rPr>
          <w:sz w:val="22"/>
        </w:rPr>
        <w:t>ή</w:t>
      </w:r>
      <w:r w:rsidRPr="00E671A4">
        <w:rPr>
          <w:sz w:val="22"/>
        </w:rPr>
        <w:t>ματος και του e-ΕΦΚΑ που μέχρι τώρα αποτελούσαν μόνιμο πεδίο αμφισβητήσεων, πολιτικών διεν</w:t>
      </w:r>
      <w:r w:rsidRPr="00E671A4">
        <w:rPr>
          <w:sz w:val="22"/>
        </w:rPr>
        <w:t>έ</w:t>
      </w:r>
      <w:r w:rsidRPr="00E671A4">
        <w:rPr>
          <w:sz w:val="22"/>
        </w:rPr>
        <w:t>ξε</w:t>
      </w:r>
      <w:r>
        <w:rPr>
          <w:sz w:val="22"/>
        </w:rPr>
        <w:t xml:space="preserve">ων και κοινοβουλευτικού ελέγχου. Στόχος της καινοτομίας αυτής είναι η </w:t>
      </w:r>
      <w:r w:rsidRPr="00E671A4">
        <w:rPr>
          <w:sz w:val="22"/>
        </w:rPr>
        <w:t>διαφανή</w:t>
      </w:r>
      <w:r>
        <w:rPr>
          <w:sz w:val="22"/>
        </w:rPr>
        <w:t>ς</w:t>
      </w:r>
      <w:r w:rsidRPr="00E671A4">
        <w:rPr>
          <w:sz w:val="22"/>
        </w:rPr>
        <w:t xml:space="preserve"> απεικόνιση του ασφαλιστικού συστήματος</w:t>
      </w:r>
      <w:r>
        <w:rPr>
          <w:sz w:val="22"/>
        </w:rPr>
        <w:t xml:space="preserve"> και η αξιόπιστη ενημέρωση των μελλοντικών συνταξιούχων, της</w:t>
      </w:r>
      <w:r w:rsidRPr="00464C08">
        <w:rPr>
          <w:sz w:val="22"/>
        </w:rPr>
        <w:t xml:space="preserve"> πορεία</w:t>
      </w:r>
      <w:r>
        <w:rPr>
          <w:sz w:val="22"/>
        </w:rPr>
        <w:t>ς</w:t>
      </w:r>
      <w:r w:rsidRPr="00464C08">
        <w:rPr>
          <w:sz w:val="22"/>
        </w:rPr>
        <w:t xml:space="preserve"> ολοκλήρωσης των εκκρεμ</w:t>
      </w:r>
      <w:r>
        <w:rPr>
          <w:sz w:val="22"/>
        </w:rPr>
        <w:t>ών συντάξεων</w:t>
      </w:r>
      <w:r w:rsidRPr="00464C08">
        <w:rPr>
          <w:sz w:val="22"/>
        </w:rPr>
        <w:t xml:space="preserve"> και της</w:t>
      </w:r>
      <w:r>
        <w:rPr>
          <w:sz w:val="22"/>
        </w:rPr>
        <w:t xml:space="preserve"> προόδου </w:t>
      </w:r>
      <w:r w:rsidRPr="00464C08">
        <w:rPr>
          <w:sz w:val="22"/>
        </w:rPr>
        <w:t>του ψηφιακού μετασχηματισμού της διαδ</w:t>
      </w:r>
      <w:r w:rsidRPr="00464C08">
        <w:rPr>
          <w:sz w:val="22"/>
        </w:rPr>
        <w:t>ι</w:t>
      </w:r>
      <w:r w:rsidRPr="00464C08">
        <w:rPr>
          <w:sz w:val="22"/>
        </w:rPr>
        <w:t>κασίας απονομής</w:t>
      </w:r>
      <w:r>
        <w:rPr>
          <w:sz w:val="22"/>
        </w:rPr>
        <w:t xml:space="preserve"> συντάξεων. </w:t>
      </w:r>
    </w:p>
    <w:p w:rsidR="005040CE" w:rsidRDefault="005040CE" w:rsidP="005040CE">
      <w:pPr>
        <w:jc w:val="both"/>
        <w:rPr>
          <w:sz w:val="22"/>
        </w:rPr>
      </w:pPr>
    </w:p>
    <w:p w:rsidR="005040CE" w:rsidRPr="008F6BEA" w:rsidRDefault="005040CE" w:rsidP="005040CE">
      <w:pPr>
        <w:jc w:val="both"/>
        <w:rPr>
          <w:sz w:val="22"/>
        </w:rPr>
      </w:pPr>
      <w:r w:rsidRPr="008F6BEA">
        <w:rPr>
          <w:sz w:val="22"/>
        </w:rPr>
        <w:t xml:space="preserve">Σημαντική </w:t>
      </w:r>
      <w:r>
        <w:rPr>
          <w:sz w:val="22"/>
        </w:rPr>
        <w:t xml:space="preserve">επίσης </w:t>
      </w:r>
      <w:r w:rsidRPr="008F6BEA">
        <w:rPr>
          <w:sz w:val="22"/>
        </w:rPr>
        <w:t>μεταρρύθμιση που σχεδιάζεται το 2021 στο ασφαλιστικό σύστημα είναι η μετάβ</w:t>
      </w:r>
      <w:r w:rsidRPr="008F6BEA">
        <w:rPr>
          <w:sz w:val="22"/>
        </w:rPr>
        <w:t>α</w:t>
      </w:r>
      <w:r w:rsidRPr="008F6BEA">
        <w:rPr>
          <w:sz w:val="22"/>
        </w:rPr>
        <w:t>ση από το διανεμητικό στο κεφαλαιοποιητικό σύστημα επικουρικής ασφάλισης. Με τη θέσπιση επ</w:t>
      </w:r>
      <w:r w:rsidRPr="008F6BEA">
        <w:rPr>
          <w:sz w:val="22"/>
        </w:rPr>
        <w:t>ι</w:t>
      </w:r>
      <w:r w:rsidRPr="008F6BEA">
        <w:rPr>
          <w:sz w:val="22"/>
        </w:rPr>
        <w:t>κουρικής ασφάλισης κεφαλαιοποιητικού χαρακτήρα επιδιώκεται η άμβλυνση του δημογραφικού και των δημοσιονομικών κινδύνων, δημιουργείται εθνική αποταμίευση και ενισχύονται οι εγχώριες επε</w:t>
      </w:r>
      <w:r w:rsidRPr="008F6BEA">
        <w:rPr>
          <w:sz w:val="22"/>
        </w:rPr>
        <w:t>ν</w:t>
      </w:r>
      <w:r w:rsidRPr="008F6BEA">
        <w:rPr>
          <w:sz w:val="22"/>
        </w:rPr>
        <w:t xml:space="preserve">δύσεις προς όφελος της οικονομικής μεγέθυνσης. </w:t>
      </w:r>
    </w:p>
    <w:p w:rsidR="005040CE" w:rsidRDefault="005040CE" w:rsidP="005040CE">
      <w:pPr>
        <w:jc w:val="both"/>
        <w:rPr>
          <w:sz w:val="22"/>
        </w:rPr>
      </w:pPr>
    </w:p>
    <w:p w:rsidR="005040CE" w:rsidRPr="008F6BEA" w:rsidRDefault="005040CE" w:rsidP="005040CE">
      <w:pPr>
        <w:jc w:val="both"/>
        <w:rPr>
          <w:sz w:val="22"/>
        </w:rPr>
      </w:pPr>
      <w:r w:rsidRPr="008F6BEA">
        <w:rPr>
          <w:sz w:val="22"/>
        </w:rPr>
        <w:t>Για τη στήριξη της οικονομίας και την ενίσχυση της απασχόλησης εφαρμόζεται μέσα στο 2021 η π</w:t>
      </w:r>
      <w:r w:rsidRPr="008F6BEA">
        <w:rPr>
          <w:sz w:val="22"/>
        </w:rPr>
        <w:t>ε</w:t>
      </w:r>
      <w:r w:rsidRPr="008F6BEA">
        <w:rPr>
          <w:sz w:val="22"/>
        </w:rPr>
        <w:t>ραιτέρω μείωση των ασφαλιστικών εισφορών γ</w:t>
      </w:r>
      <w:r>
        <w:rPr>
          <w:sz w:val="22"/>
        </w:rPr>
        <w:t>ια τον ιδιωτικό τομέα, κατά 3 ποσοστιαίες μονάδες</w:t>
      </w:r>
      <w:r w:rsidRPr="008F6BEA">
        <w:rPr>
          <w:sz w:val="22"/>
        </w:rPr>
        <w:t>. Συνυπολογίζοντας την ήδη εφαρμοσθείσα μείωση από το β΄ εξάμηνο του 2020 κατά 0,9 π</w:t>
      </w:r>
      <w:r>
        <w:rPr>
          <w:sz w:val="22"/>
        </w:rPr>
        <w:t>οσοστιαίες μονάδες</w:t>
      </w:r>
      <w:r w:rsidRPr="008F6BEA">
        <w:rPr>
          <w:sz w:val="22"/>
        </w:rPr>
        <w:t xml:space="preserve"> οι ασφαλιστικές εισφορές στη μισθωτή εργασία μειώνονται σωρευτικά κατά 3,90 ποσοστια</w:t>
      </w:r>
      <w:r w:rsidRPr="008F6BEA">
        <w:rPr>
          <w:sz w:val="22"/>
        </w:rPr>
        <w:t>ί</w:t>
      </w:r>
      <w:r w:rsidRPr="008F6BEA">
        <w:rPr>
          <w:sz w:val="22"/>
        </w:rPr>
        <w:t>ες μονάδες (</w:t>
      </w:r>
      <w:r>
        <w:rPr>
          <w:sz w:val="22"/>
        </w:rPr>
        <w:t>από 40,56% σε 36,66%). Η μείωση</w:t>
      </w:r>
      <w:r w:rsidRPr="008F6BEA">
        <w:rPr>
          <w:sz w:val="22"/>
        </w:rPr>
        <w:t xml:space="preserve"> του μη μισθολογικού κόστους μέσω της μείωσης των ασφαλιστικών εισφορών αναμένεται να επιδράσει θετικά στην απασχόληση, αυξάνοντας τα κίνητρα για προσλήψεις και μειώνοντας αντίστοιχα τα κίνητρα για αδήλωτη απασχόληση και τονώνοντας το διαθέσιμο εισόδημα των μισθωτών. Η προγραμματιζόμενη μείωση των εισφορών εφαρμόζεται στις εισφορές υπέρ τρίτων και δεν θίγει τις ανταποδοτικές εισφορές κύριας και επικουρικής ασφάλισης. </w:t>
      </w:r>
    </w:p>
    <w:p w:rsidR="005040CE" w:rsidRDefault="005040CE" w:rsidP="005040CE">
      <w:pPr>
        <w:jc w:val="both"/>
        <w:rPr>
          <w:sz w:val="22"/>
        </w:rPr>
      </w:pPr>
    </w:p>
    <w:p w:rsidR="005040CE" w:rsidRPr="008B7299" w:rsidRDefault="005040CE" w:rsidP="005040CE">
      <w:pPr>
        <w:jc w:val="both"/>
        <w:rPr>
          <w:sz w:val="22"/>
        </w:rPr>
      </w:pPr>
      <w:r w:rsidRPr="008B7299">
        <w:rPr>
          <w:sz w:val="22"/>
        </w:rPr>
        <w:t>Στον π</w:t>
      </w:r>
      <w:r>
        <w:rPr>
          <w:sz w:val="22"/>
        </w:rPr>
        <w:t>ροϋπολογισμό του 2021</w:t>
      </w:r>
      <w:r w:rsidRPr="008B7299">
        <w:rPr>
          <w:sz w:val="22"/>
        </w:rPr>
        <w:t xml:space="preserve"> έχει ενσωματωθεί η μ</w:t>
      </w:r>
      <w:r>
        <w:rPr>
          <w:sz w:val="22"/>
        </w:rPr>
        <w:t>είωση των ασφαλιστικών εισφορών. Για την κ</w:t>
      </w:r>
      <w:r>
        <w:rPr>
          <w:sz w:val="22"/>
        </w:rPr>
        <w:t>ά</w:t>
      </w:r>
      <w:r>
        <w:rPr>
          <w:sz w:val="22"/>
        </w:rPr>
        <w:t xml:space="preserve">λυψη της απώλειας εσόδων που δημιουργείται στον ΟΑΕΔ και στον </w:t>
      </w:r>
      <w:r>
        <w:rPr>
          <w:sz w:val="22"/>
          <w:lang w:val="en-US"/>
        </w:rPr>
        <w:t>e</w:t>
      </w:r>
      <w:r w:rsidRPr="002838F8">
        <w:rPr>
          <w:sz w:val="22"/>
        </w:rPr>
        <w:t>-</w:t>
      </w:r>
      <w:r>
        <w:rPr>
          <w:sz w:val="22"/>
          <w:lang w:val="en-US"/>
        </w:rPr>
        <w:t>E</w:t>
      </w:r>
      <w:r>
        <w:rPr>
          <w:sz w:val="22"/>
        </w:rPr>
        <w:t xml:space="preserve">ΦΚΑ έχει </w:t>
      </w:r>
      <w:r w:rsidR="0038601D">
        <w:rPr>
          <w:sz w:val="22"/>
        </w:rPr>
        <w:t xml:space="preserve">αντίστοιχα </w:t>
      </w:r>
      <w:r>
        <w:rPr>
          <w:sz w:val="22"/>
        </w:rPr>
        <w:t xml:space="preserve">αυξηθεί η κρατική επιχορήγηση. </w:t>
      </w:r>
    </w:p>
    <w:p w:rsidR="005040CE" w:rsidRPr="008B7299" w:rsidRDefault="005040CE" w:rsidP="005040CE">
      <w:pPr>
        <w:jc w:val="both"/>
        <w:rPr>
          <w:sz w:val="22"/>
        </w:rPr>
      </w:pPr>
    </w:p>
    <w:p w:rsidR="005040CE" w:rsidRPr="008B7299" w:rsidRDefault="005040CE" w:rsidP="005040CE">
      <w:pPr>
        <w:jc w:val="both"/>
        <w:rPr>
          <w:b/>
          <w:bCs/>
          <w:i/>
          <w:sz w:val="22"/>
        </w:rPr>
      </w:pPr>
      <w:r>
        <w:rPr>
          <w:b/>
          <w:bCs/>
          <w:i/>
          <w:sz w:val="22"/>
        </w:rPr>
        <w:t>β</w:t>
      </w:r>
      <w:r w:rsidRPr="008B7299">
        <w:rPr>
          <w:b/>
          <w:bCs/>
          <w:i/>
          <w:sz w:val="22"/>
        </w:rPr>
        <w:t>)</w:t>
      </w:r>
      <w:r w:rsidRPr="008B7299">
        <w:rPr>
          <w:b/>
          <w:bCs/>
          <w:i/>
          <w:sz w:val="22"/>
        </w:rPr>
        <w:tab/>
        <w:t>Αγορά εργασίας</w:t>
      </w:r>
    </w:p>
    <w:p w:rsidR="005040CE" w:rsidRPr="008B7299" w:rsidRDefault="005040CE" w:rsidP="005040CE">
      <w:pPr>
        <w:jc w:val="both"/>
        <w:rPr>
          <w:b/>
          <w:bCs/>
          <w:sz w:val="22"/>
        </w:rPr>
      </w:pPr>
    </w:p>
    <w:p w:rsidR="005040CE" w:rsidRDefault="005040CE" w:rsidP="005040CE">
      <w:pPr>
        <w:autoSpaceDE w:val="0"/>
        <w:autoSpaceDN w:val="0"/>
        <w:adjustRightInd w:val="0"/>
        <w:jc w:val="both"/>
        <w:rPr>
          <w:rFonts w:cstheme="minorHAnsi"/>
          <w:sz w:val="22"/>
          <w:szCs w:val="22"/>
        </w:rPr>
      </w:pPr>
      <w:r>
        <w:rPr>
          <w:rFonts w:cstheme="minorHAnsi"/>
          <w:sz w:val="22"/>
          <w:szCs w:val="22"/>
        </w:rPr>
        <w:t>Στον τομέα της αγοράς εργασίας δημιουργούνται νέες προοπτικές για τους εργαζόμενους με σαφές και σύγχρονο θεσμικό πλαίσιο εργασιακών σχέσεων.</w:t>
      </w:r>
    </w:p>
    <w:p w:rsidR="005040CE" w:rsidRDefault="005040CE" w:rsidP="005040CE">
      <w:pPr>
        <w:autoSpaceDE w:val="0"/>
        <w:autoSpaceDN w:val="0"/>
        <w:adjustRightInd w:val="0"/>
        <w:jc w:val="both"/>
        <w:rPr>
          <w:rFonts w:cstheme="minorHAnsi"/>
          <w:sz w:val="22"/>
          <w:szCs w:val="22"/>
        </w:rPr>
      </w:pPr>
    </w:p>
    <w:p w:rsidR="005040CE" w:rsidRPr="008F6BEA" w:rsidRDefault="005040CE" w:rsidP="005040CE">
      <w:pPr>
        <w:autoSpaceDE w:val="0"/>
        <w:autoSpaceDN w:val="0"/>
        <w:adjustRightInd w:val="0"/>
        <w:jc w:val="both"/>
        <w:rPr>
          <w:rFonts w:cstheme="minorHAnsi"/>
          <w:sz w:val="22"/>
          <w:szCs w:val="22"/>
        </w:rPr>
      </w:pPr>
      <w:r w:rsidRPr="008F6BEA">
        <w:rPr>
          <w:rFonts w:cstheme="minorHAnsi"/>
          <w:sz w:val="22"/>
          <w:szCs w:val="22"/>
        </w:rPr>
        <w:t xml:space="preserve">Το νέο εργασιακό θεσμικό πλαίσιο εκσυγχρονίζει τους θεσμούς στην αγορά εργασίας, υποστηρίζει την παραγωγικότητα, την καινοτομία και την εξωστρέφεια. ενώ συμβάλλει στη διαμόρφωση φιλικού, επενδυτικού περιβάλλοντος, στη δημιουργία νέων θέσεων εργασίας και στην προσέλκυση στη χώρα ανθρώπινου κεφαλαίου και νέων ιδιωτικών επενδύσεων. </w:t>
      </w:r>
    </w:p>
    <w:p w:rsidR="005040CE" w:rsidRDefault="005040CE" w:rsidP="005040CE">
      <w:pPr>
        <w:autoSpaceDE w:val="0"/>
        <w:autoSpaceDN w:val="0"/>
        <w:adjustRightInd w:val="0"/>
        <w:jc w:val="both"/>
        <w:rPr>
          <w:rFonts w:cstheme="minorHAnsi"/>
          <w:sz w:val="22"/>
          <w:szCs w:val="22"/>
        </w:rPr>
      </w:pPr>
    </w:p>
    <w:p w:rsidR="005040CE" w:rsidRPr="008F6BEA" w:rsidRDefault="005040CE" w:rsidP="005040CE">
      <w:pPr>
        <w:autoSpaceDE w:val="0"/>
        <w:autoSpaceDN w:val="0"/>
        <w:adjustRightInd w:val="0"/>
        <w:jc w:val="both"/>
        <w:rPr>
          <w:rFonts w:cstheme="minorHAnsi"/>
          <w:sz w:val="22"/>
          <w:szCs w:val="22"/>
        </w:rPr>
      </w:pPr>
      <w:r w:rsidRPr="008F6BEA">
        <w:rPr>
          <w:rFonts w:cstheme="minorHAnsi"/>
          <w:sz w:val="22"/>
          <w:szCs w:val="22"/>
        </w:rPr>
        <w:t>Για την ανάκτηση της ανταγωνιστικότητας</w:t>
      </w:r>
      <w:r>
        <w:rPr>
          <w:rFonts w:cstheme="minorHAnsi"/>
          <w:sz w:val="22"/>
          <w:szCs w:val="22"/>
        </w:rPr>
        <w:t xml:space="preserve"> </w:t>
      </w:r>
      <w:r w:rsidRPr="008F6BEA">
        <w:rPr>
          <w:rFonts w:cstheme="minorHAnsi"/>
          <w:sz w:val="22"/>
          <w:szCs w:val="22"/>
        </w:rPr>
        <w:t xml:space="preserve">της ελληνικής οικονομίας </w:t>
      </w:r>
      <w:r>
        <w:rPr>
          <w:rFonts w:cstheme="minorHAnsi"/>
          <w:sz w:val="22"/>
          <w:szCs w:val="22"/>
        </w:rPr>
        <w:t xml:space="preserve">εφαρμόζονται </w:t>
      </w:r>
      <w:r w:rsidRPr="008F6BEA">
        <w:rPr>
          <w:rFonts w:cstheme="minorHAnsi"/>
          <w:sz w:val="22"/>
          <w:szCs w:val="22"/>
        </w:rPr>
        <w:t>συνεπείς πολιτ</w:t>
      </w:r>
      <w:r w:rsidRPr="008F6BEA">
        <w:rPr>
          <w:rFonts w:cstheme="minorHAnsi"/>
          <w:sz w:val="22"/>
          <w:szCs w:val="22"/>
        </w:rPr>
        <w:t>ι</w:t>
      </w:r>
      <w:r w:rsidRPr="008F6BEA">
        <w:rPr>
          <w:rFonts w:cstheme="minorHAnsi"/>
          <w:sz w:val="22"/>
          <w:szCs w:val="22"/>
        </w:rPr>
        <w:t>κές που ενισχύουν τη δημιουργία νέων θέσεων εργασίας, βελτιώνουν την ποιότητα και την ανθεκτικ</w:t>
      </w:r>
      <w:r w:rsidRPr="008F6BEA">
        <w:rPr>
          <w:rFonts w:cstheme="minorHAnsi"/>
          <w:sz w:val="22"/>
          <w:szCs w:val="22"/>
        </w:rPr>
        <w:t>ό</w:t>
      </w:r>
      <w:r w:rsidRPr="008F6BEA">
        <w:rPr>
          <w:rFonts w:cstheme="minorHAnsi"/>
          <w:sz w:val="22"/>
          <w:szCs w:val="22"/>
        </w:rPr>
        <w:t>τητα των θέσεων εργασίας</w:t>
      </w:r>
      <w:r>
        <w:rPr>
          <w:rFonts w:cstheme="minorHAnsi"/>
          <w:sz w:val="22"/>
          <w:szCs w:val="22"/>
        </w:rPr>
        <w:t>. Το έτος 2021 είναι σε εξέλιξη το πρόγραμμα για τη δημιουργία 100.000 νέων θέσεων εργασίας μέσω επιδότησης των ασφαλιστικών εισφορών για έξι μήνες καθώς και επ</w:t>
      </w:r>
      <w:r>
        <w:rPr>
          <w:rFonts w:cstheme="minorHAnsi"/>
          <w:sz w:val="22"/>
          <w:szCs w:val="22"/>
        </w:rPr>
        <w:t>ι</w:t>
      </w:r>
      <w:r>
        <w:rPr>
          <w:rFonts w:cstheme="minorHAnsi"/>
          <w:sz w:val="22"/>
          <w:szCs w:val="22"/>
        </w:rPr>
        <w:t>πλέον επιδότησης σε περίπτωση πρόσληψης μακροχρόνια ανέργων.</w:t>
      </w:r>
    </w:p>
    <w:p w:rsidR="005040CE" w:rsidRPr="00506010" w:rsidRDefault="005040CE" w:rsidP="005040CE">
      <w:pPr>
        <w:autoSpaceDE w:val="0"/>
        <w:autoSpaceDN w:val="0"/>
        <w:adjustRightInd w:val="0"/>
        <w:jc w:val="both"/>
        <w:rPr>
          <w:rFonts w:cstheme="minorHAnsi"/>
          <w:sz w:val="22"/>
          <w:szCs w:val="22"/>
        </w:rPr>
      </w:pPr>
      <w:r w:rsidRPr="00506010">
        <w:rPr>
          <w:rFonts w:cstheme="minorHAnsi"/>
          <w:sz w:val="22"/>
          <w:szCs w:val="22"/>
        </w:rPr>
        <w:t>Για την επίτευξη του στόχου της καταπολέμησης της αδήλωτης</w:t>
      </w:r>
      <w:r>
        <w:rPr>
          <w:rFonts w:cstheme="minorHAnsi"/>
          <w:sz w:val="22"/>
          <w:szCs w:val="22"/>
        </w:rPr>
        <w:t xml:space="preserve"> εργασίας</w:t>
      </w:r>
      <w:r w:rsidRPr="00506010">
        <w:rPr>
          <w:rFonts w:cstheme="minorHAnsi"/>
          <w:sz w:val="22"/>
          <w:szCs w:val="22"/>
        </w:rPr>
        <w:t xml:space="preserve">, </w:t>
      </w:r>
      <w:r>
        <w:rPr>
          <w:rFonts w:cstheme="minorHAnsi"/>
          <w:sz w:val="22"/>
          <w:szCs w:val="22"/>
        </w:rPr>
        <w:t>αναβαθμίζεται το</w:t>
      </w:r>
      <w:r w:rsidRPr="00506010">
        <w:rPr>
          <w:rFonts w:cstheme="minorHAnsi"/>
          <w:sz w:val="22"/>
          <w:szCs w:val="22"/>
        </w:rPr>
        <w:t xml:space="preserve"> υφιστ</w:t>
      </w:r>
      <w:r w:rsidRPr="00506010">
        <w:rPr>
          <w:rFonts w:cstheme="minorHAnsi"/>
          <w:sz w:val="22"/>
          <w:szCs w:val="22"/>
        </w:rPr>
        <w:t>ά</w:t>
      </w:r>
      <w:r w:rsidRPr="00506010">
        <w:rPr>
          <w:rFonts w:cstheme="minorHAnsi"/>
          <w:sz w:val="22"/>
          <w:szCs w:val="22"/>
        </w:rPr>
        <w:t>μενο</w:t>
      </w:r>
      <w:r>
        <w:rPr>
          <w:rFonts w:cstheme="minorHAnsi"/>
          <w:sz w:val="22"/>
          <w:szCs w:val="22"/>
        </w:rPr>
        <w:t xml:space="preserve"> Πληροφοριακό Σύστημα</w:t>
      </w:r>
      <w:r w:rsidRPr="00506010">
        <w:rPr>
          <w:rFonts w:cstheme="minorHAnsi"/>
          <w:sz w:val="22"/>
          <w:szCs w:val="22"/>
        </w:rPr>
        <w:t xml:space="preserve"> ΕΡΓΑΝΗ με στόχο την απλούστευση των διαδικασιών και τη διεύρυ</w:t>
      </w:r>
      <w:r w:rsidRPr="00506010">
        <w:rPr>
          <w:rFonts w:cstheme="minorHAnsi"/>
          <w:sz w:val="22"/>
          <w:szCs w:val="22"/>
        </w:rPr>
        <w:t>ν</w:t>
      </w:r>
      <w:r w:rsidRPr="00506010">
        <w:rPr>
          <w:rFonts w:cstheme="minorHAnsi"/>
          <w:sz w:val="22"/>
          <w:szCs w:val="22"/>
        </w:rPr>
        <w:t xml:space="preserve">ση του πεδίου εφαρμογής και ολοκληρώνεται η μελέτη για τη διαδικασία καθολικής εφαρμογής της ανάλυσης </w:t>
      </w:r>
      <w:r>
        <w:rPr>
          <w:rFonts w:cstheme="minorHAnsi"/>
          <w:sz w:val="22"/>
          <w:szCs w:val="22"/>
        </w:rPr>
        <w:t xml:space="preserve">κινδύνου </w:t>
      </w:r>
      <w:r w:rsidRPr="00506010">
        <w:rPr>
          <w:rFonts w:cstheme="minorHAnsi"/>
          <w:sz w:val="22"/>
          <w:szCs w:val="22"/>
        </w:rPr>
        <w:t>στους ελέγχους του Σώματος Επιθεώρησης Εργασίας</w:t>
      </w:r>
      <w:r>
        <w:rPr>
          <w:rFonts w:cstheme="minorHAnsi"/>
          <w:sz w:val="22"/>
          <w:szCs w:val="22"/>
        </w:rPr>
        <w:t>.</w:t>
      </w:r>
      <w:r w:rsidRPr="00506010">
        <w:rPr>
          <w:rFonts w:cstheme="minorHAnsi"/>
          <w:sz w:val="22"/>
          <w:szCs w:val="22"/>
        </w:rPr>
        <w:t xml:space="preserve"> </w:t>
      </w:r>
    </w:p>
    <w:p w:rsidR="005040CE" w:rsidRPr="008B7299" w:rsidRDefault="005040CE" w:rsidP="005040CE">
      <w:pPr>
        <w:jc w:val="both"/>
        <w:rPr>
          <w:sz w:val="22"/>
        </w:rPr>
      </w:pPr>
    </w:p>
    <w:p w:rsidR="005040CE" w:rsidRPr="008B7299" w:rsidRDefault="005040CE" w:rsidP="005040CE">
      <w:pPr>
        <w:jc w:val="both"/>
        <w:rPr>
          <w:b/>
          <w:bCs/>
          <w:i/>
          <w:sz w:val="22"/>
        </w:rPr>
      </w:pPr>
      <w:r>
        <w:rPr>
          <w:b/>
          <w:bCs/>
          <w:i/>
          <w:sz w:val="22"/>
        </w:rPr>
        <w:t>γ</w:t>
      </w:r>
      <w:r w:rsidRPr="008B7299">
        <w:rPr>
          <w:b/>
          <w:bCs/>
          <w:i/>
          <w:sz w:val="22"/>
        </w:rPr>
        <w:t xml:space="preserve">) </w:t>
      </w:r>
      <w:r w:rsidRPr="008B7299">
        <w:rPr>
          <w:b/>
          <w:bCs/>
          <w:i/>
          <w:sz w:val="22"/>
        </w:rPr>
        <w:tab/>
        <w:t>Οργανισμός Απασχόλησης Εργατικού Δυναμικού</w:t>
      </w:r>
    </w:p>
    <w:p w:rsidR="005040CE" w:rsidRPr="008B7299" w:rsidRDefault="005040CE" w:rsidP="005040CE">
      <w:pPr>
        <w:jc w:val="both"/>
        <w:rPr>
          <w:b/>
          <w:bCs/>
          <w:sz w:val="22"/>
        </w:rPr>
      </w:pPr>
    </w:p>
    <w:p w:rsidR="005040CE" w:rsidRDefault="005040CE" w:rsidP="005040CE">
      <w:pPr>
        <w:jc w:val="both"/>
        <w:rPr>
          <w:sz w:val="22"/>
        </w:rPr>
      </w:pPr>
      <w:r w:rsidRPr="008B7299">
        <w:rPr>
          <w:sz w:val="22"/>
        </w:rPr>
        <w:t>Οι πολιτικές που θα εφαρμοστούν το 202</w:t>
      </w:r>
      <w:r>
        <w:rPr>
          <w:sz w:val="22"/>
        </w:rPr>
        <w:t>1</w:t>
      </w:r>
      <w:r w:rsidRPr="008B7299">
        <w:rPr>
          <w:sz w:val="22"/>
        </w:rPr>
        <w:t xml:space="preserve"> αφορούν δράσεις επιδοματικής πολιτικής με στόχο την ά</w:t>
      </w:r>
      <w:r w:rsidRPr="008B7299">
        <w:rPr>
          <w:sz w:val="22"/>
        </w:rPr>
        <w:t>μ</w:t>
      </w:r>
      <w:r w:rsidRPr="008B7299">
        <w:rPr>
          <w:sz w:val="22"/>
        </w:rPr>
        <w:t>βλυνση των οικονομικών και κοινωνικών συνεπειών της ανεργία</w:t>
      </w:r>
      <w:r>
        <w:rPr>
          <w:sz w:val="22"/>
        </w:rPr>
        <w:t xml:space="preserve">ς, </w:t>
      </w:r>
      <w:r w:rsidRPr="008B7299">
        <w:rPr>
          <w:sz w:val="22"/>
        </w:rPr>
        <w:t>προγράμματα ενεργητικών πολιτ</w:t>
      </w:r>
      <w:r w:rsidRPr="008B7299">
        <w:rPr>
          <w:sz w:val="22"/>
        </w:rPr>
        <w:t>ι</w:t>
      </w:r>
      <w:r w:rsidRPr="008B7299">
        <w:rPr>
          <w:sz w:val="22"/>
        </w:rPr>
        <w:t>κών με στόχο την ανάσχεση της ανεργίας και βελτίωση των προο</w:t>
      </w:r>
      <w:r>
        <w:rPr>
          <w:sz w:val="22"/>
        </w:rPr>
        <w:t>πτικών απασχόλησης των ανέργων. Επίσης θα εφαρμοστούν προγράμματα επαγγελματικής κατάρτισης σε αρμονία με την εθνική στρατ</w:t>
      </w:r>
      <w:r>
        <w:rPr>
          <w:sz w:val="22"/>
        </w:rPr>
        <w:t>η</w:t>
      </w:r>
      <w:r>
        <w:rPr>
          <w:sz w:val="22"/>
        </w:rPr>
        <w:t xml:space="preserve">γική και συμφωνία με τις τοπικές ανάγκες ενώ θα ενισχυθεί ο θεσμός της μαθητείας με </w:t>
      </w:r>
      <w:r w:rsidRPr="000C6511">
        <w:rPr>
          <w:sz w:val="22"/>
        </w:rPr>
        <w:t>εισαγωγή νέων ειδικοτήτων που ανταποκρίνονται στις ανάγκες της αγοράς εργασίας</w:t>
      </w:r>
      <w:r>
        <w:rPr>
          <w:sz w:val="22"/>
        </w:rPr>
        <w:t>.</w:t>
      </w:r>
    </w:p>
    <w:p w:rsidR="005040CE" w:rsidRPr="008B7299" w:rsidRDefault="005040CE" w:rsidP="005040CE">
      <w:pPr>
        <w:jc w:val="both"/>
        <w:rPr>
          <w:sz w:val="22"/>
        </w:rPr>
      </w:pPr>
    </w:p>
    <w:p w:rsidR="005040CE" w:rsidRPr="008B7299" w:rsidRDefault="005040CE" w:rsidP="005040CE">
      <w:pPr>
        <w:jc w:val="both"/>
        <w:rPr>
          <w:b/>
          <w:i/>
          <w:sz w:val="22"/>
        </w:rPr>
      </w:pPr>
      <w:r w:rsidRPr="008B7299">
        <w:rPr>
          <w:b/>
          <w:bCs/>
          <w:i/>
          <w:sz w:val="22"/>
        </w:rPr>
        <w:t xml:space="preserve">δ) </w:t>
      </w:r>
      <w:r w:rsidRPr="008B7299">
        <w:rPr>
          <w:b/>
          <w:bCs/>
          <w:i/>
          <w:sz w:val="22"/>
        </w:rPr>
        <w:tab/>
      </w:r>
      <w:r w:rsidRPr="008B7299">
        <w:rPr>
          <w:b/>
          <w:i/>
          <w:sz w:val="22"/>
        </w:rPr>
        <w:t>Κοινωνική Αλληλεγγύη</w:t>
      </w:r>
    </w:p>
    <w:p w:rsidR="005040CE" w:rsidRPr="008B7299" w:rsidRDefault="005040CE" w:rsidP="005040CE">
      <w:pPr>
        <w:jc w:val="both"/>
        <w:rPr>
          <w:sz w:val="22"/>
        </w:rPr>
      </w:pPr>
    </w:p>
    <w:p w:rsidR="005040CE" w:rsidRDefault="005040CE" w:rsidP="005040CE">
      <w:pPr>
        <w:jc w:val="both"/>
        <w:rPr>
          <w:sz w:val="22"/>
        </w:rPr>
      </w:pPr>
      <w:r w:rsidRPr="008B7299">
        <w:rPr>
          <w:sz w:val="22"/>
        </w:rPr>
        <w:t xml:space="preserve">Στον τομέα της Πρόνοιας και Κοινωνικής Αλληλεγγύης, </w:t>
      </w:r>
      <w:r>
        <w:rPr>
          <w:sz w:val="22"/>
        </w:rPr>
        <w:t>βασικές προτεραιότητες αποτελούν:</w:t>
      </w:r>
    </w:p>
    <w:p w:rsidR="005040CE" w:rsidRDefault="005040CE" w:rsidP="005040CE">
      <w:pPr>
        <w:jc w:val="both"/>
        <w:rPr>
          <w:sz w:val="22"/>
        </w:rPr>
      </w:pPr>
    </w:p>
    <w:p w:rsidR="005040CE" w:rsidRPr="00CE68C2" w:rsidRDefault="005040CE" w:rsidP="005040CE">
      <w:pPr>
        <w:pStyle w:val="af2"/>
        <w:numPr>
          <w:ilvl w:val="0"/>
          <w:numId w:val="45"/>
        </w:numPr>
        <w:spacing w:after="0" w:line="240" w:lineRule="auto"/>
        <w:ind w:left="284" w:hanging="284"/>
        <w:contextualSpacing w:val="0"/>
        <w:jc w:val="both"/>
        <w:rPr>
          <w:rFonts w:ascii="Times New Roman" w:hAnsi="Times New Roman"/>
        </w:rPr>
      </w:pPr>
      <w:r w:rsidRPr="00CE68C2">
        <w:rPr>
          <w:rFonts w:ascii="Times New Roman" w:hAnsi="Times New Roman"/>
        </w:rPr>
        <w:t>καταπολέμηση της φτώχειας και του κοινωνικού αποκλεισμού και η ενίσχυση της αποτελεσματ</w:t>
      </w:r>
      <w:r w:rsidRPr="00CE68C2">
        <w:rPr>
          <w:rFonts w:ascii="Times New Roman" w:hAnsi="Times New Roman"/>
        </w:rPr>
        <w:t>ι</w:t>
      </w:r>
      <w:r w:rsidRPr="00CE68C2">
        <w:rPr>
          <w:rFonts w:ascii="Times New Roman" w:hAnsi="Times New Roman"/>
        </w:rPr>
        <w:t>κότητας των πολιτικών κοινωνικής στήριξης</w:t>
      </w:r>
      <w:r>
        <w:rPr>
          <w:rFonts w:ascii="Times New Roman" w:hAnsi="Times New Roman"/>
        </w:rPr>
        <w:t>,</w:t>
      </w:r>
    </w:p>
    <w:p w:rsidR="005040CE" w:rsidRPr="009D2856" w:rsidRDefault="005040CE" w:rsidP="005040CE">
      <w:pPr>
        <w:pStyle w:val="af2"/>
        <w:numPr>
          <w:ilvl w:val="0"/>
          <w:numId w:val="45"/>
        </w:numPr>
        <w:spacing w:after="0" w:line="240" w:lineRule="auto"/>
        <w:ind w:left="284" w:hanging="284"/>
        <w:contextualSpacing w:val="0"/>
        <w:jc w:val="both"/>
        <w:rPr>
          <w:rFonts w:ascii="Times New Roman" w:hAnsi="Times New Roman"/>
        </w:rPr>
      </w:pPr>
      <w:r>
        <w:rPr>
          <w:rFonts w:ascii="Times New Roman" w:hAnsi="Times New Roman"/>
        </w:rPr>
        <w:t>η</w:t>
      </w:r>
      <w:r w:rsidRPr="009D2856">
        <w:rPr>
          <w:rFonts w:ascii="Times New Roman" w:hAnsi="Times New Roman"/>
        </w:rPr>
        <w:t xml:space="preserve"> βελτίωση της ποιότητας ζωής των ατόμων με αναπηρία</w:t>
      </w:r>
      <w:r>
        <w:rPr>
          <w:rFonts w:ascii="Times New Roman" w:hAnsi="Times New Roman"/>
        </w:rPr>
        <w:t xml:space="preserve"> και</w:t>
      </w:r>
    </w:p>
    <w:p w:rsidR="005040CE" w:rsidRPr="009D2856" w:rsidRDefault="005040CE" w:rsidP="005040CE">
      <w:pPr>
        <w:pStyle w:val="af2"/>
        <w:numPr>
          <w:ilvl w:val="0"/>
          <w:numId w:val="45"/>
        </w:numPr>
        <w:spacing w:after="0" w:line="240" w:lineRule="auto"/>
        <w:ind w:left="284" w:hanging="284"/>
        <w:contextualSpacing w:val="0"/>
        <w:jc w:val="both"/>
        <w:rPr>
          <w:rFonts w:ascii="Times New Roman" w:hAnsi="Times New Roman"/>
        </w:rPr>
      </w:pPr>
      <w:r>
        <w:rPr>
          <w:rFonts w:ascii="Times New Roman" w:hAnsi="Times New Roman"/>
        </w:rPr>
        <w:t>η</w:t>
      </w:r>
      <w:r w:rsidRPr="009D2856">
        <w:rPr>
          <w:rFonts w:ascii="Times New Roman" w:hAnsi="Times New Roman"/>
        </w:rPr>
        <w:t xml:space="preserve"> προώθηση σύγχρονων και αποτελεσματικών πολιτικών στήριξης της οικογένειας</w:t>
      </w:r>
    </w:p>
    <w:p w:rsidR="005040CE" w:rsidRDefault="005040CE" w:rsidP="005040CE">
      <w:pPr>
        <w:jc w:val="both"/>
        <w:rPr>
          <w:sz w:val="22"/>
        </w:rPr>
      </w:pPr>
    </w:p>
    <w:p w:rsidR="005040CE" w:rsidRPr="000664B8" w:rsidRDefault="005040CE" w:rsidP="005040CE">
      <w:pPr>
        <w:pStyle w:val="Web"/>
        <w:spacing w:before="0" w:beforeAutospacing="0" w:after="0"/>
        <w:jc w:val="both"/>
        <w:textAlignment w:val="top"/>
        <w:rPr>
          <w:sz w:val="22"/>
          <w:szCs w:val="22"/>
        </w:rPr>
      </w:pPr>
      <w:r>
        <w:rPr>
          <w:sz w:val="22"/>
          <w:szCs w:val="22"/>
        </w:rPr>
        <w:t>Για την ενίσχυση της αποτελεσματικότητας των πολιτικών κοινωνικής στήριξης,</w:t>
      </w:r>
      <w:r w:rsidRPr="000664B8">
        <w:rPr>
          <w:sz w:val="22"/>
          <w:szCs w:val="22"/>
        </w:rPr>
        <w:t xml:space="preserve"> προωθούνται δρ</w:t>
      </w:r>
      <w:r w:rsidRPr="000664B8">
        <w:rPr>
          <w:sz w:val="22"/>
          <w:szCs w:val="22"/>
        </w:rPr>
        <w:t>ά</w:t>
      </w:r>
      <w:r w:rsidRPr="000664B8">
        <w:rPr>
          <w:sz w:val="22"/>
          <w:szCs w:val="22"/>
        </w:rPr>
        <w:t xml:space="preserve">σεις </w:t>
      </w:r>
      <w:r w:rsidRPr="000664B8">
        <w:rPr>
          <w:rFonts w:eastAsiaTheme="minorEastAsia"/>
          <w:color w:val="000000" w:themeColor="text1"/>
          <w:kern w:val="24"/>
          <w:sz w:val="22"/>
          <w:szCs w:val="22"/>
        </w:rPr>
        <w:t xml:space="preserve">αναβάθμισης της λειτουργίας των δημοσίων υπηρεσιών στον τομέα της κοινωνικής προστασίας (κέντρα πρόνοιας και υπηρεσίες κοινωνικής μέριμνας ηλικιωμένων) και αφετέρου τη βελτίωση του θεσμικού πλαισίου για την ίδρυση και λειτουργία των μονάδων παιδικής προστασίας που λειτουργούν ως ΝΠΙΔ. </w:t>
      </w:r>
    </w:p>
    <w:p w:rsidR="005040CE" w:rsidRDefault="005040CE" w:rsidP="005040CE">
      <w:pPr>
        <w:jc w:val="both"/>
        <w:rPr>
          <w:sz w:val="22"/>
          <w:szCs w:val="22"/>
        </w:rPr>
      </w:pPr>
    </w:p>
    <w:p w:rsidR="005040CE" w:rsidRPr="0004398E" w:rsidRDefault="005040CE" w:rsidP="005040CE">
      <w:pPr>
        <w:jc w:val="both"/>
        <w:rPr>
          <w:sz w:val="22"/>
          <w:szCs w:val="22"/>
        </w:rPr>
      </w:pPr>
      <w:r>
        <w:rPr>
          <w:sz w:val="22"/>
          <w:szCs w:val="22"/>
        </w:rPr>
        <w:t xml:space="preserve">Επίσης δράσεις για την </w:t>
      </w:r>
      <w:r w:rsidRPr="0004398E">
        <w:rPr>
          <w:rFonts w:eastAsiaTheme="minorEastAsia"/>
          <w:color w:val="000000" w:themeColor="text1"/>
          <w:kern w:val="24"/>
          <w:sz w:val="22"/>
          <w:szCs w:val="22"/>
        </w:rPr>
        <w:t xml:space="preserve">επιτροπεία των ασυνόδευτων ανηλίκων, ως το πλέον κατάλληλο μέτρο για την κάλυψη της πλήρους προστασίας τους, σε συνεργασία με το Υπουργείο </w:t>
      </w:r>
      <w:r w:rsidRPr="0004398E">
        <w:rPr>
          <w:sz w:val="22"/>
          <w:szCs w:val="22"/>
        </w:rPr>
        <w:t>Μετανάστευσης.</w:t>
      </w:r>
    </w:p>
    <w:p w:rsidR="005040CE" w:rsidRDefault="005040CE" w:rsidP="005040CE">
      <w:pPr>
        <w:jc w:val="both"/>
        <w:rPr>
          <w:sz w:val="22"/>
          <w:szCs w:val="22"/>
        </w:rPr>
      </w:pPr>
    </w:p>
    <w:p w:rsidR="005040CE" w:rsidRPr="00C12DBC" w:rsidRDefault="005040CE" w:rsidP="005040CE">
      <w:pPr>
        <w:jc w:val="both"/>
        <w:rPr>
          <w:sz w:val="22"/>
          <w:szCs w:val="22"/>
        </w:rPr>
      </w:pPr>
      <w:r>
        <w:rPr>
          <w:sz w:val="22"/>
          <w:szCs w:val="22"/>
        </w:rPr>
        <w:t>Με τον εθνικό μηχανισμό συντονισμού παρακολούθησης και αξιολόγησης των πολιτικών κοινωνικής ένταξης εξασφαλίζεται η</w:t>
      </w:r>
      <w:r w:rsidRPr="00C12DBC">
        <w:rPr>
          <w:sz w:val="22"/>
          <w:szCs w:val="22"/>
        </w:rPr>
        <w:t xml:space="preserve"> ενοποίηση των αιτήσεων για τα εθνικά κοινωνικά επιδόματα, οι οποίες με την ολοκλήρωση της δράσης, θα υποβάλλονται μέσω του Εθνικού Μητρώου Ωφελουμένων.</w:t>
      </w:r>
    </w:p>
    <w:p w:rsidR="005040CE" w:rsidRDefault="005040CE" w:rsidP="005040CE">
      <w:pPr>
        <w:jc w:val="both"/>
        <w:rPr>
          <w:sz w:val="22"/>
          <w:szCs w:val="22"/>
        </w:rPr>
      </w:pPr>
    </w:p>
    <w:p w:rsidR="005040CE" w:rsidRPr="0004398E" w:rsidRDefault="005040CE" w:rsidP="005040CE">
      <w:pPr>
        <w:jc w:val="both"/>
        <w:rPr>
          <w:sz w:val="22"/>
          <w:szCs w:val="22"/>
        </w:rPr>
      </w:pPr>
      <w:r>
        <w:rPr>
          <w:sz w:val="22"/>
          <w:szCs w:val="22"/>
        </w:rPr>
        <w:t xml:space="preserve">Επίσης σχεδιάζεται δέσμη </w:t>
      </w:r>
      <w:r w:rsidRPr="0004398E">
        <w:rPr>
          <w:rFonts w:eastAsiaTheme="minorEastAsia"/>
          <w:color w:val="000000" w:themeColor="text1"/>
          <w:kern w:val="24"/>
          <w:sz w:val="22"/>
          <w:szCs w:val="22"/>
        </w:rPr>
        <w:t>έργων για την κοινωνική ενσωμάτωση των Ρομά με έμφαση σε στέγαση, εκ</w:t>
      </w:r>
      <w:r>
        <w:rPr>
          <w:rFonts w:eastAsiaTheme="minorEastAsia"/>
          <w:color w:val="000000" w:themeColor="text1"/>
          <w:kern w:val="24"/>
          <w:sz w:val="22"/>
          <w:szCs w:val="22"/>
        </w:rPr>
        <w:t xml:space="preserve">παίδευση, υγεία και απασχόληση ενώ προωθούνται δράσεις </w:t>
      </w:r>
      <w:r w:rsidRPr="0004398E">
        <w:rPr>
          <w:rFonts w:eastAsiaTheme="minorEastAsia"/>
          <w:color w:val="000000" w:themeColor="text1"/>
          <w:kern w:val="24"/>
          <w:sz w:val="22"/>
          <w:szCs w:val="22"/>
        </w:rPr>
        <w:t xml:space="preserve">υποστήριξης ευάλωτων κοινωνικά </w:t>
      </w:r>
      <w:r w:rsidRPr="0004398E">
        <w:rPr>
          <w:rFonts w:eastAsiaTheme="minorEastAsia"/>
          <w:color w:val="000000" w:themeColor="text1"/>
          <w:kern w:val="24"/>
          <w:sz w:val="22"/>
          <w:szCs w:val="22"/>
        </w:rPr>
        <w:t>ο</w:t>
      </w:r>
      <w:r w:rsidRPr="0004398E">
        <w:rPr>
          <w:rFonts w:eastAsiaTheme="minorEastAsia"/>
          <w:color w:val="000000" w:themeColor="text1"/>
          <w:kern w:val="24"/>
          <w:sz w:val="22"/>
          <w:szCs w:val="22"/>
        </w:rPr>
        <w:t>μάδων όπως των παιδιών, των παιδιών/νέων με αναπηρία με άξονες την πρόληψη της ιδρυματοποί</w:t>
      </w:r>
      <w:r w:rsidRPr="0004398E">
        <w:rPr>
          <w:rFonts w:eastAsiaTheme="minorEastAsia"/>
          <w:color w:val="000000" w:themeColor="text1"/>
          <w:kern w:val="24"/>
          <w:sz w:val="22"/>
          <w:szCs w:val="22"/>
        </w:rPr>
        <w:t>η</w:t>
      </w:r>
      <w:r>
        <w:rPr>
          <w:rFonts w:eastAsiaTheme="minorEastAsia"/>
          <w:color w:val="000000" w:themeColor="text1"/>
          <w:kern w:val="24"/>
          <w:sz w:val="22"/>
          <w:szCs w:val="22"/>
        </w:rPr>
        <w:t>σής τους, την αποϊ</w:t>
      </w:r>
      <w:r w:rsidRPr="0004398E">
        <w:rPr>
          <w:rFonts w:eastAsiaTheme="minorEastAsia"/>
          <w:color w:val="000000" w:themeColor="text1"/>
          <w:kern w:val="24"/>
          <w:sz w:val="22"/>
          <w:szCs w:val="22"/>
        </w:rPr>
        <w:t xml:space="preserve">δρυματοποίηση και την κοινωνική τους </w:t>
      </w:r>
      <w:r w:rsidRPr="0004398E">
        <w:rPr>
          <w:sz w:val="22"/>
          <w:szCs w:val="22"/>
        </w:rPr>
        <w:t xml:space="preserve">ένταξη. </w:t>
      </w:r>
    </w:p>
    <w:p w:rsidR="005040CE" w:rsidRDefault="005040CE" w:rsidP="005040CE">
      <w:pPr>
        <w:jc w:val="both"/>
        <w:rPr>
          <w:sz w:val="22"/>
          <w:szCs w:val="22"/>
        </w:rPr>
      </w:pPr>
    </w:p>
    <w:p w:rsidR="005040CE" w:rsidRPr="00C61493" w:rsidRDefault="005040CE" w:rsidP="005040CE">
      <w:pPr>
        <w:jc w:val="both"/>
        <w:rPr>
          <w:sz w:val="22"/>
          <w:szCs w:val="22"/>
        </w:rPr>
      </w:pPr>
      <w:r w:rsidRPr="00C61493">
        <w:rPr>
          <w:sz w:val="22"/>
          <w:szCs w:val="22"/>
        </w:rPr>
        <w:t>Για τη βελτίωση της ποιότητας ζωής των ατόμων με αναπηρία προωθούνται δράσεις που αποσκοπούν στη βελτίωση της καθημερινότητας των ατόμων με αναπηρία και την ενίσχυση της αυτόνομης διαβ</w:t>
      </w:r>
      <w:r w:rsidRPr="00C61493">
        <w:rPr>
          <w:sz w:val="22"/>
          <w:szCs w:val="22"/>
        </w:rPr>
        <w:t>ί</w:t>
      </w:r>
      <w:r w:rsidRPr="00C61493">
        <w:rPr>
          <w:sz w:val="22"/>
          <w:szCs w:val="22"/>
        </w:rPr>
        <w:t>ωσής τους, με σκοπό την προστασία των δικαιωμάτων τους και την εξάλειψη των εμποδίων στην ισ</w:t>
      </w:r>
      <w:r w:rsidRPr="00C61493">
        <w:rPr>
          <w:sz w:val="22"/>
          <w:szCs w:val="22"/>
        </w:rPr>
        <w:t>ό</w:t>
      </w:r>
      <w:r w:rsidRPr="00C61493">
        <w:rPr>
          <w:sz w:val="22"/>
          <w:szCs w:val="22"/>
        </w:rPr>
        <w:t>τιμη κοινωνική συμμετοχή.</w:t>
      </w:r>
      <w:r>
        <w:rPr>
          <w:sz w:val="22"/>
          <w:szCs w:val="22"/>
        </w:rPr>
        <w:t xml:space="preserve"> </w:t>
      </w:r>
    </w:p>
    <w:p w:rsidR="005040CE" w:rsidRDefault="005040CE" w:rsidP="005040CE">
      <w:pPr>
        <w:jc w:val="both"/>
        <w:rPr>
          <w:sz w:val="22"/>
          <w:szCs w:val="22"/>
        </w:rPr>
      </w:pPr>
      <w:r>
        <w:rPr>
          <w:sz w:val="22"/>
          <w:szCs w:val="22"/>
        </w:rPr>
        <w:t xml:space="preserve">Επίσης υλοποιούνται </w:t>
      </w:r>
      <w:r w:rsidRPr="00C61493">
        <w:rPr>
          <w:sz w:val="22"/>
          <w:szCs w:val="22"/>
        </w:rPr>
        <w:t>προγράμματα ενεργού</w:t>
      </w:r>
      <w:r>
        <w:rPr>
          <w:sz w:val="22"/>
          <w:szCs w:val="22"/>
        </w:rPr>
        <w:t>ς</w:t>
      </w:r>
      <w:r w:rsidRPr="00C61493">
        <w:rPr>
          <w:sz w:val="22"/>
          <w:szCs w:val="22"/>
        </w:rPr>
        <w:t xml:space="preserve"> ένταξης στην αγορά εργασίας για άτομα με αναπηρία όπως προγράμματα ενίσχυσης της επιχειρηματικότητας και προγράμματα προώθησης της απασχόλ</w:t>
      </w:r>
      <w:r w:rsidRPr="00C61493">
        <w:rPr>
          <w:sz w:val="22"/>
          <w:szCs w:val="22"/>
        </w:rPr>
        <w:t>η</w:t>
      </w:r>
      <w:r w:rsidRPr="00C61493">
        <w:rPr>
          <w:sz w:val="22"/>
          <w:szCs w:val="22"/>
        </w:rPr>
        <w:t>σης.</w:t>
      </w:r>
    </w:p>
    <w:p w:rsidR="005040CE" w:rsidRDefault="005040CE" w:rsidP="005040CE">
      <w:pPr>
        <w:jc w:val="both"/>
        <w:rPr>
          <w:sz w:val="22"/>
          <w:szCs w:val="22"/>
        </w:rPr>
      </w:pPr>
    </w:p>
    <w:p w:rsidR="005040CE" w:rsidRPr="00A4655C" w:rsidRDefault="005040CE" w:rsidP="005040CE">
      <w:pPr>
        <w:jc w:val="both"/>
        <w:rPr>
          <w:sz w:val="22"/>
          <w:szCs w:val="22"/>
        </w:rPr>
      </w:pPr>
      <w:r w:rsidRPr="007754C5">
        <w:rPr>
          <w:sz w:val="22"/>
          <w:szCs w:val="22"/>
        </w:rPr>
        <w:t>Για την προώθηση σύγχρονων και αποτελεσματικών πολιτικών στήριξης της οικογένειας αναλαμβ</w:t>
      </w:r>
      <w:r w:rsidRPr="007754C5">
        <w:rPr>
          <w:sz w:val="22"/>
          <w:szCs w:val="22"/>
        </w:rPr>
        <w:t>ά</w:t>
      </w:r>
      <w:r w:rsidRPr="007754C5">
        <w:rPr>
          <w:sz w:val="22"/>
          <w:szCs w:val="22"/>
        </w:rPr>
        <w:t xml:space="preserve">νονται δράσεις που αποσκοπούν </w:t>
      </w:r>
      <w:r w:rsidRPr="00A4655C">
        <w:rPr>
          <w:sz w:val="22"/>
          <w:szCs w:val="22"/>
        </w:rPr>
        <w:t>στην παροχή κατάλληλων και ποιοτικών υπηρεσιών φροντίδας των παιδιών, αφενός μέσω της φύλαξης σε βρεφονηπιακούς σταθμούς και αφετέρου με την παροχή υπ</w:t>
      </w:r>
      <w:r w:rsidRPr="00A4655C">
        <w:rPr>
          <w:sz w:val="22"/>
          <w:szCs w:val="22"/>
        </w:rPr>
        <w:t>η</w:t>
      </w:r>
      <w:r w:rsidRPr="00A4655C">
        <w:rPr>
          <w:sz w:val="22"/>
          <w:szCs w:val="22"/>
        </w:rPr>
        <w:t>ρεσιών φύλαξης παιδιών, δημιουργώντας ένα πλαίσιο ασφαλείας για την ομαλή συμμετοχή των γ</w:t>
      </w:r>
      <w:r w:rsidRPr="00A4655C">
        <w:rPr>
          <w:sz w:val="22"/>
          <w:szCs w:val="22"/>
        </w:rPr>
        <w:t>υ</w:t>
      </w:r>
      <w:r w:rsidRPr="00A4655C">
        <w:rPr>
          <w:sz w:val="22"/>
          <w:szCs w:val="22"/>
        </w:rPr>
        <w:t xml:space="preserve">ναικών μητέρων στην αγορά εργασίας. </w:t>
      </w:r>
    </w:p>
    <w:p w:rsidR="005040CE" w:rsidRDefault="005040CE" w:rsidP="005040CE">
      <w:pPr>
        <w:jc w:val="both"/>
        <w:rPr>
          <w:sz w:val="22"/>
          <w:szCs w:val="22"/>
        </w:rPr>
      </w:pPr>
    </w:p>
    <w:p w:rsidR="005040CE" w:rsidRPr="00A4655C" w:rsidRDefault="005040CE" w:rsidP="005040CE">
      <w:pPr>
        <w:jc w:val="both"/>
        <w:rPr>
          <w:sz w:val="22"/>
          <w:szCs w:val="22"/>
        </w:rPr>
      </w:pPr>
      <w:r>
        <w:rPr>
          <w:sz w:val="22"/>
          <w:szCs w:val="22"/>
        </w:rPr>
        <w:t xml:space="preserve">Για τη </w:t>
      </w:r>
      <w:r w:rsidRPr="00A4655C">
        <w:rPr>
          <w:sz w:val="22"/>
          <w:szCs w:val="22"/>
        </w:rPr>
        <w:t>στήριξη της οικογένειας</w:t>
      </w:r>
      <w:r>
        <w:rPr>
          <w:sz w:val="22"/>
          <w:szCs w:val="22"/>
        </w:rPr>
        <w:t xml:space="preserve"> συνεχίζεται η </w:t>
      </w:r>
      <w:r w:rsidRPr="00A4655C">
        <w:rPr>
          <w:sz w:val="22"/>
          <w:szCs w:val="22"/>
        </w:rPr>
        <w:t xml:space="preserve"> χορήγηση του επιδόματος γέννησης σε κάθε οικογένεια που αποκτά παιδί, με σκοπό την ενίσχυση της οικογενειακής συνοχής και την αντιμετώπιση των δ</w:t>
      </w:r>
      <w:r w:rsidRPr="00A4655C">
        <w:rPr>
          <w:sz w:val="22"/>
          <w:szCs w:val="22"/>
        </w:rPr>
        <w:t>η</w:t>
      </w:r>
      <w:r w:rsidRPr="00A4655C">
        <w:rPr>
          <w:sz w:val="22"/>
          <w:szCs w:val="22"/>
        </w:rPr>
        <w:t>μογραφικών προκλήσεων.</w:t>
      </w:r>
    </w:p>
    <w:p w:rsidR="005040CE" w:rsidRDefault="005040CE" w:rsidP="005040CE">
      <w:pPr>
        <w:jc w:val="both"/>
        <w:rPr>
          <w:sz w:val="22"/>
          <w:szCs w:val="22"/>
        </w:rPr>
      </w:pPr>
    </w:p>
    <w:p w:rsidR="005040CE" w:rsidRPr="00A4655C" w:rsidRDefault="005040CE" w:rsidP="005040CE">
      <w:pPr>
        <w:jc w:val="both"/>
        <w:rPr>
          <w:sz w:val="22"/>
          <w:szCs w:val="22"/>
        </w:rPr>
      </w:pPr>
      <w:r>
        <w:rPr>
          <w:sz w:val="22"/>
          <w:szCs w:val="22"/>
        </w:rPr>
        <w:lastRenderedPageBreak/>
        <w:t xml:space="preserve">Εκσυγχρονίζεται </w:t>
      </w:r>
      <w:r w:rsidRPr="00A4655C">
        <w:rPr>
          <w:sz w:val="22"/>
          <w:szCs w:val="22"/>
        </w:rPr>
        <w:t>το</w:t>
      </w:r>
      <w:r>
        <w:rPr>
          <w:sz w:val="22"/>
          <w:szCs w:val="22"/>
        </w:rPr>
        <w:t xml:space="preserve"> υφιστάμενο θεσμικό πλαίσιο</w:t>
      </w:r>
      <w:r w:rsidRPr="00A4655C">
        <w:rPr>
          <w:sz w:val="22"/>
          <w:szCs w:val="22"/>
        </w:rPr>
        <w:t xml:space="preserve"> για την</w:t>
      </w:r>
      <w:r>
        <w:rPr>
          <w:sz w:val="22"/>
          <w:szCs w:val="22"/>
        </w:rPr>
        <w:t xml:space="preserve"> </w:t>
      </w:r>
      <w:r w:rsidRPr="00A4655C">
        <w:rPr>
          <w:sz w:val="22"/>
          <w:szCs w:val="22"/>
        </w:rPr>
        <w:t>αναδοχή και την υιοθεσία, με όρους αποτ</w:t>
      </w:r>
      <w:r w:rsidRPr="00A4655C">
        <w:rPr>
          <w:sz w:val="22"/>
          <w:szCs w:val="22"/>
        </w:rPr>
        <w:t>ε</w:t>
      </w:r>
      <w:r w:rsidRPr="00A4655C">
        <w:rPr>
          <w:sz w:val="22"/>
          <w:szCs w:val="22"/>
        </w:rPr>
        <w:t>λεσματικότητας και διαφάνειας, με στόχο την ελαχιστοποίηση της παραμονής των παιδιών σε δομές φροντίδας.</w:t>
      </w:r>
    </w:p>
    <w:p w:rsidR="005040CE" w:rsidRDefault="005040CE" w:rsidP="005040CE">
      <w:pPr>
        <w:jc w:val="both"/>
        <w:rPr>
          <w:sz w:val="22"/>
          <w:szCs w:val="22"/>
        </w:rPr>
      </w:pPr>
    </w:p>
    <w:p w:rsidR="005040CE" w:rsidRPr="00A4655C" w:rsidRDefault="005040CE" w:rsidP="005040CE">
      <w:pPr>
        <w:jc w:val="both"/>
        <w:rPr>
          <w:sz w:val="22"/>
          <w:szCs w:val="22"/>
        </w:rPr>
      </w:pPr>
      <w:r>
        <w:rPr>
          <w:sz w:val="22"/>
          <w:szCs w:val="22"/>
        </w:rPr>
        <w:t xml:space="preserve">Σχεδιάζεται πρόγραμμα πρώιμης παρέμβασης </w:t>
      </w:r>
      <w:r w:rsidRPr="008741E3">
        <w:rPr>
          <w:sz w:val="22"/>
          <w:szCs w:val="22"/>
        </w:rPr>
        <w:t>για την υποστήριξη του παιδιού και της οικογένειας, ξεκινάει από τον προγεννητικό έλεγχο της μητέρας και διατρέχει την ανάπτυξη του παιδιού από τη στιγμή της γέννησής του μέχρι και τα 6 έτη</w:t>
      </w:r>
      <w:r>
        <w:rPr>
          <w:sz w:val="22"/>
          <w:szCs w:val="22"/>
        </w:rPr>
        <w:t>.</w:t>
      </w:r>
    </w:p>
    <w:p w:rsidR="005040CE" w:rsidRDefault="005040CE" w:rsidP="005040CE">
      <w:pPr>
        <w:jc w:val="both"/>
        <w:rPr>
          <w:sz w:val="22"/>
          <w:szCs w:val="22"/>
        </w:rPr>
      </w:pPr>
    </w:p>
    <w:p w:rsidR="005040CE" w:rsidRPr="00A4655C" w:rsidRDefault="005040CE" w:rsidP="005040CE">
      <w:pPr>
        <w:jc w:val="both"/>
        <w:rPr>
          <w:sz w:val="22"/>
          <w:szCs w:val="22"/>
        </w:rPr>
      </w:pPr>
      <w:r>
        <w:rPr>
          <w:sz w:val="22"/>
          <w:szCs w:val="22"/>
        </w:rPr>
        <w:t xml:space="preserve">Τέλος γίνεται </w:t>
      </w:r>
      <w:r w:rsidRPr="008741E3">
        <w:rPr>
          <w:sz w:val="22"/>
          <w:szCs w:val="22"/>
        </w:rPr>
        <w:t>χαρτογράφηση και ανάλυση υπηρεσιών</w:t>
      </w:r>
      <w:r>
        <w:rPr>
          <w:sz w:val="22"/>
          <w:szCs w:val="22"/>
        </w:rPr>
        <w:t xml:space="preserve"> των</w:t>
      </w:r>
      <w:r w:rsidRPr="008741E3">
        <w:rPr>
          <w:sz w:val="22"/>
          <w:szCs w:val="22"/>
        </w:rPr>
        <w:t xml:space="preserve"> υφιστάμενων </w:t>
      </w:r>
      <w:r>
        <w:rPr>
          <w:sz w:val="22"/>
          <w:szCs w:val="22"/>
        </w:rPr>
        <w:t xml:space="preserve">βρεφονηπιακών σταθμών </w:t>
      </w:r>
      <w:r>
        <w:rPr>
          <w:sz w:val="22"/>
          <w:szCs w:val="22"/>
        </w:rPr>
        <w:t>ο</w:t>
      </w:r>
      <w:r w:rsidRPr="00A4655C">
        <w:rPr>
          <w:sz w:val="22"/>
          <w:szCs w:val="22"/>
        </w:rPr>
        <w:t xml:space="preserve">λοκληρωμένης </w:t>
      </w:r>
      <w:r>
        <w:rPr>
          <w:sz w:val="22"/>
          <w:szCs w:val="22"/>
        </w:rPr>
        <w:t>φ</w:t>
      </w:r>
      <w:r w:rsidRPr="00A4655C">
        <w:rPr>
          <w:sz w:val="22"/>
          <w:szCs w:val="22"/>
        </w:rPr>
        <w:t>ροντίδας</w:t>
      </w:r>
      <w:r w:rsidRPr="008741E3">
        <w:rPr>
          <w:sz w:val="22"/>
          <w:szCs w:val="22"/>
        </w:rPr>
        <w:t xml:space="preserve"> σε παιδιά βρεφικής και προσχολικής ηλικίας με αναπηρία</w:t>
      </w:r>
      <w:r>
        <w:rPr>
          <w:sz w:val="22"/>
          <w:szCs w:val="22"/>
        </w:rPr>
        <w:t xml:space="preserve"> με στόχο την </w:t>
      </w:r>
      <w:r>
        <w:rPr>
          <w:sz w:val="22"/>
          <w:szCs w:val="22"/>
        </w:rPr>
        <w:t>ε</w:t>
      </w:r>
      <w:r>
        <w:rPr>
          <w:sz w:val="22"/>
          <w:szCs w:val="22"/>
        </w:rPr>
        <w:t>πέκτασή τους.</w:t>
      </w:r>
    </w:p>
    <w:p w:rsidR="005040CE" w:rsidRDefault="005040CE" w:rsidP="005040CE">
      <w:pPr>
        <w:jc w:val="both"/>
        <w:rPr>
          <w:b/>
          <w:bCs/>
          <w:i/>
          <w:sz w:val="22"/>
        </w:rPr>
      </w:pPr>
    </w:p>
    <w:p w:rsidR="005040CE" w:rsidRDefault="005040CE" w:rsidP="005040CE">
      <w:pPr>
        <w:jc w:val="both"/>
        <w:rPr>
          <w:b/>
          <w:bCs/>
          <w:i/>
          <w:sz w:val="22"/>
        </w:rPr>
      </w:pPr>
      <w:r>
        <w:rPr>
          <w:b/>
          <w:bCs/>
          <w:i/>
          <w:sz w:val="22"/>
        </w:rPr>
        <w:t xml:space="preserve">ε) </w:t>
      </w:r>
      <w:r w:rsidRPr="00917FAD">
        <w:rPr>
          <w:b/>
          <w:bCs/>
          <w:i/>
          <w:sz w:val="22"/>
        </w:rPr>
        <w:t>Προώθηση πολιτικών για</w:t>
      </w:r>
      <w:r>
        <w:rPr>
          <w:b/>
          <w:bCs/>
          <w:i/>
          <w:sz w:val="22"/>
        </w:rPr>
        <w:t xml:space="preserve"> </w:t>
      </w:r>
      <w:r w:rsidRPr="00917FAD">
        <w:rPr>
          <w:b/>
          <w:bCs/>
          <w:i/>
          <w:sz w:val="22"/>
        </w:rPr>
        <w:t xml:space="preserve">ίση μεταχείριση και ίσες ευκαιρίες των δύο φύλων </w:t>
      </w:r>
    </w:p>
    <w:p w:rsidR="005040CE" w:rsidRDefault="005040CE" w:rsidP="005040CE">
      <w:pPr>
        <w:jc w:val="both"/>
        <w:rPr>
          <w:b/>
          <w:bCs/>
          <w:i/>
          <w:sz w:val="22"/>
        </w:rPr>
      </w:pPr>
    </w:p>
    <w:p w:rsidR="005040CE" w:rsidRDefault="005040CE" w:rsidP="005040CE">
      <w:pPr>
        <w:jc w:val="both"/>
        <w:textAlignment w:val="top"/>
        <w:rPr>
          <w:rFonts w:cstheme="minorHAnsi"/>
          <w:sz w:val="22"/>
          <w:szCs w:val="22"/>
        </w:rPr>
      </w:pPr>
      <w:r>
        <w:rPr>
          <w:rFonts w:cstheme="minorHAnsi"/>
          <w:sz w:val="22"/>
          <w:szCs w:val="22"/>
        </w:rPr>
        <w:t>Στα μ</w:t>
      </w:r>
      <w:r w:rsidRPr="00697D3A">
        <w:rPr>
          <w:rFonts w:cstheme="minorHAnsi"/>
          <w:sz w:val="22"/>
          <w:szCs w:val="22"/>
        </w:rPr>
        <w:t xml:space="preserve">έτρα ενίσχυσης της ισότητας των φύλων </w:t>
      </w:r>
      <w:r>
        <w:rPr>
          <w:rFonts w:cstheme="minorHAnsi"/>
          <w:sz w:val="22"/>
          <w:szCs w:val="22"/>
        </w:rPr>
        <w:t xml:space="preserve">περιλαμβάνεται η θεσμοθέτηση της </w:t>
      </w:r>
      <w:r w:rsidRPr="00697D3A">
        <w:rPr>
          <w:rFonts w:cstheme="minorHAnsi"/>
          <w:sz w:val="22"/>
          <w:szCs w:val="22"/>
        </w:rPr>
        <w:t>άδειας πατρότητας που αποτελεί κομβικής σημασίας έργο στη γεφύρωση της ανισότητας μεταξύ των φύλων στην εργ</w:t>
      </w:r>
      <w:r w:rsidRPr="00697D3A">
        <w:rPr>
          <w:rFonts w:cstheme="minorHAnsi"/>
          <w:sz w:val="22"/>
          <w:szCs w:val="22"/>
        </w:rPr>
        <w:t>α</w:t>
      </w:r>
      <w:r w:rsidRPr="00697D3A">
        <w:rPr>
          <w:rFonts w:cstheme="minorHAnsi"/>
          <w:sz w:val="22"/>
          <w:szCs w:val="22"/>
        </w:rPr>
        <w:t>σία. Το νέο θεσμικό πλαίσιο παρέχει ευκαιρίες στους πατέρες για ανάληψη μέρους της μη αμειβόμ</w:t>
      </w:r>
      <w:r w:rsidRPr="00697D3A">
        <w:rPr>
          <w:rFonts w:cstheme="minorHAnsi"/>
          <w:sz w:val="22"/>
          <w:szCs w:val="22"/>
        </w:rPr>
        <w:t>ε</w:t>
      </w:r>
      <w:r w:rsidRPr="00697D3A">
        <w:rPr>
          <w:rFonts w:cstheme="minorHAnsi"/>
          <w:sz w:val="22"/>
          <w:szCs w:val="22"/>
        </w:rPr>
        <w:t>νης εργασίας που αναλαμβάνουν οι γυναίκες - μητέρες, οι οποίες αντίστοιχα θα αποκτήσουν περισσ</w:t>
      </w:r>
      <w:r w:rsidRPr="00697D3A">
        <w:rPr>
          <w:rFonts w:cstheme="minorHAnsi"/>
          <w:sz w:val="22"/>
          <w:szCs w:val="22"/>
        </w:rPr>
        <w:t>ό</w:t>
      </w:r>
      <w:r w:rsidRPr="00697D3A">
        <w:rPr>
          <w:rFonts w:cstheme="minorHAnsi"/>
          <w:sz w:val="22"/>
          <w:szCs w:val="22"/>
        </w:rPr>
        <w:t>τερο χρόνο για αμειβόμενη απασχόληση. Το μέτρο αυτό μακροπρόθεσμα αναμένεται να συμβάλλει θετικά στη βελτίωση του δείκτη που μετράει το χάσμα στην απασχόληση μεταξύ των δύο φύλων</w:t>
      </w:r>
      <w:r>
        <w:rPr>
          <w:rFonts w:cstheme="minorHAnsi"/>
          <w:sz w:val="22"/>
          <w:szCs w:val="22"/>
        </w:rPr>
        <w:t>.</w:t>
      </w:r>
    </w:p>
    <w:p w:rsidR="005040CE" w:rsidRDefault="005040CE" w:rsidP="005040CE">
      <w:pPr>
        <w:jc w:val="both"/>
        <w:textAlignment w:val="top"/>
        <w:rPr>
          <w:rFonts w:cstheme="minorHAnsi"/>
          <w:sz w:val="22"/>
          <w:szCs w:val="22"/>
        </w:rPr>
      </w:pPr>
    </w:p>
    <w:p w:rsidR="005040CE" w:rsidRDefault="005040CE" w:rsidP="005040CE">
      <w:pPr>
        <w:jc w:val="both"/>
        <w:textAlignment w:val="top"/>
        <w:rPr>
          <w:rFonts w:cstheme="minorHAnsi"/>
          <w:sz w:val="22"/>
          <w:szCs w:val="22"/>
        </w:rPr>
      </w:pPr>
      <w:r>
        <w:rPr>
          <w:rFonts w:cstheme="minorHAnsi"/>
          <w:sz w:val="22"/>
          <w:szCs w:val="22"/>
        </w:rPr>
        <w:t xml:space="preserve">Ολοκληρώνεται το Εθνικό Σχέδιο Δράσης ισότητας των φύλων που προβλέπει </w:t>
      </w:r>
      <w:r w:rsidRPr="00697D3A">
        <w:rPr>
          <w:rFonts w:cstheme="minorHAnsi"/>
          <w:sz w:val="22"/>
          <w:szCs w:val="22"/>
        </w:rPr>
        <w:t xml:space="preserve">οριζόντιες και κάθετες παρεμβάσεις για την ενσωμάτωση της διάστασης του φύλου </w:t>
      </w:r>
      <w:r>
        <w:rPr>
          <w:rFonts w:cstheme="minorHAnsi"/>
          <w:sz w:val="22"/>
          <w:szCs w:val="22"/>
        </w:rPr>
        <w:t xml:space="preserve">στις επί μέρους πολιτικές </w:t>
      </w:r>
      <w:r w:rsidRPr="00697D3A">
        <w:rPr>
          <w:rFonts w:cstheme="minorHAnsi"/>
          <w:sz w:val="22"/>
          <w:szCs w:val="22"/>
        </w:rPr>
        <w:t>και την άρση των ανισοτήτων.</w:t>
      </w:r>
    </w:p>
    <w:p w:rsidR="005040CE" w:rsidRDefault="005040CE" w:rsidP="005040CE">
      <w:pPr>
        <w:jc w:val="both"/>
        <w:textAlignment w:val="top"/>
        <w:rPr>
          <w:rFonts w:cstheme="minorHAnsi"/>
          <w:sz w:val="22"/>
          <w:szCs w:val="22"/>
        </w:rPr>
      </w:pPr>
    </w:p>
    <w:p w:rsidR="005040CE" w:rsidRPr="00697D3A" w:rsidRDefault="005040CE" w:rsidP="005040CE">
      <w:pPr>
        <w:jc w:val="both"/>
        <w:textAlignment w:val="top"/>
        <w:rPr>
          <w:rFonts w:cstheme="minorHAnsi"/>
          <w:sz w:val="22"/>
          <w:szCs w:val="22"/>
        </w:rPr>
      </w:pPr>
      <w:r>
        <w:rPr>
          <w:rFonts w:cstheme="minorHAnsi"/>
          <w:sz w:val="22"/>
          <w:szCs w:val="22"/>
        </w:rPr>
        <w:t>Υλοποιούνται δράσεις για τη</w:t>
      </w:r>
      <w:r w:rsidRPr="00697D3A">
        <w:rPr>
          <w:rFonts w:cstheme="minorHAnsi"/>
          <w:sz w:val="22"/>
          <w:szCs w:val="22"/>
        </w:rPr>
        <w:t xml:space="preserve"> μελέτη του φαινομένου</w:t>
      </w:r>
      <w:r>
        <w:rPr>
          <w:rFonts w:cstheme="minorHAnsi"/>
          <w:sz w:val="22"/>
          <w:szCs w:val="22"/>
        </w:rPr>
        <w:t xml:space="preserve"> της βίας κατά των γυναικών καθώς</w:t>
      </w:r>
      <w:r w:rsidRPr="00697D3A">
        <w:rPr>
          <w:rFonts w:cstheme="minorHAnsi"/>
          <w:sz w:val="22"/>
          <w:szCs w:val="22"/>
        </w:rPr>
        <w:t xml:space="preserve"> και για την παροχή συμβουλευτικής και υποστήριξης στα θύματα από εξειδ</w:t>
      </w:r>
      <w:r>
        <w:rPr>
          <w:rFonts w:cstheme="minorHAnsi"/>
          <w:sz w:val="22"/>
          <w:szCs w:val="22"/>
        </w:rPr>
        <w:t xml:space="preserve">ικευμένες δομές. </w:t>
      </w:r>
    </w:p>
    <w:p w:rsidR="005040CE" w:rsidRDefault="005040CE" w:rsidP="005040CE"/>
    <w:p w:rsidR="00D64DC2" w:rsidRDefault="00D64DC2">
      <w:pPr>
        <w:rPr>
          <w:sz w:val="22"/>
        </w:rPr>
      </w:pPr>
      <w:r>
        <w:rPr>
          <w:sz w:val="22"/>
        </w:rPr>
        <w:br w:type="page"/>
      </w:r>
    </w:p>
    <w:p w:rsidR="00D64DC2" w:rsidRPr="006B2DB8" w:rsidRDefault="00D64DC2" w:rsidP="00D64DC2">
      <w:pPr>
        <w:shd w:val="clear" w:color="auto" w:fill="595959" w:themeFill="text1" w:themeFillTint="A6"/>
        <w:jc w:val="both"/>
        <w:rPr>
          <w:rFonts w:ascii="Arial Narrow" w:hAnsi="Arial Narrow"/>
          <w:b/>
          <w:color w:val="FFFFFF"/>
          <w:sz w:val="26"/>
          <w:szCs w:val="22"/>
        </w:rPr>
      </w:pPr>
      <w:r>
        <w:rPr>
          <w:rFonts w:ascii="Arial Narrow" w:hAnsi="Arial Narrow"/>
          <w:b/>
          <w:color w:val="FFFFFF"/>
          <w:sz w:val="26"/>
          <w:szCs w:val="22"/>
        </w:rPr>
        <w:lastRenderedPageBreak/>
        <w:t>7</w:t>
      </w:r>
      <w:r w:rsidRPr="006B2DB8">
        <w:rPr>
          <w:rFonts w:ascii="Arial Narrow" w:hAnsi="Arial Narrow"/>
          <w:b/>
          <w:color w:val="FFFFFF"/>
          <w:sz w:val="26"/>
          <w:szCs w:val="22"/>
        </w:rPr>
        <w:t>.</w:t>
      </w:r>
      <w:r w:rsidRPr="006B2DB8">
        <w:rPr>
          <w:rFonts w:ascii="Arial Narrow" w:hAnsi="Arial Narrow"/>
          <w:b/>
          <w:color w:val="FFFFFF"/>
          <w:sz w:val="26"/>
          <w:szCs w:val="22"/>
        </w:rPr>
        <w:tab/>
      </w:r>
      <w:r>
        <w:rPr>
          <w:rFonts w:ascii="Arial Narrow" w:hAnsi="Arial Narrow"/>
          <w:b/>
          <w:color w:val="FFFFFF"/>
          <w:sz w:val="26"/>
          <w:szCs w:val="22"/>
        </w:rPr>
        <w:t>Ενοποιημένος προϋπολογισμός Οργανισμών Τοπικής Αυτοδιοίκησης</w:t>
      </w:r>
    </w:p>
    <w:p w:rsidR="00D64DC2" w:rsidRPr="00D64DC2" w:rsidRDefault="00D64DC2" w:rsidP="00D64DC2">
      <w:pPr>
        <w:rPr>
          <w:rFonts w:ascii="Arial Narrow" w:hAnsi="Arial Narrow"/>
          <w:b/>
          <w:bCs/>
          <w:sz w:val="20"/>
          <w:szCs w:val="22"/>
        </w:rPr>
      </w:pPr>
    </w:p>
    <w:p w:rsidR="00D64DC2" w:rsidRPr="00D64DC2" w:rsidRDefault="00D64DC2" w:rsidP="00D64DC2">
      <w:pPr>
        <w:jc w:val="both"/>
        <w:rPr>
          <w:bCs/>
          <w:sz w:val="22"/>
        </w:rPr>
      </w:pPr>
      <w:r w:rsidRPr="00D64DC2">
        <w:rPr>
          <w:bCs/>
          <w:sz w:val="22"/>
        </w:rPr>
        <w:t>Οι Οργανισμοί Τοπικής Αυτοδιοίκησης (ΟΤΑ) αποτελούν υποτομέα της Γενικής Κυβέρνησης. Ο εν λόγω υποτομέας αποτελείται από τους Δήμους (ΟΤΑ α’ βαθμού), τις Περιφέρειες (ΟΤΑ β’ βαθμού) και τα νομικά πρόσωπα αυτών, τα οποία είναι φορείς της Γενικής Κυβέρνησης. Για την εκπλήρωση της αποστολής και της άσκησης των αρμοδιοτήτων τους μεταφέρονται πόροι από τον Κρατικό Προ</w:t>
      </w:r>
      <w:r w:rsidRPr="00D64DC2">
        <w:rPr>
          <w:bCs/>
          <w:sz w:val="22"/>
        </w:rPr>
        <w:t>ϋ</w:t>
      </w:r>
      <w:r w:rsidRPr="00D64DC2">
        <w:rPr>
          <w:bCs/>
          <w:sz w:val="22"/>
        </w:rPr>
        <w:t>πολογισμό</w:t>
      </w:r>
      <w:r w:rsidR="0039566C">
        <w:rPr>
          <w:bCs/>
          <w:sz w:val="22"/>
        </w:rPr>
        <w:t>,</w:t>
      </w:r>
      <w:r w:rsidRPr="00D64DC2">
        <w:rPr>
          <w:bCs/>
          <w:sz w:val="22"/>
        </w:rPr>
        <w:t xml:space="preserve"> οι οποίοι είναι αναγκαίοι για την εύρυθμη λειτουργία τους.</w:t>
      </w:r>
    </w:p>
    <w:p w:rsidR="00D64DC2" w:rsidRPr="00D64DC2" w:rsidRDefault="00D64DC2" w:rsidP="00D64DC2">
      <w:pPr>
        <w:jc w:val="both"/>
        <w:rPr>
          <w:sz w:val="22"/>
        </w:rPr>
      </w:pPr>
    </w:p>
    <w:p w:rsidR="00D64DC2" w:rsidRPr="00D64DC2" w:rsidRDefault="00D64DC2" w:rsidP="00D64DC2">
      <w:pPr>
        <w:jc w:val="both"/>
        <w:rPr>
          <w:sz w:val="22"/>
        </w:rPr>
      </w:pPr>
      <w:r w:rsidRPr="00D64DC2">
        <w:rPr>
          <w:sz w:val="22"/>
        </w:rPr>
        <w:t xml:space="preserve">Το ταμειακό ισοζύγιο του ενοποιημένου προϋπολογισμού των ΟΤΑ προκύπτει από τη διαφορά </w:t>
      </w:r>
      <w:r w:rsidR="0039566C">
        <w:rPr>
          <w:sz w:val="22"/>
        </w:rPr>
        <w:t xml:space="preserve">των ταμειακών, μη χρηματοοικονομικών </w:t>
      </w:r>
      <w:r w:rsidRPr="00D64DC2">
        <w:rPr>
          <w:sz w:val="22"/>
        </w:rPr>
        <w:t xml:space="preserve">εσόδων και </w:t>
      </w:r>
      <w:r w:rsidR="0039566C">
        <w:rPr>
          <w:sz w:val="22"/>
        </w:rPr>
        <w:t>των δαπανών</w:t>
      </w:r>
      <w:r w:rsidRPr="00D64DC2">
        <w:rPr>
          <w:sz w:val="22"/>
        </w:rPr>
        <w:t xml:space="preserve">. </w:t>
      </w:r>
      <w:r w:rsidR="0039566C">
        <w:rPr>
          <w:sz w:val="22"/>
        </w:rPr>
        <w:t xml:space="preserve">Προσθέτοντας την εθνικολογιστική προσαρμογή για τη μεταβολή των απλήρωτων υποχρεώσεων λαμβάνουμε το ισοζύγιο κατά </w:t>
      </w:r>
      <w:r w:rsidR="0039566C">
        <w:rPr>
          <w:sz w:val="22"/>
          <w:lang w:val="en-US"/>
        </w:rPr>
        <w:t>ESA</w:t>
      </w:r>
      <w:r w:rsidR="00687ED4" w:rsidRPr="00687ED4">
        <w:rPr>
          <w:sz w:val="22"/>
        </w:rPr>
        <w:t>.</w:t>
      </w:r>
      <w:r w:rsidR="0039566C">
        <w:rPr>
          <w:sz w:val="22"/>
        </w:rPr>
        <w:t xml:space="preserve"> </w:t>
      </w:r>
      <w:r w:rsidRPr="00D64DC2">
        <w:rPr>
          <w:sz w:val="22"/>
        </w:rPr>
        <w:t>Τα έσοδα διακρίνονται σε τακτικά και έκτακτα, εκ των οποίων τις κυριότερες πηγές αποτελούν οι Κ</w:t>
      </w:r>
      <w:r w:rsidRPr="00D64DC2">
        <w:rPr>
          <w:sz w:val="22"/>
        </w:rPr>
        <w:t>ε</w:t>
      </w:r>
      <w:r w:rsidRPr="00D64DC2">
        <w:rPr>
          <w:sz w:val="22"/>
        </w:rPr>
        <w:t xml:space="preserve">ντρικοί Αυτοτελείς Πόροι (ΚΑΠ), οι οποίοι αποδίδονται μέσω του Τακτικού Προϋπολογισμού του Υπουργείου Εσωτερικών, οι επιχορηγήσεις του Προγράμματος Δημοσίων Επενδύσεων (ΠΔΕ) και τα λοιπά ίδια έσοδα. Αντίστοιχα, τα έξοδα διακρίνονται σε αμοιβές προσωπικού, δαπάνες για επενδύσεις και λοιπές δαπάνες. </w:t>
      </w:r>
    </w:p>
    <w:p w:rsidR="00D64DC2" w:rsidRPr="00D64DC2" w:rsidRDefault="00D64DC2" w:rsidP="00D64DC2">
      <w:pPr>
        <w:jc w:val="both"/>
        <w:rPr>
          <w:b/>
          <w:bCs/>
          <w:sz w:val="22"/>
        </w:rPr>
      </w:pPr>
    </w:p>
    <w:p w:rsidR="00D64DC2" w:rsidRPr="00D64DC2" w:rsidRDefault="00D64DC2" w:rsidP="00D64DC2">
      <w:pPr>
        <w:jc w:val="both"/>
        <w:rPr>
          <w:rFonts w:ascii="Arial Narrow" w:hAnsi="Arial Narrow"/>
          <w:b/>
          <w:bCs/>
          <w:sz w:val="22"/>
        </w:rPr>
      </w:pPr>
      <w:r w:rsidRPr="00D64DC2">
        <w:rPr>
          <w:rFonts w:ascii="Arial Narrow" w:hAnsi="Arial Narrow"/>
          <w:b/>
          <w:bCs/>
          <w:sz w:val="22"/>
        </w:rPr>
        <w:t>Εκτιμήσεις  2020</w:t>
      </w:r>
    </w:p>
    <w:p w:rsidR="00D64DC2" w:rsidRPr="00D64DC2" w:rsidRDefault="00D64DC2" w:rsidP="00D64DC2">
      <w:pPr>
        <w:rPr>
          <w:bCs/>
          <w:sz w:val="22"/>
        </w:rPr>
      </w:pPr>
    </w:p>
    <w:p w:rsidR="00D64DC2" w:rsidRPr="00D64DC2" w:rsidRDefault="00D64DC2" w:rsidP="00D64DC2">
      <w:pPr>
        <w:jc w:val="both"/>
        <w:rPr>
          <w:sz w:val="22"/>
        </w:rPr>
      </w:pPr>
      <w:r w:rsidRPr="00D64DC2">
        <w:rPr>
          <w:sz w:val="22"/>
        </w:rPr>
        <w:t xml:space="preserve">Το δημοσιονομικό αποτέλεσμα του ενοποιημένου προϋπολογισμού της Τοπικής Αυτοδιοίκησης για το 2020, σύμφωνα με τα διαθέσιμα στοιχεία αναμένεται να ανέλθει σε πλεόνασμα ύψους 80 εκατ. ευρώ, μειωμένο κατά 121 εκατ. ευρώ σε σχέση με τον δημοσιονομικό στόχο του προϋπολογισμού του 2020. </w:t>
      </w:r>
    </w:p>
    <w:p w:rsidR="00D64DC2" w:rsidRPr="00D64DC2" w:rsidRDefault="00D64DC2" w:rsidP="00D64DC2">
      <w:pPr>
        <w:jc w:val="both"/>
        <w:rPr>
          <w:sz w:val="22"/>
        </w:rPr>
      </w:pPr>
    </w:p>
    <w:p w:rsidR="00D64DC2" w:rsidRPr="00D64DC2" w:rsidRDefault="00D64DC2" w:rsidP="00D64DC2">
      <w:pPr>
        <w:jc w:val="both"/>
        <w:rPr>
          <w:sz w:val="22"/>
        </w:rPr>
      </w:pPr>
      <w:r w:rsidRPr="00D64DC2">
        <w:rPr>
          <w:sz w:val="22"/>
        </w:rPr>
        <w:t>Οι κυ</w:t>
      </w:r>
      <w:r w:rsidR="007C5A7E">
        <w:rPr>
          <w:sz w:val="22"/>
        </w:rPr>
        <w:t>ριότεροι παράγοντες που συνέβαλ</w:t>
      </w:r>
      <w:r w:rsidRPr="00D64DC2">
        <w:rPr>
          <w:sz w:val="22"/>
        </w:rPr>
        <w:t>αν στην απόκλιση του δημοσιονομικού αποτελέσματος είναι, η σημαντική υστέρηση των λοιπών (ιδίων) εσόδων της Τοπικής Αυτοδιοίκησης λόγω των επιπτώσεων της πανδημίας, καθώς και η παράταση των διασταυρώσεων και επαληθεύσεων των στοιχείων των τ</w:t>
      </w:r>
      <w:r w:rsidRPr="00D64DC2">
        <w:rPr>
          <w:sz w:val="22"/>
        </w:rPr>
        <w:t>ε</w:t>
      </w:r>
      <w:r w:rsidRPr="00D64DC2">
        <w:rPr>
          <w:sz w:val="22"/>
        </w:rPr>
        <w:t>τραγωνικών μέτρων και εισοδημάτων για τον ορθό υπολογισμό των τελών</w:t>
      </w:r>
      <w:r w:rsidR="007C5A7E">
        <w:rPr>
          <w:sz w:val="22"/>
        </w:rPr>
        <w:t>,</w:t>
      </w:r>
      <w:r w:rsidRPr="00D64DC2">
        <w:rPr>
          <w:sz w:val="22"/>
        </w:rPr>
        <w:t xml:space="preserve"> που θα είχαν θετική επ</w:t>
      </w:r>
      <w:r w:rsidRPr="00D64DC2">
        <w:rPr>
          <w:sz w:val="22"/>
        </w:rPr>
        <w:t>ί</w:t>
      </w:r>
      <w:r w:rsidRPr="00D64DC2">
        <w:rPr>
          <w:sz w:val="22"/>
        </w:rPr>
        <w:t>πτωση στα λοιπά ίδια έσοδ</w:t>
      </w:r>
      <w:r w:rsidR="0039566C">
        <w:rPr>
          <w:sz w:val="22"/>
        </w:rPr>
        <w:t>ά</w:t>
      </w:r>
      <w:r w:rsidRPr="00D64DC2">
        <w:rPr>
          <w:sz w:val="22"/>
        </w:rPr>
        <w:t xml:space="preserve"> τους και η οποία μετατέθηκε στο επόμενο οικονομικό έτος.</w:t>
      </w:r>
    </w:p>
    <w:p w:rsidR="00D64DC2" w:rsidRPr="00D64DC2" w:rsidRDefault="00D64DC2" w:rsidP="00D64DC2">
      <w:pPr>
        <w:jc w:val="both"/>
        <w:rPr>
          <w:sz w:val="22"/>
        </w:rPr>
      </w:pPr>
    </w:p>
    <w:p w:rsidR="00D64DC2" w:rsidRPr="00D64DC2" w:rsidRDefault="00D64DC2" w:rsidP="00D64DC2">
      <w:pPr>
        <w:jc w:val="both"/>
        <w:rPr>
          <w:sz w:val="22"/>
        </w:rPr>
      </w:pPr>
      <w:r w:rsidRPr="00D64DC2">
        <w:rPr>
          <w:sz w:val="22"/>
        </w:rPr>
        <w:t>Οι επιπτώσεις της πανδημίας και η λήψη μέτρων για την αποτροπή της διάδοσης και διασποράς του ιού, είχαν σαν αποτέλεσμα τη σημαντική μείωση των λοιπών (ιδίων) εσόδων της Τοπικής Αυτοδιο</w:t>
      </w:r>
      <w:r w:rsidRPr="00D64DC2">
        <w:rPr>
          <w:sz w:val="22"/>
        </w:rPr>
        <w:t>ί</w:t>
      </w:r>
      <w:r w:rsidRPr="00D64DC2">
        <w:rPr>
          <w:sz w:val="22"/>
        </w:rPr>
        <w:t xml:space="preserve">κησης και σε αντιστάθμιση της μείωσης αυτής μεταβιβάστηκαν πόροι από το κράτος ύψους </w:t>
      </w:r>
      <w:r w:rsidR="00FC6A1F">
        <w:rPr>
          <w:sz w:val="22"/>
        </w:rPr>
        <w:t>171</w:t>
      </w:r>
      <w:r w:rsidR="00FC6A1F" w:rsidRPr="00D64DC2">
        <w:rPr>
          <w:sz w:val="22"/>
        </w:rPr>
        <w:t xml:space="preserve"> </w:t>
      </w:r>
      <w:r w:rsidRPr="00D64DC2">
        <w:rPr>
          <w:sz w:val="22"/>
        </w:rPr>
        <w:t>εκατ. ευρώ</w:t>
      </w:r>
      <w:r w:rsidR="00ED1052">
        <w:rPr>
          <w:sz w:val="22"/>
        </w:rPr>
        <w:t xml:space="preserve"> (εκ των οποίων 60 εκατ. ευρώ περιλαμβάνονται στις Γενικές Κρατικές Δαπάνες)</w:t>
      </w:r>
      <w:r w:rsidRPr="00D64DC2">
        <w:rPr>
          <w:sz w:val="22"/>
        </w:rPr>
        <w:t xml:space="preserve"> για την προμ</w:t>
      </w:r>
      <w:r w:rsidRPr="00D64DC2">
        <w:rPr>
          <w:sz w:val="22"/>
        </w:rPr>
        <w:t>ή</w:t>
      </w:r>
      <w:r w:rsidRPr="00D64DC2">
        <w:rPr>
          <w:sz w:val="22"/>
        </w:rPr>
        <w:t>θεια υγειονομικού/φαρμακευτικού υλικού, την παροχή μέσων προστασίας στους εργαζόμενους των ΟΤΑ, την πρόσληψη προσωπικού για τον καθαρισμό των σχολικών κτηρίων, την υλοποίηση επισιτ</w:t>
      </w:r>
      <w:r w:rsidRPr="00D64DC2">
        <w:rPr>
          <w:sz w:val="22"/>
        </w:rPr>
        <w:t>ι</w:t>
      </w:r>
      <w:r w:rsidRPr="00D64DC2">
        <w:rPr>
          <w:sz w:val="22"/>
        </w:rPr>
        <w:t>στικών προγραμμάτων και λοιπά.</w:t>
      </w:r>
    </w:p>
    <w:p w:rsidR="00D64DC2" w:rsidRPr="00D64DC2" w:rsidRDefault="00D64DC2" w:rsidP="00D64DC2">
      <w:pPr>
        <w:jc w:val="both"/>
        <w:rPr>
          <w:sz w:val="22"/>
        </w:rPr>
      </w:pPr>
    </w:p>
    <w:p w:rsidR="00D64DC2" w:rsidRPr="00D64DC2" w:rsidRDefault="00D64DC2" w:rsidP="00D64DC2">
      <w:pPr>
        <w:jc w:val="both"/>
        <w:rPr>
          <w:sz w:val="22"/>
        </w:rPr>
      </w:pPr>
      <w:r w:rsidRPr="00D64DC2">
        <w:rPr>
          <w:sz w:val="22"/>
        </w:rPr>
        <w:t>Πέραν αυτών, από τον τακτικό προϋπολογισμό του Υπουργείου Εσωτερικών, οι ΟΤΑ επιχορηγήθ</w:t>
      </w:r>
      <w:r w:rsidRPr="00D64DC2">
        <w:rPr>
          <w:sz w:val="22"/>
        </w:rPr>
        <w:t>η</w:t>
      </w:r>
      <w:r w:rsidRPr="00D64DC2">
        <w:rPr>
          <w:sz w:val="22"/>
        </w:rPr>
        <w:t>καν εκτάκτως με ποσό ύψους 116 εκατ. ευρώ για την εξόφληση ληξιπρόθεσμων οφειλών προς τρ</w:t>
      </w:r>
      <w:r w:rsidRPr="00D64DC2">
        <w:rPr>
          <w:sz w:val="22"/>
        </w:rPr>
        <w:t>ί</w:t>
      </w:r>
      <w:r w:rsidRPr="00D64DC2">
        <w:rPr>
          <w:sz w:val="22"/>
        </w:rPr>
        <w:t>τους. Η επιχ</w:t>
      </w:r>
      <w:r w:rsidR="007C5A7E">
        <w:rPr>
          <w:sz w:val="22"/>
        </w:rPr>
        <w:t>ορήγηση αυτή συγκράτησε την περαιτέ</w:t>
      </w:r>
      <w:r w:rsidRPr="00D64DC2">
        <w:rPr>
          <w:sz w:val="22"/>
        </w:rPr>
        <w:t>ρω επιδείνωση του δημοσιονομικού αποτελέσμ</w:t>
      </w:r>
      <w:r w:rsidRPr="00D64DC2">
        <w:rPr>
          <w:sz w:val="22"/>
        </w:rPr>
        <w:t>α</w:t>
      </w:r>
      <w:r w:rsidRPr="00D64DC2">
        <w:rPr>
          <w:sz w:val="22"/>
        </w:rPr>
        <w:t xml:space="preserve">τος. </w:t>
      </w:r>
    </w:p>
    <w:p w:rsidR="00D64DC2" w:rsidRPr="00D64DC2" w:rsidRDefault="00D64DC2" w:rsidP="00D64DC2">
      <w:pPr>
        <w:jc w:val="both"/>
        <w:rPr>
          <w:sz w:val="22"/>
        </w:rPr>
      </w:pPr>
    </w:p>
    <w:p w:rsidR="00D64DC2" w:rsidRPr="00D64DC2" w:rsidRDefault="00D64DC2" w:rsidP="00D64DC2">
      <w:pPr>
        <w:jc w:val="both"/>
        <w:rPr>
          <w:sz w:val="22"/>
        </w:rPr>
      </w:pPr>
      <w:r w:rsidRPr="00D64DC2">
        <w:rPr>
          <w:sz w:val="22"/>
        </w:rPr>
        <w:t>Επιπλέο</w:t>
      </w:r>
      <w:r w:rsidR="001C6090">
        <w:rPr>
          <w:sz w:val="22"/>
        </w:rPr>
        <w:t>ν, μεταβιβάστηκαν πόροι ύψους 2</w:t>
      </w:r>
      <w:r w:rsidR="001C6090" w:rsidRPr="00CD55E6">
        <w:rPr>
          <w:sz w:val="22"/>
        </w:rPr>
        <w:t>8</w:t>
      </w:r>
      <w:r w:rsidRPr="00D64DC2">
        <w:rPr>
          <w:sz w:val="22"/>
        </w:rPr>
        <w:t xml:space="preserve"> εκατ. ευρώ στους Δήμους για </w:t>
      </w:r>
      <w:r w:rsidRPr="00D64DC2">
        <w:rPr>
          <w:bCs/>
          <w:sz w:val="22"/>
        </w:rPr>
        <w:t xml:space="preserve">βοηθήματα ένδειας και </w:t>
      </w:r>
      <w:r w:rsidRPr="00D64DC2">
        <w:rPr>
          <w:bCs/>
          <w:sz w:val="22"/>
        </w:rPr>
        <w:t>α</w:t>
      </w:r>
      <w:r w:rsidRPr="00D64DC2">
        <w:rPr>
          <w:bCs/>
          <w:sz w:val="22"/>
        </w:rPr>
        <w:t>ντιμετώπισης άμεσων βιοτικών αναγκών λόγω των</w:t>
      </w:r>
      <w:r w:rsidRPr="00D64DC2">
        <w:rPr>
          <w:sz w:val="22"/>
        </w:rPr>
        <w:t xml:space="preserve"> φυσικών καταστροφών που έπληξαν διάφορες π</w:t>
      </w:r>
      <w:r w:rsidRPr="00D64DC2">
        <w:rPr>
          <w:sz w:val="22"/>
        </w:rPr>
        <w:t>ε</w:t>
      </w:r>
      <w:r w:rsidRPr="00D64DC2">
        <w:rPr>
          <w:sz w:val="22"/>
        </w:rPr>
        <w:t>ριο</w:t>
      </w:r>
      <w:r w:rsidR="007C5A7E">
        <w:rPr>
          <w:sz w:val="22"/>
        </w:rPr>
        <w:t>χές της χ</w:t>
      </w:r>
      <w:r w:rsidRPr="00D64DC2">
        <w:rPr>
          <w:sz w:val="22"/>
        </w:rPr>
        <w:t>ώρας</w:t>
      </w:r>
      <w:r w:rsidR="00FC6A1F">
        <w:rPr>
          <w:sz w:val="22"/>
        </w:rPr>
        <w:t>, πέραν το ποσών που χορηγήθηκαν από το Υπουργείο Υποδομών</w:t>
      </w:r>
      <w:r w:rsidRPr="00D64DC2">
        <w:rPr>
          <w:sz w:val="22"/>
        </w:rPr>
        <w:t xml:space="preserve">. </w:t>
      </w:r>
    </w:p>
    <w:p w:rsidR="00D64DC2" w:rsidRPr="00D64DC2" w:rsidRDefault="00D64DC2" w:rsidP="00D64DC2">
      <w:pPr>
        <w:jc w:val="both"/>
        <w:rPr>
          <w:bCs/>
          <w:sz w:val="22"/>
        </w:rPr>
      </w:pPr>
    </w:p>
    <w:p w:rsidR="00D64DC2" w:rsidRPr="00D64DC2" w:rsidRDefault="00D64DC2" w:rsidP="00D64DC2">
      <w:pPr>
        <w:jc w:val="both"/>
        <w:rPr>
          <w:rFonts w:ascii="Arial Narrow" w:hAnsi="Arial Narrow"/>
          <w:b/>
          <w:bCs/>
          <w:sz w:val="22"/>
        </w:rPr>
      </w:pPr>
      <w:r w:rsidRPr="00D64DC2">
        <w:rPr>
          <w:rFonts w:ascii="Arial Narrow" w:hAnsi="Arial Narrow"/>
          <w:b/>
          <w:bCs/>
          <w:sz w:val="22"/>
        </w:rPr>
        <w:t>Προβλέψεις  2021</w:t>
      </w:r>
    </w:p>
    <w:p w:rsidR="00D64DC2" w:rsidRPr="00D64DC2" w:rsidRDefault="00D64DC2" w:rsidP="00D64DC2">
      <w:pPr>
        <w:jc w:val="both"/>
        <w:rPr>
          <w:rFonts w:ascii="Arial Narrow" w:hAnsi="Arial Narrow"/>
          <w:b/>
          <w:bCs/>
          <w:sz w:val="22"/>
        </w:rPr>
      </w:pPr>
    </w:p>
    <w:p w:rsidR="00D64DC2" w:rsidRPr="00D64DC2" w:rsidRDefault="00D64DC2" w:rsidP="00D64DC2">
      <w:pPr>
        <w:autoSpaceDE w:val="0"/>
        <w:autoSpaceDN w:val="0"/>
        <w:adjustRightInd w:val="0"/>
        <w:jc w:val="both"/>
        <w:rPr>
          <w:sz w:val="22"/>
        </w:rPr>
      </w:pPr>
      <w:r w:rsidRPr="00D64DC2">
        <w:rPr>
          <w:sz w:val="22"/>
        </w:rPr>
        <w:t xml:space="preserve">Το δημοσιονομικό αποτέλεσμα του ενοποιημένου προϋπολογισμού της Τοπικής Αυτοδιοίκησης για το 2021, βάσει του τρέχοντος μακροοικονομικού σεναρίου αναμένεται να διαμορφωθεί σε έλλειμμα </w:t>
      </w:r>
      <w:r w:rsidRPr="00D64DC2">
        <w:rPr>
          <w:sz w:val="22"/>
        </w:rPr>
        <w:t>ύ</w:t>
      </w:r>
      <w:r w:rsidRPr="00D64DC2">
        <w:rPr>
          <w:sz w:val="22"/>
        </w:rPr>
        <w:t>ψους 4 εκατ. ευρώ, χαμηλότερο κατά 84 εκατ. ευρώ</w:t>
      </w:r>
      <w:r w:rsidR="00D07BFE">
        <w:rPr>
          <w:sz w:val="22"/>
        </w:rPr>
        <w:t>,</w:t>
      </w:r>
      <w:r w:rsidRPr="00D64DC2">
        <w:rPr>
          <w:sz w:val="22"/>
        </w:rPr>
        <w:t xml:space="preserve"> έναντι της εκτίμησης </w:t>
      </w:r>
      <w:r w:rsidR="0039566C">
        <w:rPr>
          <w:sz w:val="22"/>
        </w:rPr>
        <w:t>για το</w:t>
      </w:r>
      <w:r w:rsidR="0039566C" w:rsidRPr="00D64DC2">
        <w:rPr>
          <w:sz w:val="22"/>
        </w:rPr>
        <w:t xml:space="preserve"> </w:t>
      </w:r>
      <w:r w:rsidRPr="00D64DC2">
        <w:rPr>
          <w:sz w:val="22"/>
        </w:rPr>
        <w:t>2020. Ο κυριότερος λόγος της επιδείνωσης του αποτελέσματος είναι η αυξημένη πρόβλεψη επενδυτικών δαπανών λόγω σχετικών προγραμμάτων.</w:t>
      </w:r>
    </w:p>
    <w:p w:rsidR="00D64DC2" w:rsidRPr="00D64DC2" w:rsidRDefault="00D64DC2" w:rsidP="00D64DC2">
      <w:pPr>
        <w:autoSpaceDE w:val="0"/>
        <w:autoSpaceDN w:val="0"/>
        <w:adjustRightInd w:val="0"/>
        <w:jc w:val="both"/>
        <w:rPr>
          <w:sz w:val="22"/>
        </w:rPr>
      </w:pPr>
    </w:p>
    <w:p w:rsidR="00D64DC2" w:rsidRPr="00D64DC2" w:rsidRDefault="00D64DC2" w:rsidP="00D64DC2">
      <w:pPr>
        <w:jc w:val="both"/>
        <w:rPr>
          <w:sz w:val="22"/>
        </w:rPr>
      </w:pPr>
      <w:r w:rsidRPr="00D64DC2">
        <w:rPr>
          <w:sz w:val="22"/>
        </w:rPr>
        <w:lastRenderedPageBreak/>
        <w:t>Τα λοιπά έσοδα της Τοπικής Αυτοδιοίκησης το 2021 εμφανίζονται αυξημένα έναντι της εκτίμησης του 2020</w:t>
      </w:r>
      <w:r w:rsidR="0039566C">
        <w:rPr>
          <w:sz w:val="22"/>
        </w:rPr>
        <w:t>,</w:t>
      </w:r>
      <w:r w:rsidRPr="00D64DC2">
        <w:rPr>
          <w:sz w:val="22"/>
        </w:rPr>
        <w:t xml:space="preserve"> κυρίως λόγω της μετάθεσης της θετικής δημοσιονομικής επίπτωσης στα λοιπά ίδια έσοδα από τις διασταυρώσεις και επαληθεύσεις των στοιχείων των τετραγωνικών μέτρων για τον ορθό υπ</w:t>
      </w:r>
      <w:r w:rsidRPr="00D64DC2">
        <w:rPr>
          <w:sz w:val="22"/>
        </w:rPr>
        <w:t>ο</w:t>
      </w:r>
      <w:r w:rsidRPr="00D64DC2">
        <w:rPr>
          <w:sz w:val="22"/>
        </w:rPr>
        <w:t>λογισμό των τελών</w:t>
      </w:r>
      <w:r w:rsidR="00F42E8A">
        <w:rPr>
          <w:sz w:val="22"/>
        </w:rPr>
        <w:t>,</w:t>
      </w:r>
      <w:r w:rsidRPr="00D64DC2">
        <w:rPr>
          <w:sz w:val="22"/>
        </w:rPr>
        <w:t xml:space="preserve"> το 2021.</w:t>
      </w:r>
    </w:p>
    <w:p w:rsidR="00D64DC2" w:rsidRPr="00D64DC2" w:rsidRDefault="00D64DC2" w:rsidP="00D64DC2">
      <w:pPr>
        <w:jc w:val="both"/>
        <w:rPr>
          <w:sz w:val="22"/>
        </w:rPr>
      </w:pPr>
    </w:p>
    <w:p w:rsidR="00D64DC2" w:rsidRPr="00D64DC2" w:rsidRDefault="00D64DC2" w:rsidP="00D64DC2">
      <w:pPr>
        <w:jc w:val="both"/>
        <w:rPr>
          <w:sz w:val="22"/>
        </w:rPr>
      </w:pPr>
      <w:r w:rsidRPr="00D64DC2">
        <w:rPr>
          <w:sz w:val="22"/>
        </w:rPr>
        <w:t>Οι μεταβιβάσεις από τον τακτικό προϋπολογισμό εμφανίζονται μειωμένες</w:t>
      </w:r>
      <w:r w:rsidR="00D07BFE">
        <w:rPr>
          <w:sz w:val="22"/>
        </w:rPr>
        <w:t>,</w:t>
      </w:r>
      <w:r w:rsidRPr="00D64DC2">
        <w:rPr>
          <w:sz w:val="22"/>
        </w:rPr>
        <w:t xml:space="preserve"> λόγω μη σχετικής πρόβλ</w:t>
      </w:r>
      <w:r w:rsidRPr="00D64DC2">
        <w:rPr>
          <w:sz w:val="22"/>
        </w:rPr>
        <w:t>ε</w:t>
      </w:r>
      <w:r w:rsidRPr="00D64DC2">
        <w:rPr>
          <w:sz w:val="22"/>
        </w:rPr>
        <w:t>ψης για συνέπειες της πανδημίας και για εξόφληση ληξιπρόθεσμων υποχρεώσεων προς τρίτους. Στην κατηγορία αυτή περιλαμβάνονται εκτός των ΚΑΠ, της ειδικής επιχορήγησης</w:t>
      </w:r>
      <w:r w:rsidR="00D84512">
        <w:rPr>
          <w:sz w:val="22"/>
        </w:rPr>
        <w:t xml:space="preserve"> και</w:t>
      </w:r>
      <w:r w:rsidRPr="00D64DC2">
        <w:rPr>
          <w:sz w:val="22"/>
        </w:rPr>
        <w:t xml:space="preserve"> των λοιπών αποδ</w:t>
      </w:r>
      <w:r w:rsidRPr="00D64DC2">
        <w:rPr>
          <w:sz w:val="22"/>
        </w:rPr>
        <w:t>ό</w:t>
      </w:r>
      <w:r w:rsidRPr="00D64DC2">
        <w:rPr>
          <w:sz w:val="22"/>
        </w:rPr>
        <w:t>σεων και επιχορηγήσεων</w:t>
      </w:r>
      <w:r w:rsidR="00D84512">
        <w:rPr>
          <w:sz w:val="22"/>
        </w:rPr>
        <w:t>,</w:t>
      </w:r>
      <w:r w:rsidRPr="00D64DC2">
        <w:rPr>
          <w:sz w:val="22"/>
        </w:rPr>
        <w:t xml:space="preserve"> και μεταβιβάσεις από άλλα Υπουργεία, εκτός του Υπουργείου Εσωτερικών και ειδικότερα, από το Υπουργείο Μετανάστευσης και Ασύλου ποσό ύψους 25 εκατ. ευρώ.</w:t>
      </w:r>
    </w:p>
    <w:p w:rsidR="00D64DC2" w:rsidRPr="00D64DC2" w:rsidRDefault="00D64DC2" w:rsidP="00D64DC2">
      <w:pPr>
        <w:jc w:val="both"/>
        <w:rPr>
          <w:sz w:val="22"/>
        </w:rPr>
      </w:pPr>
    </w:p>
    <w:p w:rsidR="00D64DC2" w:rsidRPr="00D64DC2" w:rsidRDefault="00D64DC2" w:rsidP="00D64DC2">
      <w:pPr>
        <w:jc w:val="both"/>
        <w:rPr>
          <w:sz w:val="22"/>
        </w:rPr>
      </w:pPr>
      <w:r w:rsidRPr="00D64DC2">
        <w:rPr>
          <w:sz w:val="22"/>
        </w:rPr>
        <w:t xml:space="preserve">Σημειώνεται ότι η μείωση των προνοιακών </w:t>
      </w:r>
      <w:r w:rsidR="00D84512">
        <w:rPr>
          <w:sz w:val="22"/>
        </w:rPr>
        <w:t>παροχών</w:t>
      </w:r>
      <w:r w:rsidR="00D84512" w:rsidRPr="00D64DC2">
        <w:rPr>
          <w:sz w:val="22"/>
        </w:rPr>
        <w:t xml:space="preserve"> </w:t>
      </w:r>
      <w:r w:rsidRPr="00D64DC2">
        <w:rPr>
          <w:sz w:val="22"/>
        </w:rPr>
        <w:t xml:space="preserve">οφείλεται αποκλειστικά στη χρηματοδότηση </w:t>
      </w:r>
      <w:r w:rsidRPr="00D64DC2">
        <w:rPr>
          <w:sz w:val="22"/>
        </w:rPr>
        <w:t>ε</w:t>
      </w:r>
      <w:r w:rsidRPr="00D64DC2">
        <w:rPr>
          <w:sz w:val="22"/>
        </w:rPr>
        <w:t xml:space="preserve">ντός του 2020 ποσού ύψους 74 εκατ. ευρώ της δαπάνης για τη Δράση </w:t>
      </w:r>
      <w:r w:rsidRPr="00D64DC2">
        <w:rPr>
          <w:rFonts w:eastAsiaTheme="minorHAnsi"/>
          <w:bCs/>
          <w:sz w:val="22"/>
          <w:lang w:eastAsia="en-US"/>
        </w:rPr>
        <w:t>«Εναρμόνιση οικογενειακής και επαγγελματικής ζωής» από τον τακτικό προϋπολογισμό αντί του Προγράμματος Δημοσίων Επενδ</w:t>
      </w:r>
      <w:r w:rsidRPr="00D64DC2">
        <w:rPr>
          <w:rFonts w:eastAsiaTheme="minorHAnsi"/>
          <w:bCs/>
          <w:sz w:val="22"/>
          <w:lang w:eastAsia="en-US"/>
        </w:rPr>
        <w:t>ύ</w:t>
      </w:r>
      <w:r w:rsidRPr="00D64DC2">
        <w:rPr>
          <w:rFonts w:eastAsiaTheme="minorHAnsi"/>
          <w:bCs/>
          <w:sz w:val="22"/>
          <w:lang w:eastAsia="en-US"/>
        </w:rPr>
        <w:t>σεων. Για την ορθή αποτύπωση του αποτελέσματος της Γενικής Κυβέρνησης το ανωτέρω ποσό εμφ</w:t>
      </w:r>
      <w:r w:rsidRPr="00D64DC2">
        <w:rPr>
          <w:rFonts w:eastAsiaTheme="minorHAnsi"/>
          <w:bCs/>
          <w:sz w:val="22"/>
          <w:lang w:eastAsia="en-US"/>
        </w:rPr>
        <w:t>α</w:t>
      </w:r>
      <w:r w:rsidRPr="00D64DC2">
        <w:rPr>
          <w:rFonts w:eastAsiaTheme="minorHAnsi"/>
          <w:bCs/>
          <w:sz w:val="22"/>
          <w:lang w:eastAsia="en-US"/>
        </w:rPr>
        <w:t>νίστηκε στα έσοδα των μεταβιβάσεων από τον τακτικό προϋπολογισμό και στ</w:t>
      </w:r>
      <w:r w:rsidR="00D84512">
        <w:rPr>
          <w:rFonts w:eastAsiaTheme="minorHAnsi"/>
          <w:bCs/>
          <w:sz w:val="22"/>
          <w:lang w:eastAsia="en-US"/>
        </w:rPr>
        <w:t>ις</w:t>
      </w:r>
      <w:r w:rsidRPr="00D64DC2">
        <w:rPr>
          <w:rFonts w:eastAsiaTheme="minorHAnsi"/>
          <w:bCs/>
          <w:sz w:val="22"/>
          <w:lang w:eastAsia="en-US"/>
        </w:rPr>
        <w:t xml:space="preserve"> </w:t>
      </w:r>
      <w:r w:rsidR="00D84512">
        <w:rPr>
          <w:rFonts w:eastAsiaTheme="minorHAnsi"/>
          <w:bCs/>
          <w:sz w:val="22"/>
          <w:lang w:eastAsia="en-US"/>
        </w:rPr>
        <w:t>δαπάνες</w:t>
      </w:r>
      <w:r w:rsidRPr="00D64DC2">
        <w:rPr>
          <w:rFonts w:eastAsiaTheme="minorHAnsi"/>
          <w:bCs/>
          <w:sz w:val="22"/>
          <w:lang w:eastAsia="en-US"/>
        </w:rPr>
        <w:t xml:space="preserve"> στην κατ</w:t>
      </w:r>
      <w:r w:rsidRPr="00D64DC2">
        <w:rPr>
          <w:rFonts w:eastAsiaTheme="minorHAnsi"/>
          <w:bCs/>
          <w:sz w:val="22"/>
          <w:lang w:eastAsia="en-US"/>
        </w:rPr>
        <w:t>η</w:t>
      </w:r>
      <w:r w:rsidRPr="00D64DC2">
        <w:rPr>
          <w:rFonts w:eastAsiaTheme="minorHAnsi"/>
          <w:bCs/>
          <w:sz w:val="22"/>
          <w:lang w:eastAsia="en-US"/>
        </w:rPr>
        <w:t xml:space="preserve">γορία των προνοιακών </w:t>
      </w:r>
      <w:r w:rsidR="00D84512">
        <w:rPr>
          <w:rFonts w:eastAsiaTheme="minorHAnsi"/>
          <w:bCs/>
          <w:sz w:val="22"/>
          <w:lang w:eastAsia="en-US"/>
        </w:rPr>
        <w:t>παροχών</w:t>
      </w:r>
      <w:r w:rsidRPr="00D64DC2">
        <w:rPr>
          <w:rFonts w:eastAsiaTheme="minorHAnsi"/>
          <w:bCs/>
          <w:sz w:val="22"/>
          <w:lang w:eastAsia="en-US"/>
        </w:rPr>
        <w:t xml:space="preserve"> για το 2020, διαδικασία η οποία δεν επαναλαμβάνεται το 2021</w:t>
      </w:r>
      <w:r w:rsidR="00D84512">
        <w:rPr>
          <w:rFonts w:eastAsiaTheme="minorHAnsi"/>
          <w:bCs/>
          <w:sz w:val="22"/>
          <w:lang w:eastAsia="en-US"/>
        </w:rPr>
        <w:t>,</w:t>
      </w:r>
      <w:r w:rsidRPr="00D64DC2">
        <w:rPr>
          <w:rFonts w:eastAsiaTheme="minorHAnsi"/>
          <w:bCs/>
          <w:sz w:val="22"/>
          <w:lang w:eastAsia="en-US"/>
        </w:rPr>
        <w:t xml:space="preserve"> κ</w:t>
      </w:r>
      <w:r w:rsidRPr="00D64DC2">
        <w:rPr>
          <w:rFonts w:eastAsiaTheme="minorHAnsi"/>
          <w:bCs/>
          <w:sz w:val="22"/>
          <w:lang w:eastAsia="en-US"/>
        </w:rPr>
        <w:t>α</w:t>
      </w:r>
      <w:r w:rsidRPr="00D64DC2">
        <w:rPr>
          <w:rFonts w:eastAsiaTheme="minorHAnsi"/>
          <w:bCs/>
          <w:sz w:val="22"/>
          <w:lang w:eastAsia="en-US"/>
        </w:rPr>
        <w:t>θώς από το σχολικό έτος 2020-2021 το σύνολο του προϋπολογισμού της εν λόγω Δράσης</w:t>
      </w:r>
      <w:r w:rsidR="00D84512">
        <w:rPr>
          <w:rFonts w:eastAsiaTheme="minorHAnsi"/>
          <w:bCs/>
          <w:sz w:val="22"/>
          <w:lang w:eastAsia="en-US"/>
        </w:rPr>
        <w:t>, το οποίο είναι αυξημένο,</w:t>
      </w:r>
      <w:r w:rsidRPr="00D64DC2">
        <w:rPr>
          <w:rFonts w:eastAsiaTheme="minorHAnsi"/>
          <w:bCs/>
          <w:sz w:val="22"/>
          <w:lang w:eastAsia="en-US"/>
        </w:rPr>
        <w:t xml:space="preserve"> χρηματοδοτείται </w:t>
      </w:r>
      <w:r w:rsidR="00D84512">
        <w:rPr>
          <w:rFonts w:eastAsiaTheme="minorHAnsi"/>
          <w:bCs/>
          <w:sz w:val="22"/>
          <w:lang w:eastAsia="en-US"/>
        </w:rPr>
        <w:t xml:space="preserve">όπως τα προηγούμενα χρόνια </w:t>
      </w:r>
      <w:r w:rsidRPr="00D64DC2">
        <w:rPr>
          <w:rFonts w:eastAsiaTheme="minorHAnsi"/>
          <w:bCs/>
          <w:sz w:val="22"/>
          <w:lang w:eastAsia="en-US"/>
        </w:rPr>
        <w:t>εξ ολοκλήρου από το Πρόγραμμα Δ</w:t>
      </w:r>
      <w:r w:rsidRPr="00D64DC2">
        <w:rPr>
          <w:rFonts w:eastAsiaTheme="minorHAnsi"/>
          <w:bCs/>
          <w:sz w:val="22"/>
          <w:lang w:eastAsia="en-US"/>
        </w:rPr>
        <w:t>η</w:t>
      </w:r>
      <w:r w:rsidRPr="00D64DC2">
        <w:rPr>
          <w:rFonts w:eastAsiaTheme="minorHAnsi"/>
          <w:bCs/>
          <w:sz w:val="22"/>
          <w:lang w:eastAsia="en-US"/>
        </w:rPr>
        <w:t>μοσίων Επενδύσεων.</w:t>
      </w:r>
    </w:p>
    <w:p w:rsidR="00D64DC2" w:rsidRPr="00D64DC2" w:rsidRDefault="00D64DC2" w:rsidP="00D64DC2">
      <w:pPr>
        <w:rPr>
          <w:sz w:val="20"/>
        </w:rPr>
      </w:pPr>
    </w:p>
    <w:p w:rsidR="00D64DC2" w:rsidRPr="00AB32A7" w:rsidRDefault="00D64DC2" w:rsidP="00D64DC2">
      <w:pPr>
        <w:rPr>
          <w:sz w:val="22"/>
        </w:rPr>
      </w:pPr>
    </w:p>
    <w:tbl>
      <w:tblPr>
        <w:tblW w:w="0" w:type="auto"/>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tblPr>
      <w:tblGrid>
        <w:gridCol w:w="5957"/>
        <w:gridCol w:w="1442"/>
        <w:gridCol w:w="1701"/>
      </w:tblGrid>
      <w:tr w:rsidR="00D64DC2" w:rsidRPr="006B2DB8" w:rsidTr="00D64DC2">
        <w:trPr>
          <w:cantSplit/>
        </w:trPr>
        <w:tc>
          <w:tcPr>
            <w:tcW w:w="9100" w:type="dxa"/>
            <w:gridSpan w:val="3"/>
            <w:tcBorders>
              <w:top w:val="single" w:sz="6" w:space="0" w:color="auto"/>
              <w:left w:val="single" w:sz="4" w:space="0" w:color="auto"/>
              <w:bottom w:val="nil"/>
              <w:right w:val="single" w:sz="6" w:space="0" w:color="auto"/>
            </w:tcBorders>
            <w:shd w:val="clear" w:color="auto" w:fill="404040" w:themeFill="text1" w:themeFillTint="BF"/>
            <w:vAlign w:val="center"/>
          </w:tcPr>
          <w:p w:rsidR="00D64DC2" w:rsidRPr="00D64DC2" w:rsidRDefault="009761B3" w:rsidP="00D64DC2">
            <w:pPr>
              <w:spacing w:before="20"/>
              <w:jc w:val="center"/>
              <w:rPr>
                <w:rFonts w:ascii="Arial Narrow" w:hAnsi="Arial Narrow"/>
                <w:b/>
                <w:color w:val="FFFFFF"/>
              </w:rPr>
            </w:pPr>
            <w:r>
              <w:rPr>
                <w:rFonts w:ascii="Arial Narrow" w:hAnsi="Arial Narrow"/>
                <w:b/>
                <w:color w:val="FFFFFF" w:themeColor="background1"/>
              </w:rPr>
              <w:t xml:space="preserve">Πίνακας 3.26 </w:t>
            </w:r>
            <w:r w:rsidR="00D64DC2" w:rsidRPr="006B2DB8">
              <w:rPr>
                <w:rFonts w:ascii="Arial Narrow" w:hAnsi="Arial Narrow"/>
                <w:b/>
                <w:color w:val="FFFFFF" w:themeColor="background1"/>
              </w:rPr>
              <w:t xml:space="preserve"> </w:t>
            </w:r>
            <w:r w:rsidR="00D64DC2">
              <w:rPr>
                <w:rFonts w:ascii="Arial Narrow" w:hAnsi="Arial Narrow"/>
                <w:b/>
                <w:color w:val="FFFFFF" w:themeColor="background1"/>
              </w:rPr>
              <w:t>Μεταβιβάσεις από τον Τακτικό Προϋπολογισμό στους ΟΤΑ</w:t>
            </w:r>
            <w:r w:rsidR="00D64DC2" w:rsidRPr="00D64DC2">
              <w:rPr>
                <w:rFonts w:ascii="Arial Narrow" w:hAnsi="Arial Narrow"/>
                <w:b/>
                <w:color w:val="FFFFFF" w:themeColor="background1"/>
              </w:rPr>
              <w:t xml:space="preserve"> </w:t>
            </w:r>
            <w:r w:rsidR="00297121">
              <w:rPr>
                <w:rFonts w:ascii="Arial Narrow" w:hAnsi="Arial Narrow"/>
                <w:b/>
                <w:color w:val="FFFFFF" w:themeColor="background1"/>
              </w:rPr>
              <w:t>α’ και β’</w:t>
            </w:r>
            <w:r w:rsidR="00D64DC2">
              <w:rPr>
                <w:rFonts w:ascii="Arial Narrow" w:hAnsi="Arial Narrow"/>
                <w:b/>
                <w:color w:val="FFFFFF" w:themeColor="background1"/>
              </w:rPr>
              <w:t xml:space="preserve"> βαθμού</w:t>
            </w:r>
          </w:p>
          <w:p w:rsidR="00D64DC2" w:rsidRPr="006B2DB8" w:rsidRDefault="00D64DC2" w:rsidP="00D64DC2">
            <w:pPr>
              <w:jc w:val="center"/>
              <w:rPr>
                <w:rFonts w:ascii="Arial Narrow" w:hAnsi="Arial Narrow"/>
                <w:b/>
                <w:color w:val="FFFFFF"/>
              </w:rPr>
            </w:pPr>
            <w:r w:rsidRPr="006B2DB8">
              <w:rPr>
                <w:rFonts w:ascii="Arial Narrow" w:hAnsi="Arial Narrow"/>
                <w:b/>
                <w:color w:val="FFFFFF"/>
              </w:rPr>
              <w:t>(σε εκατ. ευρώ)</w:t>
            </w:r>
          </w:p>
        </w:tc>
      </w:tr>
      <w:tr w:rsidR="00D64DC2" w:rsidRPr="006B2DB8" w:rsidTr="00D64DC2">
        <w:trPr>
          <w:cantSplit/>
        </w:trPr>
        <w:tc>
          <w:tcPr>
            <w:tcW w:w="9100" w:type="dxa"/>
            <w:gridSpan w:val="3"/>
            <w:tcBorders>
              <w:top w:val="nil"/>
              <w:left w:val="single" w:sz="4" w:space="0" w:color="auto"/>
              <w:bottom w:val="single" w:sz="4" w:space="0" w:color="auto"/>
              <w:right w:val="single" w:sz="6" w:space="0" w:color="auto"/>
            </w:tcBorders>
            <w:shd w:val="clear" w:color="auto" w:fill="auto"/>
            <w:vAlign w:val="center"/>
          </w:tcPr>
          <w:p w:rsidR="00D64DC2" w:rsidRPr="006B2DB8" w:rsidRDefault="00D64DC2" w:rsidP="00D64DC2">
            <w:pPr>
              <w:jc w:val="both"/>
              <w:rPr>
                <w:rFonts w:ascii="Arial Narrow" w:hAnsi="Arial Narrow"/>
                <w:b/>
                <w:sz w:val="12"/>
                <w:szCs w:val="16"/>
              </w:rPr>
            </w:pPr>
          </w:p>
        </w:tc>
      </w:tr>
      <w:tr w:rsidR="00D64DC2" w:rsidRPr="006B2DB8" w:rsidTr="00D64DC2">
        <w:trPr>
          <w:cantSplit/>
        </w:trPr>
        <w:tc>
          <w:tcPr>
            <w:tcW w:w="5957" w:type="dxa"/>
            <w:vMerge w:val="restart"/>
            <w:tcBorders>
              <w:top w:val="single" w:sz="4" w:space="0" w:color="auto"/>
              <w:left w:val="single" w:sz="4" w:space="0" w:color="auto"/>
              <w:bottom w:val="nil"/>
              <w:right w:val="single" w:sz="4" w:space="0" w:color="auto"/>
            </w:tcBorders>
            <w:shd w:val="clear" w:color="auto" w:fill="auto"/>
            <w:vAlign w:val="center"/>
          </w:tcPr>
          <w:p w:rsidR="00D64DC2" w:rsidRPr="006B2DB8" w:rsidRDefault="00D64DC2" w:rsidP="00D64DC2">
            <w:pPr>
              <w:spacing w:before="20" w:after="20"/>
              <w:jc w:val="center"/>
              <w:rPr>
                <w:rFonts w:ascii="Arial Narrow" w:hAnsi="Arial Narrow"/>
                <w:b/>
                <w:sz w:val="16"/>
                <w:szCs w:val="16"/>
              </w:rPr>
            </w:pPr>
            <w:r w:rsidRPr="006B2DB8">
              <w:rPr>
                <w:rFonts w:ascii="Arial Narrow" w:hAnsi="Arial Narrow"/>
                <w:b/>
                <w:sz w:val="16"/>
                <w:szCs w:val="16"/>
              </w:rPr>
              <w:t>Κατηγορία</w:t>
            </w:r>
          </w:p>
        </w:tc>
        <w:tc>
          <w:tcPr>
            <w:tcW w:w="1442" w:type="dxa"/>
            <w:tcBorders>
              <w:top w:val="single" w:sz="4" w:space="0" w:color="auto"/>
              <w:left w:val="nil"/>
              <w:bottom w:val="single" w:sz="4" w:space="0" w:color="auto"/>
              <w:right w:val="single" w:sz="4" w:space="0" w:color="auto"/>
            </w:tcBorders>
            <w:shd w:val="clear" w:color="auto" w:fill="auto"/>
          </w:tcPr>
          <w:p w:rsidR="00D64DC2" w:rsidRPr="006B2DB8" w:rsidRDefault="00D64DC2" w:rsidP="00D64DC2">
            <w:pPr>
              <w:spacing w:before="20" w:after="20"/>
              <w:jc w:val="center"/>
              <w:rPr>
                <w:rFonts w:ascii="Arial Narrow" w:hAnsi="Arial Narrow"/>
                <w:b/>
                <w:sz w:val="16"/>
                <w:szCs w:val="16"/>
              </w:rPr>
            </w:pPr>
            <w:r>
              <w:rPr>
                <w:rFonts w:ascii="Arial Narrow" w:hAnsi="Arial Narrow"/>
                <w:b/>
                <w:sz w:val="16"/>
                <w:szCs w:val="16"/>
              </w:rPr>
              <w:t>2020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64DC2" w:rsidRPr="006B2DB8" w:rsidRDefault="00D64DC2" w:rsidP="00D64DC2">
            <w:pPr>
              <w:spacing w:before="20" w:after="20"/>
              <w:jc w:val="center"/>
              <w:rPr>
                <w:rFonts w:ascii="Arial Narrow" w:hAnsi="Arial Narrow"/>
                <w:b/>
                <w:sz w:val="16"/>
                <w:szCs w:val="16"/>
              </w:rPr>
            </w:pPr>
            <w:r>
              <w:rPr>
                <w:rFonts w:ascii="Arial Narrow" w:hAnsi="Arial Narrow"/>
                <w:b/>
                <w:sz w:val="16"/>
                <w:szCs w:val="16"/>
              </w:rPr>
              <w:t>2021</w:t>
            </w:r>
          </w:p>
        </w:tc>
      </w:tr>
      <w:tr w:rsidR="00D64DC2" w:rsidRPr="006B2DB8" w:rsidTr="00D64DC2">
        <w:trPr>
          <w:cantSplit/>
        </w:trPr>
        <w:tc>
          <w:tcPr>
            <w:tcW w:w="5957" w:type="dxa"/>
            <w:vMerge/>
            <w:tcBorders>
              <w:top w:val="nil"/>
              <w:left w:val="single" w:sz="4" w:space="0" w:color="auto"/>
              <w:bottom w:val="single" w:sz="4" w:space="0" w:color="auto"/>
              <w:right w:val="single" w:sz="4" w:space="0" w:color="auto"/>
            </w:tcBorders>
            <w:shd w:val="clear" w:color="auto" w:fill="auto"/>
            <w:vAlign w:val="center"/>
          </w:tcPr>
          <w:p w:rsidR="00D64DC2" w:rsidRPr="006B2DB8" w:rsidRDefault="00D64DC2" w:rsidP="00D64DC2">
            <w:pPr>
              <w:spacing w:before="20" w:after="20"/>
              <w:jc w:val="center"/>
              <w:rPr>
                <w:rFonts w:ascii="Arial Narrow" w:hAnsi="Arial Narrow"/>
                <w:b/>
                <w:sz w:val="16"/>
                <w:szCs w:val="16"/>
              </w:rPr>
            </w:pPr>
          </w:p>
        </w:tc>
        <w:tc>
          <w:tcPr>
            <w:tcW w:w="1442" w:type="dxa"/>
            <w:tcBorders>
              <w:top w:val="single" w:sz="4" w:space="0" w:color="auto"/>
              <w:left w:val="nil"/>
              <w:bottom w:val="single" w:sz="4" w:space="0" w:color="auto"/>
              <w:right w:val="single" w:sz="4" w:space="0" w:color="auto"/>
            </w:tcBorders>
            <w:shd w:val="clear" w:color="auto" w:fill="auto"/>
            <w:vAlign w:val="center"/>
          </w:tcPr>
          <w:p w:rsidR="00D64DC2" w:rsidRPr="006B2DB8" w:rsidRDefault="00D64DC2" w:rsidP="00D64DC2">
            <w:pPr>
              <w:spacing w:before="20" w:after="20"/>
              <w:jc w:val="center"/>
              <w:rPr>
                <w:rFonts w:ascii="Arial Narrow" w:hAnsi="Arial Narrow"/>
                <w:b/>
                <w:sz w:val="16"/>
                <w:szCs w:val="16"/>
              </w:rPr>
            </w:pPr>
            <w:r w:rsidRPr="006B2DB8">
              <w:rPr>
                <w:rFonts w:ascii="Arial Narrow" w:hAnsi="Arial Narrow"/>
                <w:b/>
                <w:sz w:val="16"/>
                <w:szCs w:val="16"/>
              </w:rPr>
              <w:t>Εκτιμήσεις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64DC2" w:rsidRPr="006B2DB8" w:rsidRDefault="00D64DC2" w:rsidP="00D64DC2">
            <w:pPr>
              <w:spacing w:before="20" w:after="20"/>
              <w:jc w:val="center"/>
              <w:rPr>
                <w:rFonts w:ascii="Arial Narrow" w:hAnsi="Arial Narrow"/>
                <w:b/>
                <w:sz w:val="16"/>
                <w:szCs w:val="16"/>
              </w:rPr>
            </w:pPr>
            <w:r w:rsidRPr="006B2DB8">
              <w:rPr>
                <w:rFonts w:ascii="Arial Narrow" w:hAnsi="Arial Narrow"/>
                <w:b/>
                <w:sz w:val="16"/>
                <w:szCs w:val="16"/>
              </w:rPr>
              <w:t>Προβλέψεις</w:t>
            </w:r>
          </w:p>
        </w:tc>
      </w:tr>
      <w:tr w:rsidR="00D64DC2" w:rsidRPr="006B2DB8" w:rsidTr="00D64DC2">
        <w:tblPrEx>
          <w:tblBorders>
            <w:top w:val="single" w:sz="4" w:space="0" w:color="auto"/>
            <w:left w:val="single" w:sz="4" w:space="0" w:color="auto"/>
            <w:bottom w:val="single" w:sz="4" w:space="0" w:color="auto"/>
            <w:right w:val="single" w:sz="4" w:space="0" w:color="auto"/>
            <w:insideV w:val="single" w:sz="4" w:space="0" w:color="auto"/>
          </w:tblBorders>
        </w:tblPrEx>
        <w:tc>
          <w:tcPr>
            <w:tcW w:w="5957" w:type="dxa"/>
            <w:tcBorders>
              <w:top w:val="single" w:sz="4" w:space="0" w:color="auto"/>
              <w:left w:val="single" w:sz="4" w:space="0" w:color="auto"/>
              <w:bottom w:val="nil"/>
              <w:right w:val="nil"/>
            </w:tcBorders>
            <w:shd w:val="clear" w:color="auto" w:fill="auto"/>
          </w:tcPr>
          <w:p w:rsidR="00D64DC2" w:rsidRPr="006B2DB8" w:rsidRDefault="00D64DC2" w:rsidP="00D64DC2">
            <w:pPr>
              <w:spacing w:before="20" w:after="20"/>
              <w:jc w:val="both"/>
              <w:rPr>
                <w:rFonts w:ascii="Arial Narrow" w:hAnsi="Arial Narrow"/>
                <w:b/>
                <w:sz w:val="12"/>
                <w:szCs w:val="16"/>
              </w:rPr>
            </w:pPr>
          </w:p>
        </w:tc>
        <w:tc>
          <w:tcPr>
            <w:tcW w:w="1442" w:type="dxa"/>
            <w:tcBorders>
              <w:top w:val="single" w:sz="4" w:space="0" w:color="auto"/>
              <w:left w:val="nil"/>
              <w:bottom w:val="nil"/>
              <w:right w:val="nil"/>
            </w:tcBorders>
            <w:shd w:val="clear" w:color="auto" w:fill="auto"/>
          </w:tcPr>
          <w:p w:rsidR="00D64DC2" w:rsidRPr="006B2DB8" w:rsidRDefault="00D64DC2" w:rsidP="00D64DC2">
            <w:pPr>
              <w:tabs>
                <w:tab w:val="decimal" w:pos="1232"/>
              </w:tabs>
              <w:spacing w:before="20" w:after="20"/>
              <w:jc w:val="both"/>
              <w:rPr>
                <w:rFonts w:ascii="Arial Narrow" w:hAnsi="Arial Narrow"/>
                <w:sz w:val="12"/>
                <w:szCs w:val="16"/>
              </w:rPr>
            </w:pPr>
          </w:p>
        </w:tc>
        <w:tc>
          <w:tcPr>
            <w:tcW w:w="1701" w:type="dxa"/>
            <w:tcBorders>
              <w:top w:val="single" w:sz="4" w:space="0" w:color="auto"/>
              <w:left w:val="nil"/>
              <w:bottom w:val="nil"/>
              <w:right w:val="single" w:sz="4" w:space="0" w:color="auto"/>
            </w:tcBorders>
            <w:shd w:val="clear" w:color="auto" w:fill="auto"/>
          </w:tcPr>
          <w:p w:rsidR="00D64DC2" w:rsidRPr="006B2DB8" w:rsidRDefault="00D64DC2" w:rsidP="00D64DC2">
            <w:pPr>
              <w:tabs>
                <w:tab w:val="decimal" w:pos="1232"/>
              </w:tabs>
              <w:spacing w:before="20" w:after="20"/>
              <w:jc w:val="both"/>
              <w:rPr>
                <w:rFonts w:ascii="Arial Narrow" w:hAnsi="Arial Narrow"/>
                <w:sz w:val="12"/>
                <w:szCs w:val="16"/>
              </w:rPr>
            </w:pPr>
          </w:p>
        </w:tc>
      </w:tr>
      <w:tr w:rsidR="00B7484F" w:rsidRPr="006B2DB8" w:rsidTr="00B7484F">
        <w:tblPrEx>
          <w:tblBorders>
            <w:top w:val="single" w:sz="4" w:space="0" w:color="auto"/>
            <w:left w:val="single" w:sz="4" w:space="0" w:color="auto"/>
            <w:bottom w:val="single" w:sz="4" w:space="0" w:color="auto"/>
            <w:right w:val="single" w:sz="4" w:space="0" w:color="auto"/>
            <w:insideV w:val="single" w:sz="4" w:space="0" w:color="auto"/>
          </w:tblBorders>
        </w:tblPrEx>
        <w:tc>
          <w:tcPr>
            <w:tcW w:w="5957" w:type="dxa"/>
            <w:tcBorders>
              <w:top w:val="nil"/>
              <w:left w:val="single" w:sz="4" w:space="0" w:color="auto"/>
              <w:bottom w:val="nil"/>
              <w:right w:val="nil"/>
            </w:tcBorders>
            <w:shd w:val="clear" w:color="auto" w:fill="auto"/>
          </w:tcPr>
          <w:p w:rsidR="00B7484F" w:rsidRPr="00301426" w:rsidRDefault="00B7484F" w:rsidP="00D64DC2">
            <w:pPr>
              <w:spacing w:before="20" w:after="20"/>
              <w:ind w:left="258" w:hanging="258"/>
              <w:jc w:val="both"/>
              <w:rPr>
                <w:rFonts w:ascii="Arial Narrow" w:hAnsi="Arial Narrow"/>
                <w:b/>
                <w:sz w:val="16"/>
                <w:szCs w:val="16"/>
              </w:rPr>
            </w:pPr>
            <w:r w:rsidRPr="006B2DB8">
              <w:rPr>
                <w:rFonts w:ascii="Arial Narrow" w:hAnsi="Arial Narrow"/>
                <w:b/>
                <w:sz w:val="16"/>
                <w:szCs w:val="16"/>
              </w:rPr>
              <w:t xml:space="preserve"> </w:t>
            </w:r>
            <w:r>
              <w:rPr>
                <w:rFonts w:ascii="Arial Narrow" w:hAnsi="Arial Narrow"/>
                <w:b/>
                <w:sz w:val="16"/>
                <w:szCs w:val="16"/>
                <w:lang w:val="en-GB"/>
              </w:rPr>
              <w:t>I</w:t>
            </w:r>
            <w:r w:rsidRPr="00301426">
              <w:rPr>
                <w:rFonts w:ascii="Arial Narrow" w:hAnsi="Arial Narrow"/>
                <w:b/>
                <w:sz w:val="16"/>
                <w:szCs w:val="16"/>
              </w:rPr>
              <w:t>.</w:t>
            </w:r>
            <w:r w:rsidRPr="00301426">
              <w:rPr>
                <w:rFonts w:ascii="Arial Narrow" w:hAnsi="Arial Narrow"/>
                <w:b/>
                <w:sz w:val="16"/>
                <w:szCs w:val="16"/>
              </w:rPr>
              <w:tab/>
            </w:r>
            <w:r>
              <w:rPr>
                <w:rFonts w:ascii="Arial Narrow" w:hAnsi="Arial Narrow"/>
                <w:b/>
                <w:sz w:val="16"/>
                <w:szCs w:val="16"/>
              </w:rPr>
              <w:t xml:space="preserve">Αποδόσεις </w:t>
            </w:r>
            <w:r w:rsidRPr="006B2DB8">
              <w:rPr>
                <w:rFonts w:ascii="Arial Narrow" w:hAnsi="Arial Narrow"/>
                <w:b/>
                <w:sz w:val="16"/>
                <w:szCs w:val="16"/>
              </w:rPr>
              <w:t>Κεντρικ</w:t>
            </w:r>
            <w:r>
              <w:rPr>
                <w:rFonts w:ascii="Arial Narrow" w:hAnsi="Arial Narrow"/>
                <w:b/>
                <w:sz w:val="16"/>
                <w:szCs w:val="16"/>
              </w:rPr>
              <w:t>ών</w:t>
            </w:r>
            <w:r w:rsidRPr="006B2DB8">
              <w:rPr>
                <w:rFonts w:ascii="Arial Narrow" w:hAnsi="Arial Narrow"/>
                <w:b/>
                <w:sz w:val="16"/>
                <w:szCs w:val="16"/>
              </w:rPr>
              <w:t xml:space="preserve"> Αυτοτελ</w:t>
            </w:r>
            <w:r>
              <w:rPr>
                <w:rFonts w:ascii="Arial Narrow" w:hAnsi="Arial Narrow"/>
                <w:b/>
                <w:sz w:val="16"/>
                <w:szCs w:val="16"/>
              </w:rPr>
              <w:t>ών</w:t>
            </w:r>
            <w:r w:rsidRPr="006B2DB8">
              <w:rPr>
                <w:rFonts w:ascii="Arial Narrow" w:hAnsi="Arial Narrow"/>
                <w:b/>
                <w:sz w:val="16"/>
                <w:szCs w:val="16"/>
              </w:rPr>
              <w:t xml:space="preserve"> </w:t>
            </w:r>
            <w:r w:rsidRPr="00301426">
              <w:rPr>
                <w:rFonts w:ascii="Arial Narrow" w:hAnsi="Arial Narrow"/>
                <w:b/>
                <w:sz w:val="16"/>
                <w:szCs w:val="16"/>
              </w:rPr>
              <w:t>Πόρ</w:t>
            </w:r>
            <w:r>
              <w:rPr>
                <w:rFonts w:ascii="Arial Narrow" w:hAnsi="Arial Narrow"/>
                <w:b/>
                <w:sz w:val="16"/>
                <w:szCs w:val="16"/>
              </w:rPr>
              <w:t>ων</w:t>
            </w:r>
            <w:r w:rsidRPr="006B2DB8">
              <w:rPr>
                <w:rFonts w:ascii="Arial Narrow" w:hAnsi="Arial Narrow"/>
                <w:b/>
                <w:sz w:val="16"/>
                <w:szCs w:val="16"/>
              </w:rPr>
              <w:t xml:space="preserve"> (ΚΑΠ) </w:t>
            </w:r>
          </w:p>
        </w:tc>
        <w:tc>
          <w:tcPr>
            <w:tcW w:w="1442" w:type="dxa"/>
            <w:tcBorders>
              <w:top w:val="nil"/>
              <w:left w:val="nil"/>
              <w:bottom w:val="nil"/>
              <w:right w:val="nil"/>
            </w:tcBorders>
            <w:shd w:val="clear" w:color="auto" w:fill="auto"/>
            <w:vAlign w:val="center"/>
          </w:tcPr>
          <w:p w:rsidR="00B7484F" w:rsidRPr="00A504AE" w:rsidRDefault="00B7484F" w:rsidP="00B7484F">
            <w:pPr>
              <w:ind w:right="454"/>
              <w:jc w:val="right"/>
              <w:rPr>
                <w:rFonts w:ascii="Arial Narrow" w:hAnsi="Arial Narrow"/>
                <w:b/>
                <w:bCs/>
                <w:color w:val="000000"/>
                <w:sz w:val="16"/>
                <w:szCs w:val="16"/>
              </w:rPr>
            </w:pPr>
            <w:r w:rsidRPr="00A504AE">
              <w:rPr>
                <w:rFonts w:ascii="Arial Narrow" w:hAnsi="Arial Narrow"/>
                <w:b/>
                <w:bCs/>
                <w:color w:val="000000"/>
                <w:sz w:val="16"/>
                <w:szCs w:val="16"/>
              </w:rPr>
              <w:t>2.509</w:t>
            </w:r>
          </w:p>
        </w:tc>
        <w:tc>
          <w:tcPr>
            <w:tcW w:w="1701" w:type="dxa"/>
            <w:tcBorders>
              <w:top w:val="nil"/>
              <w:left w:val="nil"/>
              <w:bottom w:val="nil"/>
              <w:right w:val="single" w:sz="4" w:space="0" w:color="auto"/>
            </w:tcBorders>
            <w:shd w:val="clear" w:color="auto" w:fill="auto"/>
            <w:vAlign w:val="center"/>
          </w:tcPr>
          <w:p w:rsidR="00B7484F" w:rsidRPr="00A504AE" w:rsidRDefault="00B7484F" w:rsidP="00B7484F">
            <w:pPr>
              <w:ind w:right="454"/>
              <w:jc w:val="right"/>
              <w:rPr>
                <w:rFonts w:ascii="Arial Narrow" w:hAnsi="Arial Narrow"/>
                <w:b/>
                <w:bCs/>
                <w:color w:val="000000"/>
                <w:sz w:val="16"/>
                <w:szCs w:val="16"/>
              </w:rPr>
            </w:pPr>
            <w:r w:rsidRPr="00A504AE">
              <w:rPr>
                <w:rFonts w:ascii="Arial Narrow" w:hAnsi="Arial Narrow"/>
                <w:b/>
                <w:bCs/>
                <w:color w:val="000000"/>
                <w:sz w:val="16"/>
                <w:szCs w:val="16"/>
              </w:rPr>
              <w:t>2.560</w:t>
            </w:r>
          </w:p>
        </w:tc>
      </w:tr>
      <w:tr w:rsidR="00B7484F" w:rsidRPr="006B2DB8" w:rsidTr="00B7484F">
        <w:tblPrEx>
          <w:tblBorders>
            <w:top w:val="single" w:sz="4" w:space="0" w:color="auto"/>
            <w:left w:val="single" w:sz="4" w:space="0" w:color="auto"/>
            <w:bottom w:val="single" w:sz="4" w:space="0" w:color="auto"/>
            <w:right w:val="single" w:sz="4" w:space="0" w:color="auto"/>
            <w:insideV w:val="single" w:sz="4" w:space="0" w:color="auto"/>
          </w:tblBorders>
        </w:tblPrEx>
        <w:tc>
          <w:tcPr>
            <w:tcW w:w="5957" w:type="dxa"/>
            <w:tcBorders>
              <w:top w:val="nil"/>
              <w:left w:val="single" w:sz="4" w:space="0" w:color="auto"/>
              <w:bottom w:val="nil"/>
              <w:right w:val="nil"/>
            </w:tcBorders>
            <w:shd w:val="clear" w:color="auto" w:fill="auto"/>
          </w:tcPr>
          <w:p w:rsidR="00B7484F" w:rsidRPr="006B2DB8" w:rsidRDefault="00B7484F" w:rsidP="00D64DC2">
            <w:pPr>
              <w:tabs>
                <w:tab w:val="left" w:pos="258"/>
              </w:tabs>
              <w:spacing w:before="20" w:after="20"/>
              <w:ind w:left="477" w:hanging="477"/>
              <w:jc w:val="both"/>
              <w:rPr>
                <w:rFonts w:ascii="Arial Narrow" w:hAnsi="Arial Narrow"/>
                <w:sz w:val="16"/>
                <w:szCs w:val="16"/>
              </w:rPr>
            </w:pPr>
            <w:r w:rsidRPr="00301426">
              <w:rPr>
                <w:rFonts w:ascii="Arial Narrow" w:hAnsi="Arial Narrow"/>
                <w:sz w:val="16"/>
                <w:szCs w:val="16"/>
              </w:rPr>
              <w:tab/>
            </w:r>
            <w:r>
              <w:rPr>
                <w:rFonts w:ascii="Arial Narrow" w:hAnsi="Arial Narrow"/>
                <w:sz w:val="16"/>
                <w:szCs w:val="16"/>
              </w:rPr>
              <w:t>α</w:t>
            </w:r>
            <w:r w:rsidRPr="00301426">
              <w:rPr>
                <w:rFonts w:ascii="Arial Narrow" w:hAnsi="Arial Narrow"/>
                <w:sz w:val="16"/>
                <w:szCs w:val="16"/>
              </w:rPr>
              <w:t>.</w:t>
            </w:r>
            <w:r w:rsidRPr="00301426">
              <w:rPr>
                <w:rFonts w:ascii="Arial Narrow" w:hAnsi="Arial Narrow"/>
                <w:sz w:val="16"/>
                <w:szCs w:val="16"/>
              </w:rPr>
              <w:tab/>
            </w:r>
            <w:r>
              <w:rPr>
                <w:rFonts w:ascii="Arial Narrow" w:hAnsi="Arial Narrow"/>
                <w:sz w:val="16"/>
                <w:szCs w:val="16"/>
              </w:rPr>
              <w:t>ΚΑΠ Δήμων</w:t>
            </w:r>
          </w:p>
        </w:tc>
        <w:tc>
          <w:tcPr>
            <w:tcW w:w="1442" w:type="dxa"/>
            <w:tcBorders>
              <w:top w:val="nil"/>
              <w:left w:val="nil"/>
              <w:bottom w:val="nil"/>
              <w:right w:val="nil"/>
            </w:tcBorders>
            <w:shd w:val="clear" w:color="auto" w:fill="auto"/>
            <w:vAlign w:val="center"/>
          </w:tcPr>
          <w:p w:rsidR="00B7484F" w:rsidRPr="00A504AE" w:rsidRDefault="00B7484F" w:rsidP="00B7484F">
            <w:pPr>
              <w:ind w:right="454"/>
              <w:jc w:val="right"/>
              <w:rPr>
                <w:rFonts w:ascii="Arial Narrow" w:hAnsi="Arial Narrow"/>
                <w:color w:val="000000"/>
                <w:sz w:val="16"/>
                <w:szCs w:val="16"/>
              </w:rPr>
            </w:pPr>
            <w:r w:rsidRPr="00A504AE">
              <w:rPr>
                <w:rFonts w:ascii="Arial Narrow" w:hAnsi="Arial Narrow"/>
                <w:color w:val="000000"/>
                <w:sz w:val="16"/>
                <w:szCs w:val="16"/>
              </w:rPr>
              <w:t>1.857</w:t>
            </w:r>
          </w:p>
        </w:tc>
        <w:tc>
          <w:tcPr>
            <w:tcW w:w="1701" w:type="dxa"/>
            <w:tcBorders>
              <w:top w:val="nil"/>
              <w:left w:val="nil"/>
              <w:bottom w:val="nil"/>
              <w:right w:val="single" w:sz="4" w:space="0" w:color="auto"/>
            </w:tcBorders>
            <w:shd w:val="clear" w:color="auto" w:fill="auto"/>
            <w:vAlign w:val="center"/>
          </w:tcPr>
          <w:p w:rsidR="00B7484F" w:rsidRPr="00A504AE" w:rsidRDefault="00B7484F" w:rsidP="00B7484F">
            <w:pPr>
              <w:ind w:right="454"/>
              <w:jc w:val="right"/>
              <w:rPr>
                <w:rFonts w:ascii="Arial Narrow" w:hAnsi="Arial Narrow"/>
                <w:color w:val="000000"/>
                <w:sz w:val="16"/>
                <w:szCs w:val="16"/>
              </w:rPr>
            </w:pPr>
            <w:r w:rsidRPr="00A504AE">
              <w:rPr>
                <w:rFonts w:ascii="Arial Narrow" w:hAnsi="Arial Narrow"/>
                <w:color w:val="000000"/>
                <w:sz w:val="16"/>
                <w:szCs w:val="16"/>
              </w:rPr>
              <w:t>1.914</w:t>
            </w:r>
          </w:p>
        </w:tc>
      </w:tr>
      <w:tr w:rsidR="00B7484F" w:rsidRPr="006B2DB8" w:rsidTr="00B7484F">
        <w:tblPrEx>
          <w:tblBorders>
            <w:top w:val="single" w:sz="4" w:space="0" w:color="auto"/>
            <w:left w:val="single" w:sz="4" w:space="0" w:color="auto"/>
            <w:bottom w:val="single" w:sz="4" w:space="0" w:color="auto"/>
            <w:right w:val="single" w:sz="4" w:space="0" w:color="auto"/>
            <w:insideV w:val="single" w:sz="4" w:space="0" w:color="auto"/>
          </w:tblBorders>
        </w:tblPrEx>
        <w:tc>
          <w:tcPr>
            <w:tcW w:w="5957" w:type="dxa"/>
            <w:tcBorders>
              <w:top w:val="nil"/>
              <w:left w:val="single" w:sz="4" w:space="0" w:color="auto"/>
              <w:bottom w:val="nil"/>
              <w:right w:val="nil"/>
            </w:tcBorders>
            <w:shd w:val="clear" w:color="auto" w:fill="auto"/>
          </w:tcPr>
          <w:p w:rsidR="00B7484F" w:rsidRPr="006B2DB8" w:rsidRDefault="00B7484F" w:rsidP="00D64DC2">
            <w:pPr>
              <w:tabs>
                <w:tab w:val="left" w:pos="258"/>
              </w:tabs>
              <w:spacing w:before="20" w:after="20"/>
              <w:ind w:left="477" w:hanging="477"/>
              <w:jc w:val="both"/>
              <w:rPr>
                <w:rFonts w:ascii="Arial Narrow" w:hAnsi="Arial Narrow"/>
                <w:sz w:val="16"/>
                <w:szCs w:val="16"/>
              </w:rPr>
            </w:pPr>
            <w:r w:rsidRPr="006B2DB8">
              <w:rPr>
                <w:rFonts w:ascii="Arial Narrow" w:hAnsi="Arial Narrow"/>
                <w:sz w:val="16"/>
                <w:szCs w:val="16"/>
              </w:rPr>
              <w:tab/>
            </w:r>
            <w:r>
              <w:rPr>
                <w:rFonts w:ascii="Arial Narrow" w:hAnsi="Arial Narrow"/>
                <w:sz w:val="16"/>
                <w:szCs w:val="16"/>
              </w:rPr>
              <w:t>β</w:t>
            </w:r>
            <w:r w:rsidRPr="00301426">
              <w:rPr>
                <w:rFonts w:ascii="Arial Narrow" w:hAnsi="Arial Narrow"/>
                <w:sz w:val="16"/>
                <w:szCs w:val="16"/>
              </w:rPr>
              <w:t>.</w:t>
            </w:r>
            <w:r w:rsidRPr="00301426">
              <w:rPr>
                <w:rFonts w:ascii="Arial Narrow" w:hAnsi="Arial Narrow"/>
                <w:sz w:val="16"/>
                <w:szCs w:val="16"/>
              </w:rPr>
              <w:tab/>
            </w:r>
            <w:r>
              <w:rPr>
                <w:rFonts w:ascii="Arial Narrow" w:hAnsi="Arial Narrow"/>
                <w:sz w:val="16"/>
                <w:szCs w:val="16"/>
              </w:rPr>
              <w:t xml:space="preserve">ΚΑΠ </w:t>
            </w:r>
            <w:r w:rsidRPr="006B2DB8">
              <w:rPr>
                <w:rFonts w:ascii="Arial Narrow" w:hAnsi="Arial Narrow"/>
                <w:sz w:val="16"/>
                <w:szCs w:val="16"/>
              </w:rPr>
              <w:t>Περιφ</w:t>
            </w:r>
            <w:r>
              <w:rPr>
                <w:rFonts w:ascii="Arial Narrow" w:hAnsi="Arial Narrow"/>
                <w:sz w:val="16"/>
                <w:szCs w:val="16"/>
              </w:rPr>
              <w:t>ερειών</w:t>
            </w:r>
          </w:p>
        </w:tc>
        <w:tc>
          <w:tcPr>
            <w:tcW w:w="1442" w:type="dxa"/>
            <w:tcBorders>
              <w:top w:val="nil"/>
              <w:left w:val="nil"/>
              <w:bottom w:val="nil"/>
              <w:right w:val="nil"/>
            </w:tcBorders>
            <w:shd w:val="clear" w:color="auto" w:fill="auto"/>
            <w:vAlign w:val="center"/>
          </w:tcPr>
          <w:p w:rsidR="00B7484F" w:rsidRPr="00A504AE" w:rsidRDefault="00B7484F" w:rsidP="00B7484F">
            <w:pPr>
              <w:ind w:right="454"/>
              <w:jc w:val="right"/>
              <w:rPr>
                <w:rFonts w:ascii="Arial Narrow" w:hAnsi="Arial Narrow"/>
                <w:color w:val="000000"/>
                <w:sz w:val="16"/>
                <w:szCs w:val="16"/>
              </w:rPr>
            </w:pPr>
            <w:r w:rsidRPr="00A504AE">
              <w:rPr>
                <w:rFonts w:ascii="Arial Narrow" w:hAnsi="Arial Narrow"/>
                <w:color w:val="000000"/>
                <w:sz w:val="16"/>
                <w:szCs w:val="16"/>
              </w:rPr>
              <w:t>652</w:t>
            </w:r>
          </w:p>
        </w:tc>
        <w:tc>
          <w:tcPr>
            <w:tcW w:w="1701" w:type="dxa"/>
            <w:tcBorders>
              <w:top w:val="nil"/>
              <w:left w:val="nil"/>
              <w:bottom w:val="nil"/>
              <w:right w:val="single" w:sz="4" w:space="0" w:color="auto"/>
            </w:tcBorders>
            <w:shd w:val="clear" w:color="auto" w:fill="auto"/>
            <w:vAlign w:val="center"/>
          </w:tcPr>
          <w:p w:rsidR="00B7484F" w:rsidRPr="00A504AE" w:rsidRDefault="00B7484F" w:rsidP="00B7484F">
            <w:pPr>
              <w:ind w:right="454"/>
              <w:jc w:val="right"/>
              <w:rPr>
                <w:rFonts w:ascii="Arial Narrow" w:hAnsi="Arial Narrow"/>
                <w:color w:val="000000"/>
                <w:sz w:val="16"/>
                <w:szCs w:val="16"/>
              </w:rPr>
            </w:pPr>
            <w:r w:rsidRPr="00A504AE">
              <w:rPr>
                <w:rFonts w:ascii="Arial Narrow" w:hAnsi="Arial Narrow"/>
                <w:color w:val="000000"/>
                <w:sz w:val="16"/>
                <w:szCs w:val="16"/>
              </w:rPr>
              <w:t>646</w:t>
            </w:r>
          </w:p>
        </w:tc>
      </w:tr>
      <w:tr w:rsidR="00B7484F" w:rsidRPr="006B2DB8" w:rsidTr="00B7484F">
        <w:tblPrEx>
          <w:tblBorders>
            <w:top w:val="single" w:sz="4" w:space="0" w:color="auto"/>
            <w:left w:val="single" w:sz="4" w:space="0" w:color="auto"/>
            <w:bottom w:val="single" w:sz="4" w:space="0" w:color="auto"/>
            <w:right w:val="single" w:sz="4" w:space="0" w:color="auto"/>
            <w:insideV w:val="single" w:sz="4" w:space="0" w:color="auto"/>
          </w:tblBorders>
        </w:tblPrEx>
        <w:tc>
          <w:tcPr>
            <w:tcW w:w="5957" w:type="dxa"/>
            <w:tcBorders>
              <w:top w:val="nil"/>
              <w:left w:val="single" w:sz="4" w:space="0" w:color="auto"/>
              <w:bottom w:val="nil"/>
              <w:right w:val="nil"/>
            </w:tcBorders>
            <w:shd w:val="clear" w:color="auto" w:fill="auto"/>
          </w:tcPr>
          <w:p w:rsidR="00B7484F" w:rsidRPr="004F0BB2" w:rsidRDefault="00B7484F" w:rsidP="00D64DC2">
            <w:pPr>
              <w:tabs>
                <w:tab w:val="left" w:pos="258"/>
              </w:tabs>
              <w:spacing w:before="20" w:after="20"/>
              <w:jc w:val="both"/>
              <w:rPr>
                <w:rFonts w:ascii="Arial Narrow" w:hAnsi="Arial Narrow"/>
                <w:b/>
                <w:sz w:val="16"/>
                <w:szCs w:val="16"/>
              </w:rPr>
            </w:pPr>
            <w:r>
              <w:rPr>
                <w:rFonts w:ascii="Arial Narrow" w:hAnsi="Arial Narrow"/>
                <w:b/>
                <w:sz w:val="16"/>
                <w:szCs w:val="16"/>
              </w:rPr>
              <w:t xml:space="preserve"> </w:t>
            </w:r>
            <w:r>
              <w:rPr>
                <w:rFonts w:ascii="Arial Narrow" w:hAnsi="Arial Narrow"/>
                <w:b/>
                <w:sz w:val="16"/>
                <w:szCs w:val="16"/>
                <w:lang w:val="en-GB"/>
              </w:rPr>
              <w:t>II</w:t>
            </w:r>
            <w:r w:rsidRPr="004F0BB2">
              <w:rPr>
                <w:rFonts w:ascii="Arial Narrow" w:hAnsi="Arial Narrow"/>
                <w:b/>
                <w:sz w:val="16"/>
                <w:szCs w:val="16"/>
              </w:rPr>
              <w:t>.</w:t>
            </w:r>
            <w:r w:rsidRPr="004F0BB2">
              <w:rPr>
                <w:rFonts w:ascii="Arial Narrow" w:hAnsi="Arial Narrow"/>
                <w:b/>
                <w:sz w:val="16"/>
                <w:szCs w:val="16"/>
              </w:rPr>
              <w:tab/>
            </w:r>
            <w:r>
              <w:rPr>
                <w:rFonts w:ascii="Arial Narrow" w:hAnsi="Arial Narrow"/>
                <w:b/>
                <w:sz w:val="16"/>
                <w:szCs w:val="16"/>
              </w:rPr>
              <w:t>Μεταβιβάσεις από τον Τακτικό Προϋπολογισμό του Υπουργείου Εσωτερικών</w:t>
            </w:r>
          </w:p>
        </w:tc>
        <w:tc>
          <w:tcPr>
            <w:tcW w:w="1442" w:type="dxa"/>
            <w:tcBorders>
              <w:top w:val="nil"/>
              <w:left w:val="nil"/>
              <w:bottom w:val="nil"/>
              <w:right w:val="nil"/>
            </w:tcBorders>
            <w:shd w:val="clear" w:color="auto" w:fill="auto"/>
            <w:vAlign w:val="center"/>
          </w:tcPr>
          <w:p w:rsidR="00B7484F" w:rsidRPr="00A504AE" w:rsidRDefault="00B7484F" w:rsidP="00B7484F">
            <w:pPr>
              <w:ind w:right="454"/>
              <w:jc w:val="right"/>
              <w:rPr>
                <w:rFonts w:ascii="Arial Narrow" w:hAnsi="Arial Narrow"/>
                <w:b/>
                <w:bCs/>
                <w:color w:val="000000"/>
                <w:sz w:val="16"/>
                <w:szCs w:val="16"/>
              </w:rPr>
            </w:pPr>
            <w:r w:rsidRPr="00A504AE">
              <w:rPr>
                <w:rFonts w:ascii="Arial Narrow" w:hAnsi="Arial Narrow"/>
                <w:b/>
                <w:bCs/>
                <w:color w:val="000000"/>
                <w:sz w:val="16"/>
                <w:szCs w:val="16"/>
              </w:rPr>
              <w:t>433</w:t>
            </w:r>
          </w:p>
        </w:tc>
        <w:tc>
          <w:tcPr>
            <w:tcW w:w="1701" w:type="dxa"/>
            <w:tcBorders>
              <w:top w:val="nil"/>
              <w:left w:val="nil"/>
              <w:bottom w:val="nil"/>
              <w:right w:val="single" w:sz="4" w:space="0" w:color="auto"/>
            </w:tcBorders>
            <w:shd w:val="clear" w:color="auto" w:fill="auto"/>
            <w:vAlign w:val="center"/>
          </w:tcPr>
          <w:p w:rsidR="00B7484F" w:rsidRPr="00A504AE" w:rsidRDefault="00B7484F" w:rsidP="00B7484F">
            <w:pPr>
              <w:ind w:right="454"/>
              <w:jc w:val="right"/>
              <w:rPr>
                <w:rFonts w:ascii="Arial Narrow" w:hAnsi="Arial Narrow"/>
                <w:b/>
                <w:bCs/>
                <w:color w:val="000000"/>
                <w:sz w:val="16"/>
                <w:szCs w:val="16"/>
              </w:rPr>
            </w:pPr>
            <w:r w:rsidRPr="00A504AE">
              <w:rPr>
                <w:rFonts w:ascii="Arial Narrow" w:hAnsi="Arial Narrow"/>
                <w:b/>
                <w:bCs/>
                <w:color w:val="000000"/>
                <w:sz w:val="16"/>
                <w:szCs w:val="16"/>
              </w:rPr>
              <w:t>162</w:t>
            </w:r>
          </w:p>
        </w:tc>
      </w:tr>
      <w:tr w:rsidR="00B7484F" w:rsidRPr="006B2DB8" w:rsidTr="00B7484F">
        <w:tblPrEx>
          <w:tblBorders>
            <w:top w:val="single" w:sz="4" w:space="0" w:color="auto"/>
            <w:left w:val="single" w:sz="4" w:space="0" w:color="auto"/>
            <w:bottom w:val="single" w:sz="4" w:space="0" w:color="auto"/>
            <w:right w:val="single" w:sz="4" w:space="0" w:color="auto"/>
            <w:insideV w:val="single" w:sz="4" w:space="0" w:color="auto"/>
          </w:tblBorders>
        </w:tblPrEx>
        <w:tc>
          <w:tcPr>
            <w:tcW w:w="5957" w:type="dxa"/>
            <w:tcBorders>
              <w:top w:val="nil"/>
              <w:left w:val="single" w:sz="4" w:space="0" w:color="auto"/>
              <w:bottom w:val="nil"/>
              <w:right w:val="nil"/>
            </w:tcBorders>
            <w:shd w:val="clear" w:color="auto" w:fill="auto"/>
          </w:tcPr>
          <w:p w:rsidR="00B7484F" w:rsidRPr="006B2DB8" w:rsidRDefault="00B7484F" w:rsidP="00D64DC2">
            <w:pPr>
              <w:tabs>
                <w:tab w:val="left" w:pos="258"/>
              </w:tabs>
              <w:spacing w:before="20" w:after="20"/>
              <w:ind w:left="477" w:hanging="477"/>
              <w:jc w:val="both"/>
              <w:rPr>
                <w:rFonts w:ascii="Arial Narrow" w:hAnsi="Arial Narrow"/>
                <w:sz w:val="16"/>
                <w:szCs w:val="16"/>
              </w:rPr>
            </w:pPr>
            <w:r w:rsidRPr="00301426">
              <w:rPr>
                <w:rFonts w:ascii="Arial Narrow" w:hAnsi="Arial Narrow"/>
                <w:sz w:val="16"/>
                <w:szCs w:val="16"/>
              </w:rPr>
              <w:tab/>
            </w:r>
            <w:r>
              <w:rPr>
                <w:rFonts w:ascii="Arial Narrow" w:hAnsi="Arial Narrow"/>
                <w:sz w:val="16"/>
                <w:szCs w:val="16"/>
              </w:rPr>
              <w:t>α</w:t>
            </w:r>
            <w:r w:rsidRPr="00301426">
              <w:rPr>
                <w:rFonts w:ascii="Arial Narrow" w:hAnsi="Arial Narrow"/>
                <w:sz w:val="16"/>
                <w:szCs w:val="16"/>
              </w:rPr>
              <w:t>.</w:t>
            </w:r>
            <w:r w:rsidRPr="00301426">
              <w:rPr>
                <w:rFonts w:ascii="Arial Narrow" w:hAnsi="Arial Narrow"/>
                <w:sz w:val="16"/>
                <w:szCs w:val="16"/>
              </w:rPr>
              <w:tab/>
            </w:r>
            <w:r>
              <w:rPr>
                <w:rFonts w:ascii="Arial Narrow" w:hAnsi="Arial Narrow"/>
                <w:sz w:val="16"/>
                <w:szCs w:val="16"/>
              </w:rPr>
              <w:t>Ειδική επιχορήγηση σε ΟΤΑ α΄ βαθμού</w:t>
            </w:r>
          </w:p>
        </w:tc>
        <w:tc>
          <w:tcPr>
            <w:tcW w:w="1442" w:type="dxa"/>
            <w:tcBorders>
              <w:top w:val="nil"/>
              <w:left w:val="nil"/>
              <w:bottom w:val="nil"/>
              <w:right w:val="nil"/>
            </w:tcBorders>
            <w:shd w:val="clear" w:color="auto" w:fill="auto"/>
            <w:vAlign w:val="center"/>
          </w:tcPr>
          <w:p w:rsidR="00B7484F" w:rsidRPr="009E7649" w:rsidRDefault="00B7484F" w:rsidP="00B7484F">
            <w:pPr>
              <w:ind w:right="454"/>
              <w:jc w:val="right"/>
              <w:rPr>
                <w:rFonts w:ascii="Arial Narrow" w:hAnsi="Arial Narrow"/>
                <w:bCs/>
                <w:color w:val="000000"/>
                <w:sz w:val="16"/>
                <w:szCs w:val="16"/>
              </w:rPr>
            </w:pPr>
            <w:r w:rsidRPr="009E7649">
              <w:rPr>
                <w:rFonts w:ascii="Arial Narrow" w:hAnsi="Arial Narrow"/>
                <w:bCs/>
                <w:color w:val="000000"/>
                <w:sz w:val="16"/>
                <w:szCs w:val="16"/>
              </w:rPr>
              <w:t>172</w:t>
            </w:r>
          </w:p>
        </w:tc>
        <w:tc>
          <w:tcPr>
            <w:tcW w:w="1701" w:type="dxa"/>
            <w:tcBorders>
              <w:top w:val="nil"/>
              <w:left w:val="nil"/>
              <w:bottom w:val="nil"/>
              <w:right w:val="single" w:sz="4" w:space="0" w:color="auto"/>
            </w:tcBorders>
            <w:shd w:val="clear" w:color="auto" w:fill="auto"/>
            <w:vAlign w:val="center"/>
          </w:tcPr>
          <w:p w:rsidR="00B7484F" w:rsidRPr="009E7649" w:rsidRDefault="00B7484F" w:rsidP="00B7484F">
            <w:pPr>
              <w:ind w:right="454"/>
              <w:jc w:val="right"/>
              <w:rPr>
                <w:rFonts w:ascii="Arial Narrow" w:hAnsi="Arial Narrow"/>
                <w:bCs/>
                <w:color w:val="000000"/>
                <w:sz w:val="16"/>
                <w:szCs w:val="16"/>
              </w:rPr>
            </w:pPr>
            <w:r w:rsidRPr="009E7649">
              <w:rPr>
                <w:rFonts w:ascii="Arial Narrow" w:hAnsi="Arial Narrow"/>
                <w:bCs/>
                <w:color w:val="000000"/>
                <w:sz w:val="16"/>
                <w:szCs w:val="16"/>
              </w:rPr>
              <w:t>155</w:t>
            </w:r>
          </w:p>
        </w:tc>
      </w:tr>
      <w:tr w:rsidR="00B7484F" w:rsidRPr="006B2DB8" w:rsidTr="00B7484F">
        <w:tblPrEx>
          <w:tblBorders>
            <w:top w:val="single" w:sz="4" w:space="0" w:color="auto"/>
            <w:left w:val="single" w:sz="4" w:space="0" w:color="auto"/>
            <w:bottom w:val="single" w:sz="4" w:space="0" w:color="auto"/>
            <w:right w:val="single" w:sz="4" w:space="0" w:color="auto"/>
            <w:insideV w:val="single" w:sz="4" w:space="0" w:color="auto"/>
          </w:tblBorders>
        </w:tblPrEx>
        <w:tc>
          <w:tcPr>
            <w:tcW w:w="5957" w:type="dxa"/>
            <w:tcBorders>
              <w:top w:val="nil"/>
              <w:left w:val="single" w:sz="4" w:space="0" w:color="auto"/>
              <w:bottom w:val="nil"/>
              <w:right w:val="nil"/>
            </w:tcBorders>
            <w:shd w:val="clear" w:color="auto" w:fill="auto"/>
          </w:tcPr>
          <w:p w:rsidR="00B7484F" w:rsidRPr="006B2DB8" w:rsidRDefault="00B7484F" w:rsidP="00D64DC2">
            <w:pPr>
              <w:tabs>
                <w:tab w:val="left" w:pos="258"/>
              </w:tabs>
              <w:spacing w:before="20" w:after="20"/>
              <w:ind w:left="477" w:hanging="477"/>
              <w:jc w:val="both"/>
              <w:rPr>
                <w:rFonts w:ascii="Arial Narrow" w:hAnsi="Arial Narrow"/>
                <w:sz w:val="16"/>
                <w:szCs w:val="16"/>
              </w:rPr>
            </w:pPr>
            <w:r w:rsidRPr="006B2DB8">
              <w:rPr>
                <w:rFonts w:ascii="Arial Narrow" w:hAnsi="Arial Narrow"/>
                <w:sz w:val="16"/>
                <w:szCs w:val="16"/>
              </w:rPr>
              <w:tab/>
            </w:r>
            <w:r>
              <w:rPr>
                <w:rFonts w:ascii="Arial Narrow" w:hAnsi="Arial Narrow"/>
                <w:sz w:val="16"/>
                <w:szCs w:val="16"/>
              </w:rPr>
              <w:t>β</w:t>
            </w:r>
            <w:r w:rsidRPr="00301426">
              <w:rPr>
                <w:rFonts w:ascii="Arial Narrow" w:hAnsi="Arial Narrow"/>
                <w:sz w:val="16"/>
                <w:szCs w:val="16"/>
              </w:rPr>
              <w:t>.</w:t>
            </w:r>
            <w:r w:rsidRPr="00301426">
              <w:rPr>
                <w:rFonts w:ascii="Arial Narrow" w:hAnsi="Arial Narrow"/>
                <w:sz w:val="16"/>
                <w:szCs w:val="16"/>
              </w:rPr>
              <w:tab/>
            </w:r>
            <w:r>
              <w:rPr>
                <w:rFonts w:ascii="Arial Narrow" w:hAnsi="Arial Narrow"/>
                <w:sz w:val="16"/>
                <w:szCs w:val="16"/>
              </w:rPr>
              <w:t>Λοιπές αποδόσεις σε ΟΤΑ α΄ βαθμού</w:t>
            </w:r>
          </w:p>
        </w:tc>
        <w:tc>
          <w:tcPr>
            <w:tcW w:w="1442" w:type="dxa"/>
            <w:tcBorders>
              <w:top w:val="nil"/>
              <w:left w:val="nil"/>
              <w:bottom w:val="nil"/>
              <w:right w:val="nil"/>
            </w:tcBorders>
            <w:shd w:val="clear" w:color="auto" w:fill="auto"/>
            <w:vAlign w:val="center"/>
          </w:tcPr>
          <w:p w:rsidR="00B7484F" w:rsidRPr="009E7649" w:rsidRDefault="00B7484F" w:rsidP="00B7484F">
            <w:pPr>
              <w:ind w:right="454"/>
              <w:jc w:val="right"/>
              <w:rPr>
                <w:rFonts w:ascii="Arial Narrow" w:hAnsi="Arial Narrow"/>
                <w:bCs/>
                <w:color w:val="000000"/>
                <w:sz w:val="16"/>
                <w:szCs w:val="16"/>
              </w:rPr>
            </w:pPr>
            <w:r w:rsidRPr="009E7649">
              <w:rPr>
                <w:rFonts w:ascii="Arial Narrow" w:hAnsi="Arial Narrow"/>
                <w:bCs/>
                <w:color w:val="000000"/>
                <w:sz w:val="16"/>
                <w:szCs w:val="16"/>
              </w:rPr>
              <w:t>5</w:t>
            </w:r>
          </w:p>
        </w:tc>
        <w:tc>
          <w:tcPr>
            <w:tcW w:w="1701" w:type="dxa"/>
            <w:tcBorders>
              <w:top w:val="nil"/>
              <w:left w:val="nil"/>
              <w:bottom w:val="nil"/>
              <w:right w:val="single" w:sz="4" w:space="0" w:color="auto"/>
            </w:tcBorders>
            <w:shd w:val="clear" w:color="auto" w:fill="auto"/>
            <w:vAlign w:val="center"/>
          </w:tcPr>
          <w:p w:rsidR="00B7484F" w:rsidRPr="009E7649" w:rsidRDefault="00B7484F" w:rsidP="00B7484F">
            <w:pPr>
              <w:ind w:right="454"/>
              <w:jc w:val="right"/>
              <w:rPr>
                <w:rFonts w:ascii="Arial Narrow" w:hAnsi="Arial Narrow"/>
                <w:bCs/>
                <w:color w:val="000000"/>
                <w:sz w:val="16"/>
                <w:szCs w:val="16"/>
              </w:rPr>
            </w:pPr>
            <w:r w:rsidRPr="009E7649">
              <w:rPr>
                <w:rFonts w:ascii="Arial Narrow" w:hAnsi="Arial Narrow"/>
                <w:bCs/>
                <w:color w:val="000000"/>
                <w:sz w:val="16"/>
                <w:szCs w:val="16"/>
              </w:rPr>
              <w:t>5</w:t>
            </w:r>
          </w:p>
        </w:tc>
      </w:tr>
      <w:tr w:rsidR="00B7484F" w:rsidRPr="006B2DB8" w:rsidTr="00B7484F">
        <w:tblPrEx>
          <w:tblBorders>
            <w:top w:val="single" w:sz="4" w:space="0" w:color="auto"/>
            <w:left w:val="single" w:sz="4" w:space="0" w:color="auto"/>
            <w:bottom w:val="single" w:sz="4" w:space="0" w:color="auto"/>
            <w:right w:val="single" w:sz="4" w:space="0" w:color="auto"/>
            <w:insideV w:val="single" w:sz="4" w:space="0" w:color="auto"/>
          </w:tblBorders>
        </w:tblPrEx>
        <w:tc>
          <w:tcPr>
            <w:tcW w:w="5957" w:type="dxa"/>
            <w:tcBorders>
              <w:top w:val="nil"/>
              <w:left w:val="single" w:sz="4" w:space="0" w:color="auto"/>
              <w:bottom w:val="nil"/>
              <w:right w:val="nil"/>
            </w:tcBorders>
            <w:shd w:val="clear" w:color="auto" w:fill="auto"/>
          </w:tcPr>
          <w:p w:rsidR="00B7484F" w:rsidRPr="006B2DB8" w:rsidRDefault="00B7484F" w:rsidP="00D64DC2">
            <w:pPr>
              <w:tabs>
                <w:tab w:val="left" w:pos="258"/>
              </w:tabs>
              <w:spacing w:before="20" w:after="20"/>
              <w:ind w:left="477" w:hanging="477"/>
              <w:jc w:val="both"/>
              <w:rPr>
                <w:rFonts w:ascii="Arial Narrow" w:hAnsi="Arial Narrow"/>
                <w:sz w:val="16"/>
                <w:szCs w:val="16"/>
              </w:rPr>
            </w:pPr>
            <w:r>
              <w:rPr>
                <w:rFonts w:ascii="Arial Narrow" w:hAnsi="Arial Narrow"/>
                <w:sz w:val="16"/>
                <w:szCs w:val="16"/>
              </w:rPr>
              <w:tab/>
              <w:t>γ.</w:t>
            </w:r>
            <w:r>
              <w:rPr>
                <w:rFonts w:ascii="Arial Narrow" w:hAnsi="Arial Narrow"/>
                <w:sz w:val="16"/>
                <w:szCs w:val="16"/>
              </w:rPr>
              <w:tab/>
              <w:t>Λοιπές επιχορηγήσεις σε ΟΤΑ α΄ βαθμού</w:t>
            </w:r>
          </w:p>
        </w:tc>
        <w:tc>
          <w:tcPr>
            <w:tcW w:w="1442" w:type="dxa"/>
            <w:tcBorders>
              <w:top w:val="nil"/>
              <w:left w:val="nil"/>
              <w:bottom w:val="nil"/>
              <w:right w:val="nil"/>
            </w:tcBorders>
            <w:shd w:val="clear" w:color="auto" w:fill="auto"/>
            <w:vAlign w:val="center"/>
          </w:tcPr>
          <w:p w:rsidR="00B7484F" w:rsidRPr="009E7649" w:rsidRDefault="00B7484F" w:rsidP="00B7484F">
            <w:pPr>
              <w:ind w:right="454"/>
              <w:jc w:val="right"/>
              <w:rPr>
                <w:rFonts w:ascii="Arial Narrow" w:hAnsi="Arial Narrow"/>
                <w:bCs/>
                <w:color w:val="000000"/>
                <w:sz w:val="16"/>
                <w:szCs w:val="16"/>
              </w:rPr>
            </w:pPr>
            <w:r w:rsidRPr="009E7649">
              <w:rPr>
                <w:rFonts w:ascii="Arial Narrow" w:hAnsi="Arial Narrow"/>
                <w:bCs/>
                <w:color w:val="000000"/>
                <w:sz w:val="16"/>
                <w:szCs w:val="16"/>
              </w:rPr>
              <w:t>29</w:t>
            </w:r>
          </w:p>
        </w:tc>
        <w:tc>
          <w:tcPr>
            <w:tcW w:w="1701" w:type="dxa"/>
            <w:tcBorders>
              <w:top w:val="nil"/>
              <w:left w:val="nil"/>
              <w:bottom w:val="nil"/>
              <w:right w:val="single" w:sz="4" w:space="0" w:color="auto"/>
            </w:tcBorders>
            <w:shd w:val="clear" w:color="auto" w:fill="auto"/>
            <w:vAlign w:val="center"/>
          </w:tcPr>
          <w:p w:rsidR="00B7484F" w:rsidRPr="009E7649" w:rsidRDefault="00B7484F" w:rsidP="00B7484F">
            <w:pPr>
              <w:ind w:right="454"/>
              <w:jc w:val="right"/>
              <w:rPr>
                <w:rFonts w:ascii="Arial Narrow" w:hAnsi="Arial Narrow"/>
                <w:bCs/>
                <w:color w:val="000000"/>
                <w:sz w:val="16"/>
                <w:szCs w:val="16"/>
              </w:rPr>
            </w:pPr>
            <w:r w:rsidRPr="009E7649">
              <w:rPr>
                <w:rFonts w:ascii="Arial Narrow" w:hAnsi="Arial Narrow"/>
                <w:bCs/>
                <w:color w:val="000000"/>
                <w:sz w:val="16"/>
                <w:szCs w:val="16"/>
              </w:rPr>
              <w:t>2</w:t>
            </w:r>
          </w:p>
        </w:tc>
      </w:tr>
      <w:tr w:rsidR="00B7484F" w:rsidRPr="006B2DB8" w:rsidTr="00B7484F">
        <w:tblPrEx>
          <w:tblBorders>
            <w:top w:val="single" w:sz="4" w:space="0" w:color="auto"/>
            <w:left w:val="single" w:sz="4" w:space="0" w:color="auto"/>
            <w:bottom w:val="single" w:sz="4" w:space="0" w:color="auto"/>
            <w:right w:val="single" w:sz="4" w:space="0" w:color="auto"/>
            <w:insideV w:val="single" w:sz="4" w:space="0" w:color="auto"/>
          </w:tblBorders>
        </w:tblPrEx>
        <w:tc>
          <w:tcPr>
            <w:tcW w:w="5957" w:type="dxa"/>
            <w:tcBorders>
              <w:top w:val="nil"/>
              <w:left w:val="single" w:sz="4" w:space="0" w:color="auto"/>
              <w:bottom w:val="nil"/>
              <w:right w:val="nil"/>
            </w:tcBorders>
            <w:shd w:val="clear" w:color="auto" w:fill="auto"/>
          </w:tcPr>
          <w:p w:rsidR="00B7484F" w:rsidRDefault="00B7484F" w:rsidP="00D64DC2">
            <w:pPr>
              <w:tabs>
                <w:tab w:val="left" w:pos="258"/>
              </w:tabs>
              <w:spacing w:before="20" w:after="20"/>
              <w:ind w:left="477" w:hanging="477"/>
              <w:jc w:val="both"/>
              <w:rPr>
                <w:rFonts w:ascii="Arial Narrow" w:hAnsi="Arial Narrow"/>
                <w:sz w:val="16"/>
                <w:szCs w:val="16"/>
              </w:rPr>
            </w:pPr>
            <w:r>
              <w:rPr>
                <w:rFonts w:ascii="Arial Narrow" w:hAnsi="Arial Narrow"/>
                <w:sz w:val="16"/>
                <w:szCs w:val="16"/>
              </w:rPr>
              <w:tab/>
              <w:t>δ.</w:t>
            </w:r>
            <w:r>
              <w:rPr>
                <w:rFonts w:ascii="Arial Narrow" w:hAnsi="Arial Narrow"/>
                <w:sz w:val="16"/>
                <w:szCs w:val="16"/>
              </w:rPr>
              <w:tab/>
              <w:t>Έκτακτη επιχορήγηση εξόφλησης ληξιπρόθεσμων οφειλών</w:t>
            </w:r>
          </w:p>
        </w:tc>
        <w:tc>
          <w:tcPr>
            <w:tcW w:w="1442" w:type="dxa"/>
            <w:tcBorders>
              <w:top w:val="nil"/>
              <w:left w:val="nil"/>
              <w:bottom w:val="nil"/>
              <w:right w:val="nil"/>
            </w:tcBorders>
            <w:shd w:val="clear" w:color="auto" w:fill="auto"/>
            <w:vAlign w:val="center"/>
          </w:tcPr>
          <w:p w:rsidR="00B7484F" w:rsidRPr="009E7649" w:rsidRDefault="00B7484F" w:rsidP="00B7484F">
            <w:pPr>
              <w:ind w:right="454"/>
              <w:jc w:val="right"/>
              <w:rPr>
                <w:rFonts w:ascii="Arial Narrow" w:hAnsi="Arial Narrow"/>
                <w:bCs/>
                <w:color w:val="000000"/>
                <w:sz w:val="16"/>
                <w:szCs w:val="16"/>
              </w:rPr>
            </w:pPr>
            <w:r w:rsidRPr="009E7649">
              <w:rPr>
                <w:rFonts w:ascii="Arial Narrow" w:hAnsi="Arial Narrow"/>
                <w:bCs/>
                <w:color w:val="000000"/>
                <w:sz w:val="16"/>
                <w:szCs w:val="16"/>
              </w:rPr>
              <w:t>116</w:t>
            </w:r>
          </w:p>
        </w:tc>
        <w:tc>
          <w:tcPr>
            <w:tcW w:w="1701" w:type="dxa"/>
            <w:tcBorders>
              <w:top w:val="nil"/>
              <w:left w:val="nil"/>
              <w:bottom w:val="nil"/>
              <w:right w:val="single" w:sz="4" w:space="0" w:color="auto"/>
            </w:tcBorders>
            <w:shd w:val="clear" w:color="auto" w:fill="auto"/>
            <w:vAlign w:val="center"/>
          </w:tcPr>
          <w:p w:rsidR="00B7484F" w:rsidRPr="009E7649" w:rsidRDefault="00B7484F" w:rsidP="00B7484F">
            <w:pPr>
              <w:ind w:right="454"/>
              <w:jc w:val="right"/>
              <w:rPr>
                <w:rFonts w:ascii="Arial Narrow" w:hAnsi="Arial Narrow"/>
                <w:bCs/>
                <w:color w:val="000000"/>
                <w:sz w:val="16"/>
                <w:szCs w:val="16"/>
              </w:rPr>
            </w:pPr>
            <w:r w:rsidRPr="009E7649">
              <w:rPr>
                <w:rFonts w:ascii="Arial Narrow" w:hAnsi="Arial Narrow"/>
                <w:bCs/>
                <w:color w:val="000000"/>
                <w:sz w:val="16"/>
                <w:szCs w:val="16"/>
              </w:rPr>
              <w:t>0</w:t>
            </w:r>
          </w:p>
        </w:tc>
      </w:tr>
      <w:tr w:rsidR="00B7484F" w:rsidRPr="006B2DB8" w:rsidTr="00B7484F">
        <w:tblPrEx>
          <w:tblBorders>
            <w:top w:val="single" w:sz="4" w:space="0" w:color="auto"/>
            <w:left w:val="single" w:sz="4" w:space="0" w:color="auto"/>
            <w:bottom w:val="single" w:sz="4" w:space="0" w:color="auto"/>
            <w:right w:val="single" w:sz="4" w:space="0" w:color="auto"/>
            <w:insideV w:val="single" w:sz="4" w:space="0" w:color="auto"/>
          </w:tblBorders>
        </w:tblPrEx>
        <w:tc>
          <w:tcPr>
            <w:tcW w:w="5957" w:type="dxa"/>
            <w:tcBorders>
              <w:top w:val="nil"/>
              <w:left w:val="single" w:sz="4" w:space="0" w:color="auto"/>
              <w:bottom w:val="nil"/>
              <w:right w:val="nil"/>
            </w:tcBorders>
            <w:shd w:val="clear" w:color="auto" w:fill="auto"/>
          </w:tcPr>
          <w:p w:rsidR="00B7484F" w:rsidRPr="00D64DC2" w:rsidRDefault="00B7484F" w:rsidP="00D64DC2">
            <w:pPr>
              <w:tabs>
                <w:tab w:val="left" w:pos="258"/>
              </w:tabs>
              <w:spacing w:before="20" w:after="20"/>
              <w:ind w:left="477" w:hanging="477"/>
              <w:jc w:val="both"/>
              <w:rPr>
                <w:rFonts w:ascii="Arial Narrow" w:hAnsi="Arial Narrow"/>
                <w:sz w:val="16"/>
                <w:szCs w:val="16"/>
              </w:rPr>
            </w:pPr>
            <w:r>
              <w:rPr>
                <w:rFonts w:ascii="Arial Narrow" w:hAnsi="Arial Narrow"/>
                <w:sz w:val="16"/>
                <w:szCs w:val="16"/>
              </w:rPr>
              <w:tab/>
              <w:t>ε.</w:t>
            </w:r>
            <w:r>
              <w:rPr>
                <w:rFonts w:ascii="Arial Narrow" w:hAnsi="Arial Narrow"/>
                <w:sz w:val="16"/>
                <w:szCs w:val="16"/>
              </w:rPr>
              <w:tab/>
              <w:t xml:space="preserve">Δαπάνες </w:t>
            </w:r>
            <w:r>
              <w:rPr>
                <w:rFonts w:ascii="Arial Narrow" w:hAnsi="Arial Narrow"/>
                <w:sz w:val="16"/>
                <w:szCs w:val="16"/>
                <w:lang w:val="en-US"/>
              </w:rPr>
              <w:t>Covid</w:t>
            </w:r>
            <w:r w:rsidRPr="00D64DC2">
              <w:rPr>
                <w:rFonts w:ascii="Arial Narrow" w:hAnsi="Arial Narrow"/>
                <w:sz w:val="16"/>
                <w:szCs w:val="16"/>
              </w:rPr>
              <w:t xml:space="preserve">-19 </w:t>
            </w:r>
            <w:r>
              <w:rPr>
                <w:rFonts w:ascii="Arial Narrow" w:hAnsi="Arial Narrow"/>
                <w:sz w:val="16"/>
                <w:szCs w:val="16"/>
              </w:rPr>
              <w:t>σε ΟΤΑ α΄ βαθμού</w:t>
            </w:r>
          </w:p>
        </w:tc>
        <w:tc>
          <w:tcPr>
            <w:tcW w:w="1442" w:type="dxa"/>
            <w:tcBorders>
              <w:top w:val="nil"/>
              <w:left w:val="nil"/>
              <w:bottom w:val="nil"/>
              <w:right w:val="nil"/>
            </w:tcBorders>
            <w:shd w:val="clear" w:color="auto" w:fill="auto"/>
            <w:vAlign w:val="center"/>
          </w:tcPr>
          <w:p w:rsidR="00B7484F" w:rsidRPr="009E7649" w:rsidRDefault="00B7484F" w:rsidP="00B7484F">
            <w:pPr>
              <w:ind w:right="454"/>
              <w:jc w:val="right"/>
              <w:rPr>
                <w:rFonts w:ascii="Arial Narrow" w:hAnsi="Arial Narrow"/>
                <w:bCs/>
                <w:color w:val="000000"/>
                <w:sz w:val="16"/>
                <w:szCs w:val="16"/>
              </w:rPr>
            </w:pPr>
            <w:r w:rsidRPr="009E7649">
              <w:rPr>
                <w:rFonts w:ascii="Arial Narrow" w:hAnsi="Arial Narrow"/>
                <w:bCs/>
                <w:color w:val="000000"/>
                <w:sz w:val="16"/>
                <w:szCs w:val="16"/>
              </w:rPr>
              <w:t>111</w:t>
            </w:r>
          </w:p>
        </w:tc>
        <w:tc>
          <w:tcPr>
            <w:tcW w:w="1701" w:type="dxa"/>
            <w:tcBorders>
              <w:top w:val="nil"/>
              <w:left w:val="nil"/>
              <w:bottom w:val="nil"/>
              <w:right w:val="single" w:sz="4" w:space="0" w:color="auto"/>
            </w:tcBorders>
            <w:shd w:val="clear" w:color="auto" w:fill="auto"/>
            <w:vAlign w:val="center"/>
          </w:tcPr>
          <w:p w:rsidR="00B7484F" w:rsidRPr="009E7649" w:rsidRDefault="00B7484F" w:rsidP="00B7484F">
            <w:pPr>
              <w:ind w:right="454"/>
              <w:jc w:val="right"/>
              <w:rPr>
                <w:rFonts w:ascii="Arial Narrow" w:hAnsi="Arial Narrow"/>
                <w:bCs/>
                <w:color w:val="000000"/>
                <w:sz w:val="16"/>
                <w:szCs w:val="16"/>
              </w:rPr>
            </w:pPr>
            <w:r w:rsidRPr="009E7649">
              <w:rPr>
                <w:rFonts w:ascii="Arial Narrow" w:hAnsi="Arial Narrow"/>
                <w:bCs/>
                <w:color w:val="000000"/>
                <w:sz w:val="16"/>
                <w:szCs w:val="16"/>
              </w:rPr>
              <w:t>0</w:t>
            </w:r>
          </w:p>
        </w:tc>
      </w:tr>
      <w:tr w:rsidR="00B7484F" w:rsidRPr="006B2DB8" w:rsidTr="00B7484F">
        <w:tblPrEx>
          <w:tblBorders>
            <w:top w:val="single" w:sz="4" w:space="0" w:color="auto"/>
            <w:left w:val="single" w:sz="4" w:space="0" w:color="auto"/>
            <w:bottom w:val="single" w:sz="4" w:space="0" w:color="auto"/>
            <w:right w:val="single" w:sz="4" w:space="0" w:color="auto"/>
            <w:insideV w:val="single" w:sz="4" w:space="0" w:color="auto"/>
          </w:tblBorders>
        </w:tblPrEx>
        <w:tc>
          <w:tcPr>
            <w:tcW w:w="5957" w:type="dxa"/>
            <w:tcBorders>
              <w:top w:val="nil"/>
              <w:left w:val="single" w:sz="4" w:space="0" w:color="auto"/>
              <w:bottom w:val="nil"/>
              <w:right w:val="nil"/>
            </w:tcBorders>
            <w:shd w:val="clear" w:color="auto" w:fill="auto"/>
            <w:vAlign w:val="center"/>
          </w:tcPr>
          <w:p w:rsidR="00B7484F" w:rsidRPr="006B2DB8" w:rsidRDefault="00B7484F" w:rsidP="003F57D5">
            <w:pPr>
              <w:spacing w:before="20" w:after="20"/>
              <w:ind w:left="258" w:hanging="258"/>
              <w:jc w:val="both"/>
              <w:rPr>
                <w:rFonts w:ascii="Arial Narrow" w:hAnsi="Arial Narrow"/>
                <w:b/>
                <w:sz w:val="16"/>
                <w:szCs w:val="16"/>
              </w:rPr>
            </w:pPr>
            <w:r w:rsidRPr="006B2DB8">
              <w:rPr>
                <w:rFonts w:ascii="Arial Narrow" w:hAnsi="Arial Narrow"/>
                <w:b/>
                <w:sz w:val="16"/>
                <w:szCs w:val="16"/>
              </w:rPr>
              <w:t xml:space="preserve"> </w:t>
            </w:r>
            <w:r>
              <w:rPr>
                <w:rFonts w:ascii="Arial Narrow" w:hAnsi="Arial Narrow"/>
                <w:b/>
                <w:sz w:val="16"/>
                <w:szCs w:val="16"/>
                <w:lang w:val="en-GB"/>
              </w:rPr>
              <w:t>II</w:t>
            </w:r>
            <w:r>
              <w:rPr>
                <w:rFonts w:ascii="Arial Narrow" w:hAnsi="Arial Narrow"/>
                <w:b/>
                <w:sz w:val="16"/>
                <w:szCs w:val="16"/>
              </w:rPr>
              <w:t>Ι</w:t>
            </w:r>
            <w:r w:rsidRPr="00301426">
              <w:rPr>
                <w:rFonts w:ascii="Arial Narrow" w:hAnsi="Arial Narrow"/>
                <w:b/>
                <w:sz w:val="16"/>
                <w:szCs w:val="16"/>
              </w:rPr>
              <w:t>.</w:t>
            </w:r>
            <w:r w:rsidRPr="00301426">
              <w:rPr>
                <w:rFonts w:ascii="Arial Narrow" w:hAnsi="Arial Narrow"/>
                <w:b/>
                <w:sz w:val="16"/>
                <w:szCs w:val="16"/>
              </w:rPr>
              <w:tab/>
            </w:r>
            <w:r>
              <w:rPr>
                <w:rFonts w:ascii="Arial Narrow" w:hAnsi="Arial Narrow"/>
                <w:b/>
                <w:sz w:val="16"/>
                <w:szCs w:val="16"/>
              </w:rPr>
              <w:t>Μεταβιβάσεις από τον Τακτικό Προϋπολογισμό λοιπών Υπουργείων</w:t>
            </w:r>
          </w:p>
        </w:tc>
        <w:tc>
          <w:tcPr>
            <w:tcW w:w="1442" w:type="dxa"/>
            <w:tcBorders>
              <w:top w:val="nil"/>
              <w:left w:val="nil"/>
              <w:bottom w:val="nil"/>
              <w:right w:val="nil"/>
            </w:tcBorders>
            <w:shd w:val="clear" w:color="auto" w:fill="auto"/>
            <w:vAlign w:val="center"/>
          </w:tcPr>
          <w:p w:rsidR="00B7484F" w:rsidRPr="00A504AE" w:rsidRDefault="00B7484F" w:rsidP="00B7484F">
            <w:pPr>
              <w:ind w:right="454"/>
              <w:jc w:val="right"/>
              <w:rPr>
                <w:rFonts w:ascii="Arial Narrow" w:hAnsi="Arial Narrow"/>
                <w:b/>
                <w:bCs/>
                <w:color w:val="000000"/>
                <w:sz w:val="16"/>
                <w:szCs w:val="16"/>
              </w:rPr>
            </w:pPr>
            <w:r w:rsidRPr="00A504AE">
              <w:rPr>
                <w:rFonts w:ascii="Arial Narrow" w:hAnsi="Arial Narrow"/>
                <w:b/>
                <w:bCs/>
                <w:color w:val="000000"/>
                <w:sz w:val="16"/>
                <w:szCs w:val="16"/>
              </w:rPr>
              <w:t>18</w:t>
            </w:r>
          </w:p>
        </w:tc>
        <w:tc>
          <w:tcPr>
            <w:tcW w:w="1701" w:type="dxa"/>
            <w:tcBorders>
              <w:top w:val="nil"/>
              <w:left w:val="nil"/>
              <w:bottom w:val="nil"/>
              <w:right w:val="single" w:sz="4" w:space="0" w:color="auto"/>
            </w:tcBorders>
            <w:shd w:val="clear" w:color="auto" w:fill="auto"/>
            <w:vAlign w:val="center"/>
          </w:tcPr>
          <w:p w:rsidR="00B7484F" w:rsidRPr="00A504AE" w:rsidRDefault="00B7484F" w:rsidP="00B7484F">
            <w:pPr>
              <w:ind w:right="454"/>
              <w:jc w:val="right"/>
              <w:rPr>
                <w:rFonts w:ascii="Arial Narrow" w:hAnsi="Arial Narrow"/>
                <w:b/>
                <w:bCs/>
                <w:color w:val="000000"/>
                <w:sz w:val="16"/>
                <w:szCs w:val="16"/>
              </w:rPr>
            </w:pPr>
            <w:r w:rsidRPr="00A504AE">
              <w:rPr>
                <w:rFonts w:ascii="Arial Narrow" w:hAnsi="Arial Narrow"/>
                <w:b/>
                <w:bCs/>
                <w:color w:val="000000"/>
                <w:sz w:val="16"/>
                <w:szCs w:val="16"/>
              </w:rPr>
              <w:t>41</w:t>
            </w:r>
          </w:p>
        </w:tc>
      </w:tr>
      <w:tr w:rsidR="00B7484F" w:rsidRPr="006B2DB8" w:rsidTr="00B7484F">
        <w:tblPrEx>
          <w:tblBorders>
            <w:top w:val="single" w:sz="4" w:space="0" w:color="auto"/>
            <w:left w:val="single" w:sz="4" w:space="0" w:color="auto"/>
            <w:bottom w:val="single" w:sz="4" w:space="0" w:color="auto"/>
            <w:right w:val="single" w:sz="4" w:space="0" w:color="auto"/>
            <w:insideV w:val="single" w:sz="4" w:space="0" w:color="auto"/>
          </w:tblBorders>
        </w:tblPrEx>
        <w:trPr>
          <w:trHeight w:val="397"/>
        </w:trPr>
        <w:tc>
          <w:tcPr>
            <w:tcW w:w="5957" w:type="dxa"/>
            <w:tcBorders>
              <w:top w:val="nil"/>
              <w:left w:val="single" w:sz="4" w:space="0" w:color="auto"/>
              <w:bottom w:val="single" w:sz="4" w:space="0" w:color="auto"/>
              <w:right w:val="nil"/>
            </w:tcBorders>
            <w:shd w:val="clear" w:color="auto" w:fill="D9D9D9" w:themeFill="background1" w:themeFillShade="D9"/>
            <w:vAlign w:val="center"/>
          </w:tcPr>
          <w:p w:rsidR="00B7484F" w:rsidRPr="008B79B5" w:rsidRDefault="00B7484F" w:rsidP="00D64DC2">
            <w:pPr>
              <w:spacing w:before="20" w:after="20"/>
              <w:ind w:left="258" w:hanging="258"/>
              <w:rPr>
                <w:rFonts w:ascii="Arial Narrow" w:hAnsi="Arial Narrow"/>
                <w:b/>
                <w:sz w:val="16"/>
                <w:szCs w:val="16"/>
              </w:rPr>
            </w:pPr>
            <w:r>
              <w:rPr>
                <w:rFonts w:ascii="Arial Narrow" w:hAnsi="Arial Narrow"/>
                <w:b/>
                <w:sz w:val="16"/>
                <w:szCs w:val="16"/>
              </w:rPr>
              <w:t>Σύνολο μεταβιβάσεων από τον Τακτικό Προϋπολογισμό στους ΟΤΑ (Ι + ΙΙ + ΙΙΙ)</w:t>
            </w:r>
          </w:p>
        </w:tc>
        <w:tc>
          <w:tcPr>
            <w:tcW w:w="1442" w:type="dxa"/>
            <w:tcBorders>
              <w:top w:val="nil"/>
              <w:left w:val="nil"/>
              <w:bottom w:val="single" w:sz="4" w:space="0" w:color="auto"/>
              <w:right w:val="nil"/>
            </w:tcBorders>
            <w:shd w:val="clear" w:color="auto" w:fill="D9D9D9" w:themeFill="background1" w:themeFillShade="D9"/>
            <w:vAlign w:val="center"/>
          </w:tcPr>
          <w:p w:rsidR="00B7484F" w:rsidRPr="00A504AE" w:rsidRDefault="00B7484F" w:rsidP="00B7484F">
            <w:pPr>
              <w:ind w:right="454"/>
              <w:jc w:val="right"/>
              <w:rPr>
                <w:rFonts w:ascii="Arial Narrow" w:hAnsi="Arial Narrow"/>
                <w:b/>
                <w:bCs/>
                <w:color w:val="000000"/>
                <w:sz w:val="16"/>
                <w:szCs w:val="16"/>
              </w:rPr>
            </w:pPr>
            <w:r w:rsidRPr="00A504AE">
              <w:rPr>
                <w:rFonts w:ascii="Arial Narrow" w:hAnsi="Arial Narrow"/>
                <w:b/>
                <w:bCs/>
                <w:color w:val="000000"/>
                <w:sz w:val="16"/>
                <w:szCs w:val="16"/>
              </w:rPr>
              <w:t>2.960</w:t>
            </w:r>
          </w:p>
        </w:tc>
        <w:tc>
          <w:tcPr>
            <w:tcW w:w="1701" w:type="dxa"/>
            <w:tcBorders>
              <w:top w:val="nil"/>
              <w:left w:val="nil"/>
              <w:bottom w:val="single" w:sz="4" w:space="0" w:color="auto"/>
              <w:right w:val="single" w:sz="4" w:space="0" w:color="auto"/>
            </w:tcBorders>
            <w:shd w:val="clear" w:color="auto" w:fill="D9D9D9" w:themeFill="background1" w:themeFillShade="D9"/>
            <w:vAlign w:val="center"/>
          </w:tcPr>
          <w:p w:rsidR="00B7484F" w:rsidRPr="00A504AE" w:rsidRDefault="00B7484F" w:rsidP="00B7484F">
            <w:pPr>
              <w:ind w:right="454"/>
              <w:jc w:val="right"/>
              <w:rPr>
                <w:rFonts w:ascii="Arial Narrow" w:hAnsi="Arial Narrow"/>
                <w:b/>
                <w:bCs/>
                <w:color w:val="000000"/>
                <w:sz w:val="16"/>
                <w:szCs w:val="16"/>
              </w:rPr>
            </w:pPr>
            <w:r w:rsidRPr="00A504AE">
              <w:rPr>
                <w:rFonts w:ascii="Arial Narrow" w:hAnsi="Arial Narrow"/>
                <w:b/>
                <w:bCs/>
                <w:color w:val="000000"/>
                <w:sz w:val="16"/>
                <w:szCs w:val="16"/>
              </w:rPr>
              <w:t>2.764</w:t>
            </w:r>
          </w:p>
        </w:tc>
      </w:tr>
    </w:tbl>
    <w:p w:rsidR="00D64DC2" w:rsidRDefault="00D64DC2" w:rsidP="00D64DC2">
      <w:pPr>
        <w:jc w:val="both"/>
        <w:rPr>
          <w:rFonts w:ascii="Arial Narrow" w:hAnsi="Arial Narrow"/>
          <w:b/>
          <w:bCs/>
          <w:sz w:val="22"/>
          <w:szCs w:val="22"/>
        </w:rPr>
      </w:pPr>
    </w:p>
    <w:p w:rsidR="00D64DC2" w:rsidRDefault="00D64DC2" w:rsidP="00D64DC2">
      <w:pPr>
        <w:rPr>
          <w:rFonts w:ascii="Arial Narrow" w:hAnsi="Arial Narrow"/>
          <w:b/>
          <w:bCs/>
          <w:sz w:val="22"/>
          <w:szCs w:val="22"/>
        </w:rPr>
      </w:pPr>
      <w:r>
        <w:rPr>
          <w:rFonts w:ascii="Arial Narrow" w:hAnsi="Arial Narrow"/>
          <w:b/>
          <w:bCs/>
          <w:sz w:val="22"/>
          <w:szCs w:val="22"/>
        </w:rPr>
        <w:br w:type="page"/>
      </w:r>
    </w:p>
    <w:p w:rsidR="00D64DC2" w:rsidRPr="008B5CB0" w:rsidRDefault="00D64DC2" w:rsidP="00D64DC2">
      <w:pPr>
        <w:jc w:val="both"/>
        <w:rPr>
          <w:rFonts w:ascii="Arial Narrow" w:hAnsi="Arial Narrow"/>
          <w:b/>
          <w:bCs/>
          <w:sz w:val="22"/>
          <w:szCs w:val="22"/>
        </w:rPr>
      </w:pPr>
    </w:p>
    <w:p w:rsidR="00D64DC2" w:rsidRDefault="00D64DC2" w:rsidP="00D64DC2">
      <w:pPr>
        <w:jc w:val="both"/>
        <w:rPr>
          <w:rFonts w:ascii="Arial Narrow" w:hAnsi="Arial Narrow"/>
          <w:b/>
          <w:bCs/>
          <w:sz w:val="22"/>
          <w:szCs w:val="22"/>
        </w:rPr>
      </w:pPr>
    </w:p>
    <w:tbl>
      <w:tblPr>
        <w:tblW w:w="0" w:type="auto"/>
        <w:jc w:val="center"/>
        <w:tblLayout w:type="fixed"/>
        <w:tblCellMar>
          <w:left w:w="28" w:type="dxa"/>
          <w:right w:w="28" w:type="dxa"/>
        </w:tblCellMar>
        <w:tblLook w:val="0000"/>
      </w:tblPr>
      <w:tblGrid>
        <w:gridCol w:w="312"/>
        <w:gridCol w:w="4678"/>
        <w:gridCol w:w="1984"/>
        <w:gridCol w:w="1843"/>
      </w:tblGrid>
      <w:tr w:rsidR="00D64DC2" w:rsidRPr="006B2DB8" w:rsidTr="00D64DC2">
        <w:trPr>
          <w:cantSplit/>
          <w:jc w:val="center"/>
        </w:trPr>
        <w:tc>
          <w:tcPr>
            <w:tcW w:w="8817" w:type="dxa"/>
            <w:gridSpan w:val="4"/>
            <w:tcBorders>
              <w:top w:val="single" w:sz="4" w:space="0" w:color="auto"/>
              <w:left w:val="single" w:sz="4" w:space="0" w:color="auto"/>
              <w:right w:val="single" w:sz="4" w:space="0" w:color="auto"/>
            </w:tcBorders>
            <w:shd w:val="clear" w:color="auto" w:fill="404040" w:themeFill="text1" w:themeFillTint="BF"/>
            <w:vAlign w:val="center"/>
          </w:tcPr>
          <w:p w:rsidR="00D64DC2" w:rsidRPr="006B2DB8" w:rsidRDefault="009761B3" w:rsidP="00D64DC2">
            <w:pPr>
              <w:spacing w:before="120"/>
              <w:jc w:val="center"/>
              <w:rPr>
                <w:rFonts w:ascii="Arial Narrow" w:hAnsi="Arial Narrow"/>
                <w:b/>
                <w:color w:val="FFFFFF"/>
              </w:rPr>
            </w:pPr>
            <w:r>
              <w:rPr>
                <w:rFonts w:ascii="Arial Narrow" w:hAnsi="Arial Narrow"/>
                <w:b/>
                <w:color w:val="FFFFFF"/>
              </w:rPr>
              <w:t>Πίνακας 3.27</w:t>
            </w:r>
            <w:r w:rsidR="00D64DC2" w:rsidRPr="006B2DB8">
              <w:rPr>
                <w:rFonts w:ascii="Arial Narrow" w:hAnsi="Arial Narrow"/>
                <w:b/>
                <w:color w:val="FFFFFF"/>
              </w:rPr>
              <w:t xml:space="preserve">  Ενοποιημένος προϋπολογισμός ΟΤΑ</w:t>
            </w:r>
          </w:p>
          <w:p w:rsidR="00D64DC2" w:rsidRPr="006B2DB8" w:rsidRDefault="00D64DC2" w:rsidP="00D64DC2">
            <w:pPr>
              <w:spacing w:after="60"/>
              <w:jc w:val="center"/>
              <w:rPr>
                <w:rFonts w:ascii="Arial Narrow" w:hAnsi="Arial Narrow"/>
                <w:b/>
                <w:color w:val="FFFFFF"/>
              </w:rPr>
            </w:pPr>
            <w:r w:rsidRPr="006B2DB8">
              <w:rPr>
                <w:rFonts w:ascii="Arial Narrow" w:hAnsi="Arial Narrow"/>
                <w:b/>
                <w:color w:val="FFFFFF"/>
              </w:rPr>
              <w:t>(σε εκατ. ευρώ)</w:t>
            </w:r>
          </w:p>
        </w:tc>
      </w:tr>
      <w:tr w:rsidR="00D64DC2" w:rsidRPr="006B2DB8" w:rsidTr="00D64DC2">
        <w:trPr>
          <w:cantSplit/>
          <w:jc w:val="center"/>
        </w:trPr>
        <w:tc>
          <w:tcPr>
            <w:tcW w:w="8817" w:type="dxa"/>
            <w:gridSpan w:val="4"/>
            <w:tcBorders>
              <w:left w:val="single" w:sz="4" w:space="0" w:color="auto"/>
              <w:bottom w:val="single" w:sz="4" w:space="0" w:color="auto"/>
              <w:right w:val="single" w:sz="4" w:space="0" w:color="auto"/>
            </w:tcBorders>
            <w:shd w:val="clear" w:color="auto" w:fill="auto"/>
            <w:vAlign w:val="center"/>
          </w:tcPr>
          <w:p w:rsidR="00D64DC2" w:rsidRPr="006B2DB8" w:rsidRDefault="00D64DC2" w:rsidP="00D64DC2">
            <w:pPr>
              <w:jc w:val="center"/>
              <w:rPr>
                <w:rFonts w:ascii="Arial Narrow" w:hAnsi="Arial Narrow"/>
                <w:b/>
                <w:color w:val="FFFFFF"/>
                <w:sz w:val="14"/>
              </w:rPr>
            </w:pPr>
          </w:p>
        </w:tc>
      </w:tr>
      <w:tr w:rsidR="00D64DC2" w:rsidRPr="006B2DB8" w:rsidTr="00D64DC2">
        <w:trPr>
          <w:cantSplit/>
          <w:trHeight w:val="260"/>
          <w:jc w:val="center"/>
        </w:trPr>
        <w:tc>
          <w:tcPr>
            <w:tcW w:w="4990" w:type="dxa"/>
            <w:gridSpan w:val="2"/>
            <w:vMerge w:val="restart"/>
            <w:tcBorders>
              <w:top w:val="single" w:sz="4" w:space="0" w:color="auto"/>
              <w:left w:val="single" w:sz="4" w:space="0" w:color="auto"/>
              <w:bottom w:val="single" w:sz="4" w:space="0" w:color="auto"/>
              <w:right w:val="single" w:sz="4" w:space="0" w:color="auto"/>
            </w:tcBorders>
            <w:vAlign w:val="center"/>
          </w:tcPr>
          <w:p w:rsidR="00D64DC2" w:rsidRPr="006B2DB8" w:rsidRDefault="00D64DC2" w:rsidP="00D64DC2">
            <w:pPr>
              <w:spacing w:before="70"/>
              <w:jc w:val="center"/>
              <w:rPr>
                <w:rFonts w:ascii="Arial Narrow" w:hAnsi="Arial Narrow"/>
                <w:b/>
                <w:sz w:val="16"/>
                <w:szCs w:val="16"/>
              </w:rPr>
            </w:pPr>
            <w:r w:rsidRPr="006B2DB8">
              <w:rPr>
                <w:rFonts w:ascii="Arial Narrow" w:hAnsi="Arial Narrow"/>
                <w:b/>
                <w:sz w:val="16"/>
                <w:szCs w:val="16"/>
              </w:rPr>
              <w:t>Κατηγορία</w:t>
            </w:r>
          </w:p>
        </w:tc>
        <w:tc>
          <w:tcPr>
            <w:tcW w:w="1984" w:type="dxa"/>
            <w:tcBorders>
              <w:top w:val="single" w:sz="4" w:space="0" w:color="auto"/>
              <w:left w:val="single" w:sz="4" w:space="0" w:color="auto"/>
              <w:bottom w:val="single" w:sz="4" w:space="0" w:color="auto"/>
              <w:right w:val="single" w:sz="4" w:space="0" w:color="auto"/>
            </w:tcBorders>
            <w:vAlign w:val="center"/>
          </w:tcPr>
          <w:p w:rsidR="00D64DC2" w:rsidRPr="006B2DB8" w:rsidRDefault="008E589E" w:rsidP="00D64DC2">
            <w:pPr>
              <w:jc w:val="center"/>
              <w:rPr>
                <w:rFonts w:ascii="Arial Narrow" w:hAnsi="Arial Narrow"/>
                <w:b/>
                <w:sz w:val="16"/>
                <w:szCs w:val="16"/>
              </w:rPr>
            </w:pPr>
            <w:r>
              <w:rPr>
                <w:rFonts w:ascii="Arial Narrow" w:hAnsi="Arial Narrow"/>
                <w:b/>
                <w:sz w:val="16"/>
                <w:szCs w:val="16"/>
              </w:rPr>
              <w:t>2020</w:t>
            </w:r>
          </w:p>
        </w:tc>
        <w:tc>
          <w:tcPr>
            <w:tcW w:w="1843" w:type="dxa"/>
            <w:tcBorders>
              <w:top w:val="single" w:sz="4" w:space="0" w:color="auto"/>
              <w:left w:val="single" w:sz="4" w:space="0" w:color="auto"/>
              <w:bottom w:val="single" w:sz="4" w:space="0" w:color="auto"/>
              <w:right w:val="single" w:sz="4" w:space="0" w:color="auto"/>
            </w:tcBorders>
            <w:vAlign w:val="center"/>
          </w:tcPr>
          <w:p w:rsidR="00D64DC2" w:rsidRPr="006B2DB8" w:rsidRDefault="00D64DC2" w:rsidP="00D64DC2">
            <w:pPr>
              <w:jc w:val="center"/>
              <w:rPr>
                <w:rFonts w:ascii="Arial Narrow" w:hAnsi="Arial Narrow"/>
                <w:b/>
                <w:sz w:val="16"/>
                <w:szCs w:val="16"/>
              </w:rPr>
            </w:pPr>
            <w:r>
              <w:rPr>
                <w:rFonts w:ascii="Arial Narrow" w:hAnsi="Arial Narrow"/>
                <w:b/>
                <w:sz w:val="16"/>
                <w:szCs w:val="16"/>
              </w:rPr>
              <w:t>202</w:t>
            </w:r>
            <w:r w:rsidR="008E589E">
              <w:rPr>
                <w:rFonts w:ascii="Arial Narrow" w:hAnsi="Arial Narrow"/>
                <w:b/>
                <w:sz w:val="16"/>
                <w:szCs w:val="16"/>
              </w:rPr>
              <w:t>1</w:t>
            </w:r>
          </w:p>
        </w:tc>
      </w:tr>
      <w:tr w:rsidR="00D64DC2" w:rsidRPr="006B2DB8" w:rsidTr="00D64DC2">
        <w:trPr>
          <w:cantSplit/>
          <w:trHeight w:val="253"/>
          <w:jc w:val="center"/>
        </w:trPr>
        <w:tc>
          <w:tcPr>
            <w:tcW w:w="4990" w:type="dxa"/>
            <w:gridSpan w:val="2"/>
            <w:vMerge/>
            <w:tcBorders>
              <w:top w:val="single" w:sz="4" w:space="0" w:color="auto"/>
              <w:left w:val="single" w:sz="4" w:space="0" w:color="auto"/>
              <w:bottom w:val="single" w:sz="4" w:space="0" w:color="auto"/>
              <w:right w:val="single" w:sz="4" w:space="0" w:color="auto"/>
            </w:tcBorders>
            <w:vAlign w:val="center"/>
          </w:tcPr>
          <w:p w:rsidR="00D64DC2" w:rsidRPr="006B2DB8" w:rsidRDefault="00D64DC2" w:rsidP="00D64DC2">
            <w:pPr>
              <w:spacing w:before="70"/>
              <w:jc w:val="center"/>
              <w:rPr>
                <w:rFonts w:ascii="Arial Narrow" w:hAnsi="Arial Narrow"/>
                <w:b/>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D64DC2" w:rsidRPr="006B2DB8" w:rsidRDefault="00D64DC2" w:rsidP="00D64DC2">
            <w:pPr>
              <w:jc w:val="center"/>
              <w:rPr>
                <w:rFonts w:ascii="Arial Narrow" w:hAnsi="Arial Narrow"/>
                <w:b/>
                <w:sz w:val="16"/>
                <w:szCs w:val="16"/>
              </w:rPr>
            </w:pPr>
            <w:r w:rsidRPr="006B2DB8">
              <w:rPr>
                <w:rFonts w:ascii="Arial Narrow" w:hAnsi="Arial Narrow"/>
                <w:b/>
                <w:sz w:val="16"/>
                <w:szCs w:val="16"/>
              </w:rPr>
              <w:t>Εκτιμήσεις</w:t>
            </w:r>
          </w:p>
        </w:tc>
        <w:tc>
          <w:tcPr>
            <w:tcW w:w="1843" w:type="dxa"/>
            <w:tcBorders>
              <w:top w:val="single" w:sz="4" w:space="0" w:color="auto"/>
              <w:left w:val="single" w:sz="4" w:space="0" w:color="auto"/>
              <w:bottom w:val="single" w:sz="4" w:space="0" w:color="auto"/>
              <w:right w:val="single" w:sz="4" w:space="0" w:color="auto"/>
            </w:tcBorders>
            <w:vAlign w:val="center"/>
          </w:tcPr>
          <w:p w:rsidR="00D64DC2" w:rsidRPr="006B2DB8" w:rsidRDefault="00D64DC2" w:rsidP="00D64DC2">
            <w:pPr>
              <w:jc w:val="center"/>
              <w:rPr>
                <w:rFonts w:ascii="Arial Narrow" w:hAnsi="Arial Narrow"/>
                <w:b/>
                <w:sz w:val="16"/>
                <w:szCs w:val="16"/>
              </w:rPr>
            </w:pPr>
            <w:r>
              <w:rPr>
                <w:rFonts w:ascii="Arial Narrow" w:hAnsi="Arial Narrow"/>
                <w:b/>
                <w:sz w:val="16"/>
                <w:szCs w:val="16"/>
              </w:rPr>
              <w:t>Προβλέψεις</w:t>
            </w:r>
          </w:p>
        </w:tc>
      </w:tr>
      <w:tr w:rsidR="00BD2E37" w:rsidRPr="006B2DB8" w:rsidTr="00D64DC2">
        <w:trPr>
          <w:cantSplit/>
          <w:jc w:val="center"/>
        </w:trPr>
        <w:tc>
          <w:tcPr>
            <w:tcW w:w="312" w:type="dxa"/>
            <w:tcBorders>
              <w:top w:val="single" w:sz="4" w:space="0" w:color="auto"/>
              <w:left w:val="single" w:sz="4" w:space="0" w:color="auto"/>
            </w:tcBorders>
            <w:shd w:val="clear" w:color="auto" w:fill="D9D9D9" w:themeFill="background1" w:themeFillShade="D9"/>
          </w:tcPr>
          <w:p w:rsidR="00BD2E37" w:rsidRPr="006B2DB8" w:rsidRDefault="00BD2E37" w:rsidP="00D64DC2">
            <w:pPr>
              <w:tabs>
                <w:tab w:val="num" w:pos="900"/>
              </w:tabs>
              <w:spacing w:before="60" w:after="60"/>
              <w:jc w:val="right"/>
              <w:rPr>
                <w:rFonts w:ascii="Arial Narrow" w:hAnsi="Arial Narrow"/>
                <w:b/>
                <w:sz w:val="16"/>
                <w:szCs w:val="16"/>
              </w:rPr>
            </w:pPr>
            <w:r w:rsidRPr="006B2DB8">
              <w:rPr>
                <w:rFonts w:ascii="Arial Narrow" w:hAnsi="Arial Narrow"/>
                <w:b/>
                <w:sz w:val="16"/>
                <w:szCs w:val="16"/>
              </w:rPr>
              <w:t>Α</w:t>
            </w:r>
          </w:p>
        </w:tc>
        <w:tc>
          <w:tcPr>
            <w:tcW w:w="4678" w:type="dxa"/>
            <w:tcBorders>
              <w:top w:val="single" w:sz="4" w:space="0" w:color="auto"/>
            </w:tcBorders>
            <w:shd w:val="clear" w:color="auto" w:fill="D9D9D9" w:themeFill="background1" w:themeFillShade="D9"/>
          </w:tcPr>
          <w:p w:rsidR="00BD2E37" w:rsidRPr="006B2DB8" w:rsidRDefault="00BD2E37" w:rsidP="00D64DC2">
            <w:pPr>
              <w:tabs>
                <w:tab w:val="num" w:pos="900"/>
              </w:tabs>
              <w:spacing w:before="60" w:after="60"/>
              <w:rPr>
                <w:rFonts w:ascii="Arial Narrow" w:hAnsi="Arial Narrow"/>
                <w:b/>
                <w:sz w:val="16"/>
                <w:szCs w:val="16"/>
              </w:rPr>
            </w:pPr>
            <w:r w:rsidRPr="006B2DB8">
              <w:rPr>
                <w:rFonts w:ascii="Arial Narrow" w:hAnsi="Arial Narrow"/>
                <w:b/>
                <w:sz w:val="16"/>
                <w:szCs w:val="16"/>
              </w:rPr>
              <w:t>Έσοδα (1+2+3+4+5+6</w:t>
            </w:r>
            <w:r>
              <w:rPr>
                <w:rFonts w:ascii="Arial Narrow" w:hAnsi="Arial Narrow"/>
                <w:b/>
                <w:sz w:val="16"/>
                <w:szCs w:val="16"/>
              </w:rPr>
              <w:t>)</w:t>
            </w:r>
          </w:p>
        </w:tc>
        <w:tc>
          <w:tcPr>
            <w:tcW w:w="1984" w:type="dxa"/>
            <w:tcBorders>
              <w:top w:val="single" w:sz="4" w:space="0" w:color="auto"/>
            </w:tcBorders>
            <w:shd w:val="clear" w:color="auto" w:fill="D9D9D9" w:themeFill="background1" w:themeFillShade="D9"/>
            <w:vAlign w:val="center"/>
          </w:tcPr>
          <w:p w:rsidR="00BD2E37" w:rsidRPr="00A504AE" w:rsidRDefault="00BD2E37" w:rsidP="00BD2E37">
            <w:pPr>
              <w:ind w:right="694"/>
              <w:jc w:val="right"/>
              <w:rPr>
                <w:rFonts w:ascii="Arial Narrow" w:hAnsi="Arial Narrow"/>
                <w:b/>
                <w:bCs/>
                <w:color w:val="000000"/>
                <w:sz w:val="16"/>
                <w:szCs w:val="16"/>
              </w:rPr>
            </w:pPr>
            <w:r w:rsidRPr="00A504AE">
              <w:rPr>
                <w:rFonts w:ascii="Arial Narrow" w:hAnsi="Arial Narrow"/>
                <w:b/>
                <w:bCs/>
                <w:color w:val="000000"/>
                <w:sz w:val="16"/>
                <w:szCs w:val="16"/>
              </w:rPr>
              <w:t>7.28</w:t>
            </w:r>
            <w:r>
              <w:rPr>
                <w:rFonts w:ascii="Arial Narrow" w:hAnsi="Arial Narrow"/>
                <w:b/>
                <w:bCs/>
                <w:color w:val="000000"/>
                <w:sz w:val="16"/>
                <w:szCs w:val="16"/>
              </w:rPr>
              <w:t>7</w:t>
            </w:r>
          </w:p>
        </w:tc>
        <w:tc>
          <w:tcPr>
            <w:tcW w:w="1843" w:type="dxa"/>
            <w:tcBorders>
              <w:top w:val="single" w:sz="4" w:space="0" w:color="auto"/>
              <w:right w:val="single" w:sz="4" w:space="0" w:color="auto"/>
            </w:tcBorders>
            <w:shd w:val="clear" w:color="auto" w:fill="D9D9D9" w:themeFill="background1" w:themeFillShade="D9"/>
            <w:vAlign w:val="center"/>
          </w:tcPr>
          <w:p w:rsidR="00BD2E37" w:rsidRPr="009761B3" w:rsidRDefault="00BD2E37" w:rsidP="00BD2E37">
            <w:pPr>
              <w:ind w:right="694"/>
              <w:jc w:val="right"/>
              <w:rPr>
                <w:rFonts w:ascii="Arial Narrow" w:hAnsi="Arial Narrow"/>
                <w:b/>
                <w:bCs/>
                <w:color w:val="000000"/>
                <w:sz w:val="16"/>
                <w:szCs w:val="16"/>
              </w:rPr>
            </w:pPr>
            <w:r w:rsidRPr="00A504AE">
              <w:rPr>
                <w:rFonts w:ascii="Arial Narrow" w:hAnsi="Arial Narrow"/>
                <w:b/>
                <w:bCs/>
                <w:color w:val="000000"/>
                <w:sz w:val="16"/>
                <w:szCs w:val="16"/>
              </w:rPr>
              <w:t>7.46</w:t>
            </w:r>
            <w:r w:rsidRPr="009761B3">
              <w:rPr>
                <w:rFonts w:ascii="Arial Narrow" w:hAnsi="Arial Narrow"/>
                <w:b/>
                <w:bCs/>
                <w:color w:val="000000"/>
                <w:sz w:val="16"/>
                <w:szCs w:val="16"/>
              </w:rPr>
              <w:t>2</w:t>
            </w:r>
          </w:p>
        </w:tc>
      </w:tr>
      <w:tr w:rsidR="00BD2E37" w:rsidRPr="006B2DB8" w:rsidTr="00D64DC2">
        <w:trPr>
          <w:cantSplit/>
          <w:jc w:val="center"/>
        </w:trPr>
        <w:tc>
          <w:tcPr>
            <w:tcW w:w="312" w:type="dxa"/>
            <w:tcBorders>
              <w:left w:val="single" w:sz="4" w:space="0" w:color="auto"/>
            </w:tcBorders>
          </w:tcPr>
          <w:p w:rsidR="00BD2E37" w:rsidRPr="006B2DB8" w:rsidRDefault="00BD2E37" w:rsidP="00D64DC2">
            <w:pPr>
              <w:tabs>
                <w:tab w:val="num" w:pos="900"/>
              </w:tabs>
              <w:jc w:val="right"/>
              <w:rPr>
                <w:rFonts w:ascii="Arial Narrow" w:hAnsi="Arial Narrow"/>
                <w:sz w:val="16"/>
                <w:szCs w:val="16"/>
              </w:rPr>
            </w:pPr>
            <w:r w:rsidRPr="006B2DB8">
              <w:rPr>
                <w:rFonts w:ascii="Arial Narrow" w:hAnsi="Arial Narrow"/>
                <w:sz w:val="16"/>
                <w:szCs w:val="16"/>
              </w:rPr>
              <w:t>1</w:t>
            </w:r>
          </w:p>
        </w:tc>
        <w:tc>
          <w:tcPr>
            <w:tcW w:w="4678" w:type="dxa"/>
          </w:tcPr>
          <w:p w:rsidR="00BD2E37" w:rsidRPr="006B2DB8" w:rsidRDefault="00BD2E37" w:rsidP="00D64DC2">
            <w:pPr>
              <w:tabs>
                <w:tab w:val="num" w:pos="900"/>
              </w:tabs>
              <w:rPr>
                <w:rFonts w:ascii="Arial Narrow" w:hAnsi="Arial Narrow"/>
                <w:sz w:val="16"/>
                <w:szCs w:val="16"/>
              </w:rPr>
            </w:pPr>
            <w:r>
              <w:rPr>
                <w:rFonts w:ascii="Arial Narrow" w:hAnsi="Arial Narrow"/>
                <w:sz w:val="16"/>
                <w:szCs w:val="16"/>
              </w:rPr>
              <w:t>Μεταβιβάσεις</w:t>
            </w:r>
            <w:r w:rsidRPr="006B2DB8">
              <w:rPr>
                <w:rFonts w:ascii="Arial Narrow" w:hAnsi="Arial Narrow"/>
                <w:sz w:val="16"/>
                <w:szCs w:val="16"/>
              </w:rPr>
              <w:t xml:space="preserve"> από Τακτικό Προϋπολογισμό</w:t>
            </w:r>
          </w:p>
        </w:tc>
        <w:tc>
          <w:tcPr>
            <w:tcW w:w="1984" w:type="dxa"/>
            <w:vAlign w:val="center"/>
          </w:tcPr>
          <w:p w:rsidR="00BD2E37" w:rsidRPr="00A504AE" w:rsidRDefault="00BD2E37" w:rsidP="00BD2E37">
            <w:pPr>
              <w:ind w:right="694"/>
              <w:jc w:val="right"/>
              <w:rPr>
                <w:rFonts w:ascii="Arial Narrow" w:hAnsi="Arial Narrow"/>
                <w:color w:val="000000"/>
                <w:sz w:val="16"/>
                <w:szCs w:val="16"/>
              </w:rPr>
            </w:pPr>
            <w:r w:rsidRPr="00A504AE">
              <w:rPr>
                <w:rFonts w:ascii="Arial Narrow" w:hAnsi="Arial Narrow"/>
                <w:color w:val="000000"/>
                <w:sz w:val="16"/>
                <w:szCs w:val="16"/>
              </w:rPr>
              <w:t>2.960</w:t>
            </w:r>
          </w:p>
        </w:tc>
        <w:tc>
          <w:tcPr>
            <w:tcW w:w="1843" w:type="dxa"/>
            <w:tcBorders>
              <w:right w:val="single" w:sz="4" w:space="0" w:color="auto"/>
            </w:tcBorders>
            <w:vAlign w:val="center"/>
          </w:tcPr>
          <w:p w:rsidR="00BD2E37" w:rsidRPr="00A504AE" w:rsidRDefault="00BD2E37" w:rsidP="00BD2E37">
            <w:pPr>
              <w:ind w:right="694"/>
              <w:jc w:val="right"/>
              <w:rPr>
                <w:rFonts w:ascii="Arial Narrow" w:hAnsi="Arial Narrow"/>
                <w:color w:val="000000"/>
                <w:sz w:val="16"/>
                <w:szCs w:val="16"/>
              </w:rPr>
            </w:pPr>
            <w:r w:rsidRPr="00A504AE">
              <w:rPr>
                <w:rFonts w:ascii="Arial Narrow" w:hAnsi="Arial Narrow"/>
                <w:color w:val="000000"/>
                <w:sz w:val="16"/>
                <w:szCs w:val="16"/>
              </w:rPr>
              <w:t>2.764</w:t>
            </w:r>
          </w:p>
        </w:tc>
      </w:tr>
      <w:tr w:rsidR="00BD2E37" w:rsidRPr="0012422B" w:rsidTr="00D64DC2">
        <w:trPr>
          <w:cantSplit/>
          <w:jc w:val="center"/>
        </w:trPr>
        <w:tc>
          <w:tcPr>
            <w:tcW w:w="312" w:type="dxa"/>
            <w:tcBorders>
              <w:left w:val="single" w:sz="4" w:space="0" w:color="auto"/>
            </w:tcBorders>
          </w:tcPr>
          <w:p w:rsidR="00BD2E37" w:rsidRPr="0012422B" w:rsidRDefault="00BD2E37" w:rsidP="00D64DC2">
            <w:pPr>
              <w:jc w:val="right"/>
              <w:rPr>
                <w:rFonts w:ascii="Arial Narrow" w:hAnsi="Arial Narrow"/>
                <w:color w:val="000000"/>
                <w:sz w:val="16"/>
                <w:szCs w:val="16"/>
              </w:rPr>
            </w:pPr>
            <w:r w:rsidRPr="0012422B">
              <w:rPr>
                <w:rFonts w:ascii="Arial Narrow" w:hAnsi="Arial Narrow"/>
                <w:color w:val="000000"/>
                <w:sz w:val="16"/>
                <w:szCs w:val="16"/>
              </w:rPr>
              <w:t>2</w:t>
            </w:r>
          </w:p>
        </w:tc>
        <w:tc>
          <w:tcPr>
            <w:tcW w:w="4678" w:type="dxa"/>
          </w:tcPr>
          <w:p w:rsidR="00BD2E37" w:rsidRPr="0012422B" w:rsidRDefault="00BD2E37" w:rsidP="00D64DC2">
            <w:pPr>
              <w:ind w:right="227"/>
              <w:rPr>
                <w:rFonts w:ascii="Arial Narrow" w:hAnsi="Arial Narrow"/>
                <w:color w:val="000000"/>
                <w:sz w:val="16"/>
                <w:szCs w:val="16"/>
              </w:rPr>
            </w:pPr>
            <w:r w:rsidRPr="0012422B">
              <w:rPr>
                <w:rFonts w:ascii="Arial Narrow" w:hAnsi="Arial Narrow"/>
                <w:color w:val="000000"/>
                <w:sz w:val="16"/>
                <w:szCs w:val="16"/>
              </w:rPr>
              <w:t xml:space="preserve">Επιχορηγήσεις από ΠΔΕ </w:t>
            </w:r>
          </w:p>
        </w:tc>
        <w:tc>
          <w:tcPr>
            <w:tcW w:w="1984" w:type="dxa"/>
            <w:vAlign w:val="center"/>
          </w:tcPr>
          <w:p w:rsidR="00BD2E37" w:rsidRPr="00A504AE" w:rsidRDefault="00BD2E37" w:rsidP="00BD2E37">
            <w:pPr>
              <w:ind w:right="694"/>
              <w:jc w:val="right"/>
              <w:rPr>
                <w:rFonts w:ascii="Arial Narrow" w:hAnsi="Arial Narrow"/>
                <w:color w:val="000000"/>
                <w:sz w:val="16"/>
                <w:szCs w:val="16"/>
              </w:rPr>
            </w:pPr>
            <w:r w:rsidRPr="00A504AE">
              <w:rPr>
                <w:rFonts w:ascii="Arial Narrow" w:hAnsi="Arial Narrow"/>
                <w:color w:val="000000"/>
                <w:sz w:val="16"/>
                <w:szCs w:val="16"/>
              </w:rPr>
              <w:t>1.032</w:t>
            </w:r>
          </w:p>
        </w:tc>
        <w:tc>
          <w:tcPr>
            <w:tcW w:w="1843" w:type="dxa"/>
            <w:tcBorders>
              <w:right w:val="single" w:sz="4" w:space="0" w:color="auto"/>
            </w:tcBorders>
            <w:vAlign w:val="center"/>
          </w:tcPr>
          <w:p w:rsidR="00BD2E37" w:rsidRPr="00A504AE" w:rsidRDefault="00BD2E37" w:rsidP="00BD2E37">
            <w:pPr>
              <w:ind w:right="694"/>
              <w:jc w:val="right"/>
              <w:rPr>
                <w:rFonts w:ascii="Arial Narrow" w:hAnsi="Arial Narrow"/>
                <w:color w:val="000000"/>
                <w:sz w:val="16"/>
                <w:szCs w:val="16"/>
              </w:rPr>
            </w:pPr>
            <w:r w:rsidRPr="00A504AE">
              <w:rPr>
                <w:rFonts w:ascii="Arial Narrow" w:hAnsi="Arial Narrow"/>
                <w:color w:val="000000"/>
                <w:sz w:val="16"/>
                <w:szCs w:val="16"/>
              </w:rPr>
              <w:t>1.145</w:t>
            </w:r>
          </w:p>
        </w:tc>
      </w:tr>
      <w:tr w:rsidR="00BD2E37" w:rsidRPr="006B2DB8" w:rsidTr="00D64DC2">
        <w:trPr>
          <w:cantSplit/>
          <w:jc w:val="center"/>
        </w:trPr>
        <w:tc>
          <w:tcPr>
            <w:tcW w:w="312" w:type="dxa"/>
            <w:tcBorders>
              <w:left w:val="single" w:sz="4" w:space="0" w:color="auto"/>
            </w:tcBorders>
          </w:tcPr>
          <w:p w:rsidR="00BD2E37" w:rsidRPr="006B2DB8" w:rsidRDefault="00BD2E37" w:rsidP="00D64DC2">
            <w:pPr>
              <w:tabs>
                <w:tab w:val="num" w:pos="900"/>
              </w:tabs>
              <w:jc w:val="right"/>
              <w:rPr>
                <w:rFonts w:ascii="Arial Narrow" w:hAnsi="Arial Narrow"/>
                <w:sz w:val="16"/>
                <w:szCs w:val="16"/>
              </w:rPr>
            </w:pPr>
            <w:r w:rsidRPr="006B2DB8">
              <w:rPr>
                <w:rFonts w:ascii="Arial Narrow" w:hAnsi="Arial Narrow"/>
                <w:sz w:val="16"/>
                <w:szCs w:val="16"/>
              </w:rPr>
              <w:t>3</w:t>
            </w:r>
          </w:p>
        </w:tc>
        <w:tc>
          <w:tcPr>
            <w:tcW w:w="4678" w:type="dxa"/>
          </w:tcPr>
          <w:p w:rsidR="00BD2E37" w:rsidRPr="006B2DB8" w:rsidRDefault="00BD2E37" w:rsidP="00D64DC2">
            <w:pPr>
              <w:tabs>
                <w:tab w:val="num" w:pos="900"/>
              </w:tabs>
              <w:rPr>
                <w:rFonts w:ascii="Arial Narrow" w:hAnsi="Arial Narrow"/>
                <w:sz w:val="16"/>
                <w:szCs w:val="16"/>
              </w:rPr>
            </w:pPr>
            <w:r w:rsidRPr="006B2DB8">
              <w:rPr>
                <w:rFonts w:ascii="Arial Narrow" w:hAnsi="Arial Narrow"/>
                <w:sz w:val="16"/>
                <w:szCs w:val="16"/>
              </w:rPr>
              <w:t>Τόκοι</w:t>
            </w:r>
          </w:p>
        </w:tc>
        <w:tc>
          <w:tcPr>
            <w:tcW w:w="1984" w:type="dxa"/>
            <w:vAlign w:val="center"/>
          </w:tcPr>
          <w:p w:rsidR="00BD2E37" w:rsidRPr="00A504AE" w:rsidRDefault="00BD2E37" w:rsidP="00BD2E37">
            <w:pPr>
              <w:ind w:right="694"/>
              <w:jc w:val="right"/>
              <w:rPr>
                <w:rFonts w:ascii="Arial Narrow" w:hAnsi="Arial Narrow"/>
                <w:color w:val="000000"/>
                <w:sz w:val="16"/>
                <w:szCs w:val="16"/>
              </w:rPr>
            </w:pPr>
            <w:r w:rsidRPr="00A504AE">
              <w:rPr>
                <w:rFonts w:ascii="Arial Narrow" w:hAnsi="Arial Narrow"/>
                <w:color w:val="000000"/>
                <w:sz w:val="16"/>
                <w:szCs w:val="16"/>
              </w:rPr>
              <w:t>44</w:t>
            </w:r>
          </w:p>
        </w:tc>
        <w:tc>
          <w:tcPr>
            <w:tcW w:w="1843" w:type="dxa"/>
            <w:tcBorders>
              <w:right w:val="single" w:sz="4" w:space="0" w:color="auto"/>
            </w:tcBorders>
            <w:vAlign w:val="center"/>
          </w:tcPr>
          <w:p w:rsidR="00BD2E37" w:rsidRPr="00A504AE" w:rsidRDefault="00BD2E37" w:rsidP="00BD2E37">
            <w:pPr>
              <w:ind w:right="694"/>
              <w:jc w:val="right"/>
              <w:rPr>
                <w:rFonts w:ascii="Arial Narrow" w:hAnsi="Arial Narrow"/>
                <w:color w:val="000000"/>
                <w:sz w:val="16"/>
                <w:szCs w:val="16"/>
              </w:rPr>
            </w:pPr>
            <w:r w:rsidRPr="00A504AE">
              <w:rPr>
                <w:rFonts w:ascii="Arial Narrow" w:hAnsi="Arial Narrow"/>
                <w:color w:val="000000"/>
                <w:sz w:val="16"/>
                <w:szCs w:val="16"/>
              </w:rPr>
              <w:t>50</w:t>
            </w:r>
          </w:p>
        </w:tc>
      </w:tr>
      <w:tr w:rsidR="00BD2E37" w:rsidRPr="006B2DB8" w:rsidTr="00D64DC2">
        <w:trPr>
          <w:cantSplit/>
          <w:jc w:val="center"/>
        </w:trPr>
        <w:tc>
          <w:tcPr>
            <w:tcW w:w="312" w:type="dxa"/>
            <w:tcBorders>
              <w:left w:val="single" w:sz="4" w:space="0" w:color="auto"/>
            </w:tcBorders>
          </w:tcPr>
          <w:p w:rsidR="00BD2E37" w:rsidRPr="006B2DB8" w:rsidRDefault="00BD2E37" w:rsidP="00D64DC2">
            <w:pPr>
              <w:tabs>
                <w:tab w:val="num" w:pos="900"/>
              </w:tabs>
              <w:jc w:val="right"/>
              <w:rPr>
                <w:rFonts w:ascii="Arial Narrow" w:hAnsi="Arial Narrow"/>
                <w:sz w:val="16"/>
                <w:szCs w:val="16"/>
              </w:rPr>
            </w:pPr>
            <w:r w:rsidRPr="006B2DB8">
              <w:rPr>
                <w:rFonts w:ascii="Arial Narrow" w:hAnsi="Arial Narrow"/>
                <w:sz w:val="16"/>
                <w:szCs w:val="16"/>
              </w:rPr>
              <w:t>4</w:t>
            </w:r>
          </w:p>
        </w:tc>
        <w:tc>
          <w:tcPr>
            <w:tcW w:w="4678" w:type="dxa"/>
          </w:tcPr>
          <w:p w:rsidR="00BD2E37" w:rsidRPr="006B2DB8" w:rsidRDefault="00BD2E37" w:rsidP="00D64DC2">
            <w:pPr>
              <w:tabs>
                <w:tab w:val="num" w:pos="900"/>
              </w:tabs>
              <w:rPr>
                <w:rFonts w:ascii="Arial Narrow" w:hAnsi="Arial Narrow"/>
                <w:sz w:val="16"/>
                <w:szCs w:val="16"/>
              </w:rPr>
            </w:pPr>
            <w:r w:rsidRPr="006B2DB8">
              <w:rPr>
                <w:rFonts w:ascii="Arial Narrow" w:hAnsi="Arial Narrow"/>
                <w:sz w:val="16"/>
                <w:szCs w:val="16"/>
              </w:rPr>
              <w:t>Έσοδα από προγράμματα της ΕΕ</w:t>
            </w:r>
          </w:p>
        </w:tc>
        <w:tc>
          <w:tcPr>
            <w:tcW w:w="1984" w:type="dxa"/>
            <w:vAlign w:val="center"/>
          </w:tcPr>
          <w:p w:rsidR="00BD2E37" w:rsidRPr="00A504AE" w:rsidRDefault="00BD2E37" w:rsidP="00BD2E37">
            <w:pPr>
              <w:ind w:right="694"/>
              <w:jc w:val="right"/>
              <w:rPr>
                <w:rFonts w:ascii="Arial Narrow" w:hAnsi="Arial Narrow"/>
                <w:color w:val="000000"/>
                <w:sz w:val="16"/>
                <w:szCs w:val="16"/>
              </w:rPr>
            </w:pPr>
            <w:r w:rsidRPr="00A504AE">
              <w:rPr>
                <w:rFonts w:ascii="Arial Narrow" w:hAnsi="Arial Narrow"/>
                <w:color w:val="000000"/>
                <w:sz w:val="16"/>
                <w:szCs w:val="16"/>
              </w:rPr>
              <w:t>33</w:t>
            </w:r>
          </w:p>
        </w:tc>
        <w:tc>
          <w:tcPr>
            <w:tcW w:w="1843" w:type="dxa"/>
            <w:tcBorders>
              <w:right w:val="single" w:sz="4" w:space="0" w:color="auto"/>
            </w:tcBorders>
            <w:vAlign w:val="center"/>
          </w:tcPr>
          <w:p w:rsidR="00BD2E37" w:rsidRPr="00A504AE" w:rsidRDefault="00BD2E37" w:rsidP="00BD2E37">
            <w:pPr>
              <w:ind w:right="694"/>
              <w:jc w:val="right"/>
              <w:rPr>
                <w:rFonts w:ascii="Arial Narrow" w:hAnsi="Arial Narrow"/>
                <w:color w:val="000000"/>
                <w:sz w:val="16"/>
                <w:szCs w:val="16"/>
              </w:rPr>
            </w:pPr>
            <w:r w:rsidRPr="00A504AE">
              <w:rPr>
                <w:rFonts w:ascii="Arial Narrow" w:hAnsi="Arial Narrow"/>
                <w:color w:val="000000"/>
                <w:sz w:val="16"/>
                <w:szCs w:val="16"/>
              </w:rPr>
              <w:t>33</w:t>
            </w:r>
          </w:p>
        </w:tc>
      </w:tr>
      <w:tr w:rsidR="00BD2E37" w:rsidRPr="006B2DB8" w:rsidTr="00D64DC2">
        <w:trPr>
          <w:cantSplit/>
          <w:jc w:val="center"/>
        </w:trPr>
        <w:tc>
          <w:tcPr>
            <w:tcW w:w="312" w:type="dxa"/>
            <w:tcBorders>
              <w:left w:val="single" w:sz="4" w:space="0" w:color="auto"/>
            </w:tcBorders>
            <w:shd w:val="clear" w:color="auto" w:fill="FFFFFF"/>
          </w:tcPr>
          <w:p w:rsidR="00BD2E37" w:rsidRPr="006B2DB8" w:rsidRDefault="00BD2E37" w:rsidP="00D64DC2">
            <w:pPr>
              <w:tabs>
                <w:tab w:val="num" w:pos="900"/>
              </w:tabs>
              <w:jc w:val="right"/>
              <w:rPr>
                <w:rFonts w:ascii="Arial Narrow" w:hAnsi="Arial Narrow"/>
                <w:sz w:val="16"/>
                <w:szCs w:val="16"/>
              </w:rPr>
            </w:pPr>
            <w:r w:rsidRPr="006B2DB8">
              <w:rPr>
                <w:rFonts w:ascii="Arial Narrow" w:hAnsi="Arial Narrow"/>
                <w:sz w:val="16"/>
                <w:szCs w:val="16"/>
              </w:rPr>
              <w:t>5</w:t>
            </w:r>
          </w:p>
        </w:tc>
        <w:tc>
          <w:tcPr>
            <w:tcW w:w="4678" w:type="dxa"/>
            <w:shd w:val="clear" w:color="auto" w:fill="FFFFFF"/>
          </w:tcPr>
          <w:p w:rsidR="00BD2E37" w:rsidRPr="006B2DB8" w:rsidRDefault="00BD2E37" w:rsidP="00D64DC2">
            <w:pPr>
              <w:tabs>
                <w:tab w:val="num" w:pos="900"/>
              </w:tabs>
              <w:rPr>
                <w:rFonts w:ascii="Arial Narrow" w:hAnsi="Arial Narrow"/>
                <w:sz w:val="16"/>
                <w:szCs w:val="16"/>
              </w:rPr>
            </w:pPr>
            <w:r w:rsidRPr="006B2DB8">
              <w:rPr>
                <w:rFonts w:ascii="Arial Narrow" w:hAnsi="Arial Narrow"/>
                <w:sz w:val="16"/>
                <w:szCs w:val="16"/>
              </w:rPr>
              <w:t>Λοιπά έσοδα</w:t>
            </w:r>
          </w:p>
        </w:tc>
        <w:tc>
          <w:tcPr>
            <w:tcW w:w="1984" w:type="dxa"/>
            <w:shd w:val="clear" w:color="auto" w:fill="FFFFFF"/>
            <w:vAlign w:val="center"/>
          </w:tcPr>
          <w:p w:rsidR="00BD2E37" w:rsidRPr="00A504AE" w:rsidRDefault="00BD2E37" w:rsidP="00BD2E37">
            <w:pPr>
              <w:ind w:right="694"/>
              <w:jc w:val="right"/>
              <w:rPr>
                <w:rFonts w:ascii="Arial Narrow" w:hAnsi="Arial Narrow"/>
                <w:color w:val="000000"/>
                <w:sz w:val="16"/>
                <w:szCs w:val="16"/>
              </w:rPr>
            </w:pPr>
            <w:r w:rsidRPr="00A504AE">
              <w:rPr>
                <w:rFonts w:ascii="Arial Narrow" w:hAnsi="Arial Narrow"/>
                <w:color w:val="000000"/>
                <w:sz w:val="16"/>
                <w:szCs w:val="16"/>
              </w:rPr>
              <w:t>2.297</w:t>
            </w:r>
          </w:p>
        </w:tc>
        <w:tc>
          <w:tcPr>
            <w:tcW w:w="1843" w:type="dxa"/>
            <w:tcBorders>
              <w:right w:val="single" w:sz="4" w:space="0" w:color="auto"/>
            </w:tcBorders>
            <w:shd w:val="clear" w:color="auto" w:fill="FFFFFF"/>
            <w:vAlign w:val="center"/>
          </w:tcPr>
          <w:p w:rsidR="00BD2E37" w:rsidRPr="00A504AE" w:rsidRDefault="00BD2E37" w:rsidP="00BD2E37">
            <w:pPr>
              <w:ind w:right="694"/>
              <w:jc w:val="right"/>
              <w:rPr>
                <w:rFonts w:ascii="Arial Narrow" w:hAnsi="Arial Narrow"/>
                <w:color w:val="000000"/>
                <w:sz w:val="16"/>
                <w:szCs w:val="16"/>
              </w:rPr>
            </w:pPr>
            <w:r w:rsidRPr="00A504AE">
              <w:rPr>
                <w:rFonts w:ascii="Arial Narrow" w:hAnsi="Arial Narrow"/>
                <w:color w:val="000000"/>
                <w:sz w:val="16"/>
                <w:szCs w:val="16"/>
              </w:rPr>
              <w:t>2.532</w:t>
            </w:r>
          </w:p>
        </w:tc>
      </w:tr>
      <w:tr w:rsidR="00BD2E37" w:rsidRPr="006B2DB8" w:rsidTr="00D64DC2">
        <w:trPr>
          <w:cantSplit/>
          <w:jc w:val="center"/>
        </w:trPr>
        <w:tc>
          <w:tcPr>
            <w:tcW w:w="312" w:type="dxa"/>
            <w:tcBorders>
              <w:left w:val="single" w:sz="4" w:space="0" w:color="auto"/>
            </w:tcBorders>
            <w:shd w:val="clear" w:color="auto" w:fill="FFFFFF"/>
          </w:tcPr>
          <w:p w:rsidR="00BD2E37" w:rsidRPr="006B2DB8" w:rsidRDefault="00BD2E37" w:rsidP="00D64DC2">
            <w:pPr>
              <w:tabs>
                <w:tab w:val="num" w:pos="900"/>
              </w:tabs>
              <w:jc w:val="right"/>
              <w:rPr>
                <w:rFonts w:ascii="Arial Narrow" w:hAnsi="Arial Narrow"/>
                <w:i/>
                <w:sz w:val="16"/>
                <w:szCs w:val="16"/>
              </w:rPr>
            </w:pPr>
          </w:p>
        </w:tc>
        <w:tc>
          <w:tcPr>
            <w:tcW w:w="4678" w:type="dxa"/>
            <w:shd w:val="clear" w:color="auto" w:fill="FFFFFF"/>
          </w:tcPr>
          <w:p w:rsidR="00BD2E37" w:rsidRPr="006B2DB8" w:rsidRDefault="00BD2E37" w:rsidP="00D64DC2">
            <w:pPr>
              <w:tabs>
                <w:tab w:val="num" w:pos="176"/>
              </w:tabs>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Έσοδα από ανταποδοτικά τέλη και δικαιώματα</w:t>
            </w:r>
          </w:p>
        </w:tc>
        <w:tc>
          <w:tcPr>
            <w:tcW w:w="1984" w:type="dxa"/>
            <w:shd w:val="clear" w:color="auto" w:fill="FFFFFF"/>
            <w:vAlign w:val="center"/>
          </w:tcPr>
          <w:p w:rsidR="00BD2E37" w:rsidRPr="00A504AE" w:rsidRDefault="00BD2E37" w:rsidP="00BD2E37">
            <w:pPr>
              <w:ind w:right="694"/>
              <w:jc w:val="right"/>
              <w:rPr>
                <w:rFonts w:ascii="Arial Narrow" w:hAnsi="Arial Narrow"/>
                <w:i/>
                <w:iCs/>
                <w:color w:val="000000"/>
                <w:sz w:val="16"/>
                <w:szCs w:val="16"/>
              </w:rPr>
            </w:pPr>
            <w:r w:rsidRPr="00A504AE">
              <w:rPr>
                <w:rFonts w:ascii="Arial Narrow" w:hAnsi="Arial Narrow"/>
                <w:i/>
                <w:iCs/>
                <w:color w:val="000000"/>
                <w:sz w:val="16"/>
                <w:szCs w:val="16"/>
              </w:rPr>
              <w:t>1.009</w:t>
            </w:r>
          </w:p>
        </w:tc>
        <w:tc>
          <w:tcPr>
            <w:tcW w:w="1843" w:type="dxa"/>
            <w:tcBorders>
              <w:right w:val="single" w:sz="4" w:space="0" w:color="auto"/>
            </w:tcBorders>
            <w:shd w:val="clear" w:color="auto" w:fill="FFFFFF"/>
            <w:vAlign w:val="center"/>
          </w:tcPr>
          <w:p w:rsidR="00BD2E37" w:rsidRPr="00A504AE" w:rsidRDefault="00BD2E37" w:rsidP="00BD2E37">
            <w:pPr>
              <w:ind w:right="694"/>
              <w:jc w:val="right"/>
              <w:rPr>
                <w:rFonts w:ascii="Arial Narrow" w:hAnsi="Arial Narrow"/>
                <w:i/>
                <w:iCs/>
                <w:color w:val="000000"/>
                <w:sz w:val="16"/>
                <w:szCs w:val="16"/>
              </w:rPr>
            </w:pPr>
            <w:r w:rsidRPr="00A504AE">
              <w:rPr>
                <w:rFonts w:ascii="Arial Narrow" w:hAnsi="Arial Narrow"/>
                <w:i/>
                <w:iCs/>
                <w:color w:val="000000"/>
                <w:sz w:val="16"/>
                <w:szCs w:val="16"/>
              </w:rPr>
              <w:t>1.128</w:t>
            </w:r>
          </w:p>
        </w:tc>
      </w:tr>
      <w:tr w:rsidR="00BD2E37" w:rsidRPr="006B2DB8" w:rsidTr="00D64DC2">
        <w:trPr>
          <w:cantSplit/>
          <w:jc w:val="center"/>
        </w:trPr>
        <w:tc>
          <w:tcPr>
            <w:tcW w:w="312" w:type="dxa"/>
            <w:tcBorders>
              <w:left w:val="single" w:sz="4" w:space="0" w:color="auto"/>
            </w:tcBorders>
            <w:shd w:val="clear" w:color="auto" w:fill="FFFFFF"/>
          </w:tcPr>
          <w:p w:rsidR="00BD2E37" w:rsidRPr="006B2DB8" w:rsidRDefault="00BD2E37" w:rsidP="00D64DC2">
            <w:pPr>
              <w:tabs>
                <w:tab w:val="num" w:pos="900"/>
              </w:tabs>
              <w:jc w:val="right"/>
              <w:rPr>
                <w:rFonts w:ascii="Arial Narrow" w:hAnsi="Arial Narrow"/>
                <w:i/>
                <w:sz w:val="16"/>
                <w:szCs w:val="16"/>
              </w:rPr>
            </w:pPr>
          </w:p>
        </w:tc>
        <w:tc>
          <w:tcPr>
            <w:tcW w:w="4678" w:type="dxa"/>
            <w:shd w:val="clear" w:color="auto" w:fill="FFFFFF"/>
          </w:tcPr>
          <w:p w:rsidR="00BD2E37" w:rsidRPr="006B2DB8" w:rsidRDefault="00BD2E37" w:rsidP="00D64DC2">
            <w:pPr>
              <w:tabs>
                <w:tab w:val="num" w:pos="176"/>
              </w:tabs>
              <w:ind w:left="176" w:hanging="176"/>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Έσοδα από φόρους, λοιπά τέλη, δικαιώματα και παροχή υπηρεσιών</w:t>
            </w:r>
          </w:p>
        </w:tc>
        <w:tc>
          <w:tcPr>
            <w:tcW w:w="1984" w:type="dxa"/>
            <w:shd w:val="clear" w:color="auto" w:fill="FFFFFF"/>
            <w:vAlign w:val="center"/>
          </w:tcPr>
          <w:p w:rsidR="00BD2E37" w:rsidRPr="00A504AE" w:rsidRDefault="00BD2E37" w:rsidP="00BD2E37">
            <w:pPr>
              <w:ind w:right="694"/>
              <w:jc w:val="right"/>
              <w:rPr>
                <w:rFonts w:ascii="Arial Narrow" w:hAnsi="Arial Narrow"/>
                <w:i/>
                <w:iCs/>
                <w:color w:val="000000"/>
                <w:sz w:val="16"/>
                <w:szCs w:val="16"/>
              </w:rPr>
            </w:pPr>
            <w:r w:rsidRPr="00A504AE">
              <w:rPr>
                <w:rFonts w:ascii="Arial Narrow" w:hAnsi="Arial Narrow"/>
                <w:i/>
                <w:iCs/>
                <w:color w:val="000000"/>
                <w:sz w:val="16"/>
                <w:szCs w:val="16"/>
              </w:rPr>
              <w:t>429</w:t>
            </w:r>
          </w:p>
        </w:tc>
        <w:tc>
          <w:tcPr>
            <w:tcW w:w="1843" w:type="dxa"/>
            <w:tcBorders>
              <w:right w:val="single" w:sz="4" w:space="0" w:color="auto"/>
            </w:tcBorders>
            <w:shd w:val="clear" w:color="auto" w:fill="FFFFFF"/>
            <w:vAlign w:val="center"/>
          </w:tcPr>
          <w:p w:rsidR="00BD2E37" w:rsidRPr="00A504AE" w:rsidRDefault="00BD2E37" w:rsidP="00BD2E37">
            <w:pPr>
              <w:ind w:right="694"/>
              <w:jc w:val="right"/>
              <w:rPr>
                <w:rFonts w:ascii="Arial Narrow" w:hAnsi="Arial Narrow"/>
                <w:i/>
                <w:iCs/>
                <w:color w:val="000000"/>
                <w:sz w:val="16"/>
                <w:szCs w:val="16"/>
              </w:rPr>
            </w:pPr>
            <w:r w:rsidRPr="00A504AE">
              <w:rPr>
                <w:rFonts w:ascii="Arial Narrow" w:hAnsi="Arial Narrow"/>
                <w:i/>
                <w:iCs/>
                <w:color w:val="000000"/>
                <w:sz w:val="16"/>
                <w:szCs w:val="16"/>
              </w:rPr>
              <w:t>500</w:t>
            </w:r>
          </w:p>
        </w:tc>
      </w:tr>
      <w:tr w:rsidR="00BD2E37" w:rsidRPr="006B2DB8" w:rsidTr="00D64DC2">
        <w:trPr>
          <w:cantSplit/>
          <w:jc w:val="center"/>
        </w:trPr>
        <w:tc>
          <w:tcPr>
            <w:tcW w:w="312" w:type="dxa"/>
            <w:tcBorders>
              <w:left w:val="single" w:sz="4" w:space="0" w:color="auto"/>
            </w:tcBorders>
            <w:shd w:val="clear" w:color="auto" w:fill="FFFFFF"/>
          </w:tcPr>
          <w:p w:rsidR="00BD2E37" w:rsidRPr="006B2DB8" w:rsidRDefault="00BD2E37" w:rsidP="00D64DC2">
            <w:pPr>
              <w:tabs>
                <w:tab w:val="num" w:pos="900"/>
              </w:tabs>
              <w:jc w:val="right"/>
              <w:rPr>
                <w:rFonts w:ascii="Arial Narrow" w:hAnsi="Arial Narrow"/>
                <w:i/>
                <w:sz w:val="16"/>
                <w:szCs w:val="16"/>
              </w:rPr>
            </w:pPr>
          </w:p>
        </w:tc>
        <w:tc>
          <w:tcPr>
            <w:tcW w:w="4678" w:type="dxa"/>
            <w:shd w:val="clear" w:color="auto" w:fill="FFFFFF"/>
          </w:tcPr>
          <w:p w:rsidR="00BD2E37" w:rsidRPr="006B2DB8" w:rsidRDefault="00BD2E37" w:rsidP="00D64DC2">
            <w:pPr>
              <w:tabs>
                <w:tab w:val="num" w:pos="176"/>
              </w:tabs>
              <w:ind w:left="176" w:hanging="176"/>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Λοιπά ίδια έσοδα</w:t>
            </w:r>
          </w:p>
        </w:tc>
        <w:tc>
          <w:tcPr>
            <w:tcW w:w="1984" w:type="dxa"/>
            <w:shd w:val="clear" w:color="auto" w:fill="FFFFFF"/>
            <w:vAlign w:val="center"/>
          </w:tcPr>
          <w:p w:rsidR="00BD2E37" w:rsidRPr="00A504AE" w:rsidRDefault="00BD2E37" w:rsidP="00BD2E37">
            <w:pPr>
              <w:ind w:right="694"/>
              <w:jc w:val="right"/>
              <w:rPr>
                <w:rFonts w:ascii="Arial Narrow" w:hAnsi="Arial Narrow"/>
                <w:i/>
                <w:iCs/>
                <w:color w:val="000000"/>
                <w:sz w:val="16"/>
                <w:szCs w:val="16"/>
              </w:rPr>
            </w:pPr>
            <w:r w:rsidRPr="00A504AE">
              <w:rPr>
                <w:rFonts w:ascii="Arial Narrow" w:hAnsi="Arial Narrow"/>
                <w:i/>
                <w:iCs/>
                <w:color w:val="000000"/>
                <w:sz w:val="16"/>
                <w:szCs w:val="16"/>
              </w:rPr>
              <w:t>347</w:t>
            </w:r>
          </w:p>
        </w:tc>
        <w:tc>
          <w:tcPr>
            <w:tcW w:w="1843" w:type="dxa"/>
            <w:tcBorders>
              <w:right w:val="single" w:sz="4" w:space="0" w:color="auto"/>
            </w:tcBorders>
            <w:shd w:val="clear" w:color="auto" w:fill="FFFFFF"/>
            <w:vAlign w:val="center"/>
          </w:tcPr>
          <w:p w:rsidR="00BD2E37" w:rsidRPr="00A504AE" w:rsidRDefault="00BD2E37" w:rsidP="00BD2E37">
            <w:pPr>
              <w:ind w:right="694"/>
              <w:jc w:val="right"/>
              <w:rPr>
                <w:rFonts w:ascii="Arial Narrow" w:hAnsi="Arial Narrow"/>
                <w:i/>
                <w:iCs/>
                <w:color w:val="000000"/>
                <w:sz w:val="16"/>
                <w:szCs w:val="16"/>
              </w:rPr>
            </w:pPr>
            <w:r w:rsidRPr="00A504AE">
              <w:rPr>
                <w:rFonts w:ascii="Arial Narrow" w:hAnsi="Arial Narrow"/>
                <w:i/>
                <w:iCs/>
                <w:color w:val="000000"/>
                <w:sz w:val="16"/>
                <w:szCs w:val="16"/>
              </w:rPr>
              <w:t>353</w:t>
            </w:r>
          </w:p>
        </w:tc>
      </w:tr>
      <w:tr w:rsidR="00BD2E37" w:rsidRPr="006B2DB8" w:rsidTr="00D64DC2">
        <w:trPr>
          <w:cantSplit/>
          <w:jc w:val="center"/>
        </w:trPr>
        <w:tc>
          <w:tcPr>
            <w:tcW w:w="312" w:type="dxa"/>
            <w:tcBorders>
              <w:left w:val="single" w:sz="4" w:space="0" w:color="auto"/>
            </w:tcBorders>
            <w:shd w:val="clear" w:color="auto" w:fill="FFFFFF"/>
          </w:tcPr>
          <w:p w:rsidR="00BD2E37" w:rsidRPr="006B2DB8" w:rsidRDefault="00BD2E37" w:rsidP="00D64DC2">
            <w:pPr>
              <w:tabs>
                <w:tab w:val="num" w:pos="900"/>
              </w:tabs>
              <w:jc w:val="right"/>
              <w:rPr>
                <w:rFonts w:ascii="Arial Narrow" w:hAnsi="Arial Narrow"/>
                <w:i/>
                <w:sz w:val="16"/>
                <w:szCs w:val="16"/>
              </w:rPr>
            </w:pPr>
          </w:p>
        </w:tc>
        <w:tc>
          <w:tcPr>
            <w:tcW w:w="4678" w:type="dxa"/>
            <w:shd w:val="clear" w:color="auto" w:fill="FFFFFF"/>
          </w:tcPr>
          <w:p w:rsidR="00BD2E37" w:rsidRPr="006B2DB8" w:rsidRDefault="00BD2E37" w:rsidP="00D64DC2">
            <w:pPr>
              <w:tabs>
                <w:tab w:val="num" w:pos="176"/>
              </w:tabs>
              <w:ind w:left="176" w:hanging="176"/>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Έσοδα ΠΟΕ</w:t>
            </w:r>
          </w:p>
        </w:tc>
        <w:tc>
          <w:tcPr>
            <w:tcW w:w="1984" w:type="dxa"/>
            <w:shd w:val="clear" w:color="auto" w:fill="FFFFFF"/>
            <w:vAlign w:val="center"/>
          </w:tcPr>
          <w:p w:rsidR="00BD2E37" w:rsidRPr="00A504AE" w:rsidRDefault="00BD2E37" w:rsidP="00BD2E37">
            <w:pPr>
              <w:ind w:right="694"/>
              <w:jc w:val="right"/>
              <w:rPr>
                <w:rFonts w:ascii="Arial Narrow" w:hAnsi="Arial Narrow"/>
                <w:i/>
                <w:iCs/>
                <w:color w:val="000000"/>
                <w:sz w:val="16"/>
                <w:szCs w:val="16"/>
              </w:rPr>
            </w:pPr>
            <w:r w:rsidRPr="00A504AE">
              <w:rPr>
                <w:rFonts w:ascii="Arial Narrow" w:hAnsi="Arial Narrow"/>
                <w:i/>
                <w:iCs/>
                <w:color w:val="000000"/>
                <w:sz w:val="16"/>
                <w:szCs w:val="16"/>
              </w:rPr>
              <w:t>512</w:t>
            </w:r>
          </w:p>
        </w:tc>
        <w:tc>
          <w:tcPr>
            <w:tcW w:w="1843" w:type="dxa"/>
            <w:tcBorders>
              <w:right w:val="single" w:sz="4" w:space="0" w:color="auto"/>
            </w:tcBorders>
            <w:shd w:val="clear" w:color="auto" w:fill="FFFFFF"/>
            <w:vAlign w:val="center"/>
          </w:tcPr>
          <w:p w:rsidR="00BD2E37" w:rsidRPr="00A504AE" w:rsidRDefault="00BD2E37" w:rsidP="00BD2E37">
            <w:pPr>
              <w:ind w:right="694"/>
              <w:jc w:val="right"/>
              <w:rPr>
                <w:rFonts w:ascii="Arial Narrow" w:hAnsi="Arial Narrow"/>
                <w:i/>
                <w:iCs/>
                <w:color w:val="000000"/>
                <w:sz w:val="16"/>
                <w:szCs w:val="16"/>
              </w:rPr>
            </w:pPr>
            <w:r w:rsidRPr="00A504AE">
              <w:rPr>
                <w:rFonts w:ascii="Arial Narrow" w:hAnsi="Arial Narrow"/>
                <w:i/>
                <w:iCs/>
                <w:color w:val="000000"/>
                <w:sz w:val="16"/>
                <w:szCs w:val="16"/>
              </w:rPr>
              <w:t>551</w:t>
            </w:r>
          </w:p>
        </w:tc>
      </w:tr>
      <w:tr w:rsidR="00BD2E37" w:rsidRPr="006B2DB8" w:rsidTr="00D64DC2">
        <w:trPr>
          <w:cantSplit/>
          <w:jc w:val="center"/>
        </w:trPr>
        <w:tc>
          <w:tcPr>
            <w:tcW w:w="312" w:type="dxa"/>
            <w:tcBorders>
              <w:left w:val="single" w:sz="4" w:space="0" w:color="auto"/>
            </w:tcBorders>
            <w:shd w:val="clear" w:color="auto" w:fill="FFFFFF"/>
          </w:tcPr>
          <w:p w:rsidR="00BD2E37" w:rsidRPr="006B2DB8" w:rsidRDefault="00BD2E37" w:rsidP="00D64DC2">
            <w:pPr>
              <w:tabs>
                <w:tab w:val="num" w:pos="900"/>
              </w:tabs>
              <w:jc w:val="right"/>
              <w:rPr>
                <w:rFonts w:ascii="Arial Narrow" w:hAnsi="Arial Narrow"/>
                <w:sz w:val="16"/>
                <w:szCs w:val="16"/>
              </w:rPr>
            </w:pPr>
            <w:r w:rsidRPr="006B2DB8">
              <w:rPr>
                <w:rFonts w:ascii="Arial Narrow" w:hAnsi="Arial Narrow"/>
                <w:sz w:val="16"/>
                <w:szCs w:val="16"/>
              </w:rPr>
              <w:t>6</w:t>
            </w:r>
          </w:p>
        </w:tc>
        <w:tc>
          <w:tcPr>
            <w:tcW w:w="4678" w:type="dxa"/>
            <w:shd w:val="clear" w:color="auto" w:fill="FFFFFF"/>
          </w:tcPr>
          <w:p w:rsidR="00BD2E37" w:rsidRPr="006B2DB8" w:rsidRDefault="00BD2E37" w:rsidP="00D64DC2">
            <w:pPr>
              <w:tabs>
                <w:tab w:val="num" w:pos="176"/>
              </w:tabs>
              <w:ind w:left="176" w:hanging="176"/>
              <w:rPr>
                <w:rFonts w:ascii="Arial Narrow" w:hAnsi="Arial Narrow"/>
                <w:sz w:val="16"/>
                <w:szCs w:val="16"/>
              </w:rPr>
            </w:pPr>
            <w:r w:rsidRPr="006B2DB8">
              <w:rPr>
                <w:rFonts w:ascii="Arial Narrow" w:hAnsi="Arial Narrow"/>
                <w:sz w:val="16"/>
                <w:szCs w:val="16"/>
              </w:rPr>
              <w:t xml:space="preserve">Εισπράξεις υπέρ Δημοσίου και τρίτων </w:t>
            </w:r>
          </w:p>
        </w:tc>
        <w:tc>
          <w:tcPr>
            <w:tcW w:w="1984" w:type="dxa"/>
            <w:shd w:val="clear" w:color="auto" w:fill="FFFFFF"/>
            <w:vAlign w:val="center"/>
          </w:tcPr>
          <w:p w:rsidR="00BD2E37" w:rsidRPr="00A504AE" w:rsidRDefault="00BD2E37" w:rsidP="00BD2E37">
            <w:pPr>
              <w:ind w:right="694"/>
              <w:jc w:val="right"/>
              <w:rPr>
                <w:rFonts w:ascii="Arial Narrow" w:hAnsi="Arial Narrow"/>
                <w:color w:val="000000"/>
                <w:sz w:val="16"/>
                <w:szCs w:val="16"/>
              </w:rPr>
            </w:pPr>
            <w:r w:rsidRPr="00A504AE">
              <w:rPr>
                <w:rFonts w:ascii="Arial Narrow" w:hAnsi="Arial Narrow"/>
                <w:color w:val="000000"/>
                <w:sz w:val="16"/>
                <w:szCs w:val="16"/>
              </w:rPr>
              <w:t>922</w:t>
            </w:r>
          </w:p>
        </w:tc>
        <w:tc>
          <w:tcPr>
            <w:tcW w:w="1843" w:type="dxa"/>
            <w:tcBorders>
              <w:right w:val="single" w:sz="4" w:space="0" w:color="auto"/>
            </w:tcBorders>
            <w:shd w:val="clear" w:color="auto" w:fill="FFFFFF"/>
            <w:vAlign w:val="center"/>
          </w:tcPr>
          <w:p w:rsidR="00BD2E37" w:rsidRPr="00A504AE" w:rsidRDefault="00BD2E37" w:rsidP="00BD2E37">
            <w:pPr>
              <w:ind w:right="694"/>
              <w:jc w:val="right"/>
              <w:rPr>
                <w:rFonts w:ascii="Arial Narrow" w:hAnsi="Arial Narrow"/>
                <w:color w:val="000000"/>
                <w:sz w:val="16"/>
                <w:szCs w:val="16"/>
              </w:rPr>
            </w:pPr>
            <w:r w:rsidRPr="00A504AE">
              <w:rPr>
                <w:rFonts w:ascii="Arial Narrow" w:hAnsi="Arial Narrow"/>
                <w:color w:val="000000"/>
                <w:sz w:val="16"/>
                <w:szCs w:val="16"/>
              </w:rPr>
              <w:t>939</w:t>
            </w:r>
          </w:p>
        </w:tc>
      </w:tr>
      <w:tr w:rsidR="00BD2E37" w:rsidRPr="006B2DB8" w:rsidTr="00D64DC2">
        <w:trPr>
          <w:cantSplit/>
          <w:jc w:val="center"/>
        </w:trPr>
        <w:tc>
          <w:tcPr>
            <w:tcW w:w="312" w:type="dxa"/>
            <w:tcBorders>
              <w:left w:val="single" w:sz="4" w:space="0" w:color="auto"/>
            </w:tcBorders>
            <w:shd w:val="clear" w:color="auto" w:fill="D9D9D9" w:themeFill="background1" w:themeFillShade="D9"/>
          </w:tcPr>
          <w:p w:rsidR="00BD2E37" w:rsidRPr="006B2DB8" w:rsidRDefault="00BD2E37" w:rsidP="00D64DC2">
            <w:pPr>
              <w:tabs>
                <w:tab w:val="num" w:pos="900"/>
              </w:tabs>
              <w:spacing w:before="60" w:after="60"/>
              <w:jc w:val="right"/>
              <w:rPr>
                <w:rFonts w:ascii="Arial Narrow" w:hAnsi="Arial Narrow"/>
                <w:b/>
                <w:sz w:val="16"/>
                <w:szCs w:val="16"/>
              </w:rPr>
            </w:pPr>
            <w:r w:rsidRPr="006B2DB8">
              <w:rPr>
                <w:rFonts w:ascii="Arial Narrow" w:hAnsi="Arial Narrow"/>
                <w:b/>
                <w:sz w:val="16"/>
                <w:szCs w:val="16"/>
              </w:rPr>
              <w:t>Β</w:t>
            </w:r>
          </w:p>
        </w:tc>
        <w:tc>
          <w:tcPr>
            <w:tcW w:w="4678" w:type="dxa"/>
            <w:shd w:val="clear" w:color="auto" w:fill="D9D9D9" w:themeFill="background1" w:themeFillShade="D9"/>
          </w:tcPr>
          <w:p w:rsidR="00BD2E37" w:rsidRPr="006B2DB8" w:rsidRDefault="00D84512" w:rsidP="00D64DC2">
            <w:pPr>
              <w:tabs>
                <w:tab w:val="num" w:pos="900"/>
              </w:tabs>
              <w:spacing w:before="60" w:after="60"/>
              <w:rPr>
                <w:rFonts w:ascii="Arial Narrow" w:hAnsi="Arial Narrow"/>
                <w:b/>
                <w:sz w:val="16"/>
                <w:szCs w:val="16"/>
              </w:rPr>
            </w:pPr>
            <w:r>
              <w:rPr>
                <w:rFonts w:ascii="Arial Narrow" w:hAnsi="Arial Narrow"/>
                <w:b/>
                <w:sz w:val="16"/>
                <w:szCs w:val="16"/>
              </w:rPr>
              <w:t xml:space="preserve">Δαπάνες </w:t>
            </w:r>
            <w:r w:rsidR="00BD2E37">
              <w:rPr>
                <w:rFonts w:ascii="Arial Narrow" w:hAnsi="Arial Narrow"/>
                <w:b/>
                <w:sz w:val="16"/>
                <w:szCs w:val="16"/>
              </w:rPr>
              <w:t>(1+2+3+4+5+6</w:t>
            </w:r>
            <w:r w:rsidR="00BD2E37" w:rsidRPr="006B2DB8">
              <w:rPr>
                <w:rFonts w:ascii="Arial Narrow" w:hAnsi="Arial Narrow"/>
                <w:b/>
                <w:sz w:val="16"/>
                <w:szCs w:val="16"/>
              </w:rPr>
              <w:t>)</w:t>
            </w:r>
          </w:p>
        </w:tc>
        <w:tc>
          <w:tcPr>
            <w:tcW w:w="1984" w:type="dxa"/>
            <w:shd w:val="clear" w:color="auto" w:fill="D9D9D9" w:themeFill="background1" w:themeFillShade="D9"/>
            <w:vAlign w:val="center"/>
          </w:tcPr>
          <w:p w:rsidR="00BD2E37" w:rsidRPr="00A504AE" w:rsidRDefault="00BD2E37" w:rsidP="00BD2E37">
            <w:pPr>
              <w:ind w:right="694"/>
              <w:jc w:val="right"/>
              <w:rPr>
                <w:rFonts w:ascii="Arial Narrow" w:hAnsi="Arial Narrow"/>
                <w:b/>
                <w:bCs/>
                <w:color w:val="000000"/>
                <w:sz w:val="16"/>
                <w:szCs w:val="16"/>
              </w:rPr>
            </w:pPr>
            <w:r w:rsidRPr="00A504AE">
              <w:rPr>
                <w:rFonts w:ascii="Arial Narrow" w:hAnsi="Arial Narrow"/>
                <w:b/>
                <w:bCs/>
                <w:color w:val="000000"/>
                <w:sz w:val="16"/>
                <w:szCs w:val="16"/>
              </w:rPr>
              <w:t>7.322</w:t>
            </w:r>
          </w:p>
        </w:tc>
        <w:tc>
          <w:tcPr>
            <w:tcW w:w="1843" w:type="dxa"/>
            <w:tcBorders>
              <w:right w:val="single" w:sz="4" w:space="0" w:color="auto"/>
            </w:tcBorders>
            <w:shd w:val="clear" w:color="auto" w:fill="D9D9D9" w:themeFill="background1" w:themeFillShade="D9"/>
            <w:vAlign w:val="center"/>
          </w:tcPr>
          <w:p w:rsidR="00BD2E37" w:rsidRPr="00A504AE" w:rsidRDefault="00BD2E37" w:rsidP="00BD2E37">
            <w:pPr>
              <w:ind w:right="694"/>
              <w:jc w:val="right"/>
              <w:rPr>
                <w:rFonts w:ascii="Arial Narrow" w:hAnsi="Arial Narrow"/>
                <w:b/>
                <w:bCs/>
                <w:color w:val="000000"/>
                <w:sz w:val="16"/>
                <w:szCs w:val="16"/>
              </w:rPr>
            </w:pPr>
            <w:r w:rsidRPr="00A504AE">
              <w:rPr>
                <w:rFonts w:ascii="Arial Narrow" w:hAnsi="Arial Narrow"/>
                <w:b/>
                <w:bCs/>
                <w:color w:val="000000"/>
                <w:sz w:val="16"/>
                <w:szCs w:val="16"/>
              </w:rPr>
              <w:t>7.420</w:t>
            </w:r>
          </w:p>
        </w:tc>
      </w:tr>
      <w:tr w:rsidR="00BD2E37" w:rsidRPr="006B2DB8" w:rsidTr="00D64DC2">
        <w:trPr>
          <w:cantSplit/>
          <w:jc w:val="center"/>
        </w:trPr>
        <w:tc>
          <w:tcPr>
            <w:tcW w:w="312" w:type="dxa"/>
            <w:tcBorders>
              <w:left w:val="single" w:sz="4" w:space="0" w:color="auto"/>
            </w:tcBorders>
          </w:tcPr>
          <w:p w:rsidR="00BD2E37" w:rsidRPr="006B2DB8" w:rsidRDefault="00BD2E37" w:rsidP="00D64DC2">
            <w:pPr>
              <w:tabs>
                <w:tab w:val="num" w:pos="900"/>
              </w:tabs>
              <w:jc w:val="right"/>
              <w:rPr>
                <w:rFonts w:ascii="Arial Narrow" w:hAnsi="Arial Narrow"/>
                <w:sz w:val="16"/>
                <w:szCs w:val="16"/>
              </w:rPr>
            </w:pPr>
            <w:r w:rsidRPr="006B2DB8">
              <w:rPr>
                <w:rFonts w:ascii="Arial Narrow" w:hAnsi="Arial Narrow"/>
                <w:sz w:val="16"/>
                <w:szCs w:val="16"/>
              </w:rPr>
              <w:t>1</w:t>
            </w:r>
          </w:p>
        </w:tc>
        <w:tc>
          <w:tcPr>
            <w:tcW w:w="4678" w:type="dxa"/>
          </w:tcPr>
          <w:p w:rsidR="00BD2E37" w:rsidRPr="006B2DB8" w:rsidRDefault="00BD2E37" w:rsidP="00D64DC2">
            <w:pPr>
              <w:tabs>
                <w:tab w:val="num" w:pos="900"/>
              </w:tabs>
              <w:rPr>
                <w:rFonts w:ascii="Arial Narrow" w:hAnsi="Arial Narrow"/>
                <w:sz w:val="16"/>
                <w:szCs w:val="16"/>
              </w:rPr>
            </w:pPr>
            <w:r w:rsidRPr="006B2DB8">
              <w:rPr>
                <w:rFonts w:ascii="Arial Narrow" w:hAnsi="Arial Narrow"/>
                <w:sz w:val="16"/>
                <w:szCs w:val="16"/>
              </w:rPr>
              <w:t>Αμοιβές προσωπικού</w:t>
            </w:r>
          </w:p>
        </w:tc>
        <w:tc>
          <w:tcPr>
            <w:tcW w:w="1984" w:type="dxa"/>
            <w:vAlign w:val="center"/>
          </w:tcPr>
          <w:p w:rsidR="00BD2E37" w:rsidRPr="00A504AE" w:rsidRDefault="00BD2E37" w:rsidP="00BD2E37">
            <w:pPr>
              <w:ind w:right="694"/>
              <w:jc w:val="right"/>
              <w:rPr>
                <w:rFonts w:ascii="Arial Narrow" w:hAnsi="Arial Narrow"/>
                <w:color w:val="000000"/>
                <w:sz w:val="16"/>
                <w:szCs w:val="16"/>
              </w:rPr>
            </w:pPr>
            <w:r w:rsidRPr="00A504AE">
              <w:rPr>
                <w:rFonts w:ascii="Arial Narrow" w:hAnsi="Arial Narrow"/>
                <w:color w:val="000000"/>
                <w:sz w:val="16"/>
                <w:szCs w:val="16"/>
              </w:rPr>
              <w:t>2.558</w:t>
            </w:r>
          </w:p>
        </w:tc>
        <w:tc>
          <w:tcPr>
            <w:tcW w:w="1843" w:type="dxa"/>
            <w:tcBorders>
              <w:right w:val="single" w:sz="4" w:space="0" w:color="auto"/>
            </w:tcBorders>
            <w:vAlign w:val="center"/>
          </w:tcPr>
          <w:p w:rsidR="00BD2E37" w:rsidRPr="00A504AE" w:rsidRDefault="00BD2E37" w:rsidP="00BD2E37">
            <w:pPr>
              <w:ind w:right="694"/>
              <w:jc w:val="right"/>
              <w:rPr>
                <w:rFonts w:ascii="Arial Narrow" w:hAnsi="Arial Narrow"/>
                <w:color w:val="000000"/>
                <w:sz w:val="16"/>
                <w:szCs w:val="16"/>
              </w:rPr>
            </w:pPr>
            <w:r w:rsidRPr="00A504AE">
              <w:rPr>
                <w:rFonts w:ascii="Arial Narrow" w:hAnsi="Arial Narrow"/>
                <w:color w:val="000000"/>
                <w:sz w:val="16"/>
                <w:szCs w:val="16"/>
              </w:rPr>
              <w:t>2.609</w:t>
            </w:r>
          </w:p>
        </w:tc>
      </w:tr>
      <w:tr w:rsidR="00BD2E37" w:rsidRPr="006B2DB8" w:rsidTr="00D64DC2">
        <w:trPr>
          <w:cantSplit/>
          <w:jc w:val="center"/>
        </w:trPr>
        <w:tc>
          <w:tcPr>
            <w:tcW w:w="312" w:type="dxa"/>
            <w:tcBorders>
              <w:left w:val="single" w:sz="4" w:space="0" w:color="auto"/>
            </w:tcBorders>
            <w:shd w:val="clear" w:color="auto" w:fill="FFFFFF"/>
          </w:tcPr>
          <w:p w:rsidR="00BD2E37" w:rsidRPr="006B2DB8" w:rsidRDefault="00BD2E37" w:rsidP="00D64DC2">
            <w:pPr>
              <w:tabs>
                <w:tab w:val="num" w:pos="900"/>
              </w:tabs>
              <w:jc w:val="right"/>
              <w:rPr>
                <w:rFonts w:ascii="Arial Narrow" w:hAnsi="Arial Narrow"/>
                <w:sz w:val="16"/>
                <w:szCs w:val="16"/>
              </w:rPr>
            </w:pPr>
            <w:r w:rsidRPr="006B2DB8">
              <w:rPr>
                <w:rFonts w:ascii="Arial Narrow" w:hAnsi="Arial Narrow"/>
                <w:sz w:val="16"/>
                <w:szCs w:val="16"/>
              </w:rPr>
              <w:t>2</w:t>
            </w:r>
          </w:p>
        </w:tc>
        <w:tc>
          <w:tcPr>
            <w:tcW w:w="4678" w:type="dxa"/>
            <w:shd w:val="clear" w:color="auto" w:fill="FFFFFF"/>
          </w:tcPr>
          <w:p w:rsidR="003661A4" w:rsidRDefault="00BD2E37">
            <w:pPr>
              <w:tabs>
                <w:tab w:val="num" w:pos="900"/>
              </w:tabs>
              <w:rPr>
                <w:rFonts w:ascii="Arial Narrow" w:hAnsi="Arial Narrow"/>
                <w:sz w:val="16"/>
                <w:szCs w:val="16"/>
              </w:rPr>
            </w:pPr>
            <w:r w:rsidRPr="006B2DB8">
              <w:rPr>
                <w:rFonts w:ascii="Arial Narrow" w:hAnsi="Arial Narrow"/>
                <w:sz w:val="16"/>
                <w:szCs w:val="16"/>
              </w:rPr>
              <w:t>Προνοιακ</w:t>
            </w:r>
            <w:r w:rsidR="00D84512">
              <w:rPr>
                <w:rFonts w:ascii="Arial Narrow" w:hAnsi="Arial Narrow"/>
                <w:sz w:val="16"/>
                <w:szCs w:val="16"/>
              </w:rPr>
              <w:t>ές παροχές</w:t>
            </w:r>
          </w:p>
        </w:tc>
        <w:tc>
          <w:tcPr>
            <w:tcW w:w="1984" w:type="dxa"/>
            <w:shd w:val="clear" w:color="auto" w:fill="FFFFFF"/>
            <w:vAlign w:val="center"/>
          </w:tcPr>
          <w:p w:rsidR="00BD2E37" w:rsidRPr="00A504AE" w:rsidRDefault="00BD2E37" w:rsidP="00BD2E37">
            <w:pPr>
              <w:ind w:right="694"/>
              <w:jc w:val="right"/>
              <w:rPr>
                <w:rFonts w:ascii="Arial Narrow" w:hAnsi="Arial Narrow"/>
                <w:color w:val="000000"/>
                <w:sz w:val="16"/>
                <w:szCs w:val="16"/>
              </w:rPr>
            </w:pPr>
            <w:r w:rsidRPr="00A504AE">
              <w:rPr>
                <w:rFonts w:ascii="Arial Narrow" w:hAnsi="Arial Narrow"/>
                <w:color w:val="000000"/>
                <w:sz w:val="16"/>
                <w:szCs w:val="16"/>
              </w:rPr>
              <w:t>222</w:t>
            </w:r>
          </w:p>
        </w:tc>
        <w:tc>
          <w:tcPr>
            <w:tcW w:w="1843" w:type="dxa"/>
            <w:tcBorders>
              <w:right w:val="single" w:sz="4" w:space="0" w:color="auto"/>
            </w:tcBorders>
            <w:shd w:val="clear" w:color="auto" w:fill="FFFFFF"/>
            <w:vAlign w:val="center"/>
          </w:tcPr>
          <w:p w:rsidR="00BD2E37" w:rsidRPr="00A504AE" w:rsidRDefault="00BD2E37" w:rsidP="00BD2E37">
            <w:pPr>
              <w:ind w:right="694"/>
              <w:jc w:val="right"/>
              <w:rPr>
                <w:rFonts w:ascii="Arial Narrow" w:hAnsi="Arial Narrow"/>
                <w:color w:val="000000"/>
                <w:sz w:val="16"/>
                <w:szCs w:val="16"/>
              </w:rPr>
            </w:pPr>
            <w:r w:rsidRPr="00A504AE">
              <w:rPr>
                <w:rFonts w:ascii="Arial Narrow" w:hAnsi="Arial Narrow"/>
                <w:color w:val="000000"/>
                <w:sz w:val="16"/>
                <w:szCs w:val="16"/>
              </w:rPr>
              <w:t>149</w:t>
            </w:r>
          </w:p>
        </w:tc>
      </w:tr>
      <w:tr w:rsidR="00BD2E37" w:rsidRPr="006B2DB8" w:rsidTr="00D64DC2">
        <w:trPr>
          <w:cantSplit/>
          <w:jc w:val="center"/>
        </w:trPr>
        <w:tc>
          <w:tcPr>
            <w:tcW w:w="312" w:type="dxa"/>
            <w:tcBorders>
              <w:left w:val="single" w:sz="4" w:space="0" w:color="auto"/>
            </w:tcBorders>
            <w:shd w:val="clear" w:color="auto" w:fill="FFFFFF"/>
          </w:tcPr>
          <w:p w:rsidR="00BD2E37" w:rsidRPr="006B2DB8" w:rsidRDefault="00BD2E37" w:rsidP="00D64DC2">
            <w:pPr>
              <w:tabs>
                <w:tab w:val="num" w:pos="900"/>
              </w:tabs>
              <w:jc w:val="right"/>
              <w:rPr>
                <w:rFonts w:ascii="Arial Narrow" w:hAnsi="Arial Narrow"/>
                <w:sz w:val="16"/>
                <w:szCs w:val="16"/>
              </w:rPr>
            </w:pPr>
            <w:r>
              <w:rPr>
                <w:rFonts w:ascii="Arial Narrow" w:hAnsi="Arial Narrow"/>
                <w:sz w:val="16"/>
                <w:szCs w:val="16"/>
              </w:rPr>
              <w:t>3</w:t>
            </w:r>
          </w:p>
        </w:tc>
        <w:tc>
          <w:tcPr>
            <w:tcW w:w="4678" w:type="dxa"/>
            <w:shd w:val="clear" w:color="auto" w:fill="FFFFFF"/>
          </w:tcPr>
          <w:p w:rsidR="00BD2E37" w:rsidRPr="006B2DB8" w:rsidRDefault="00BD2E37" w:rsidP="00D64DC2">
            <w:pPr>
              <w:tabs>
                <w:tab w:val="num" w:pos="900"/>
              </w:tabs>
              <w:rPr>
                <w:rFonts w:ascii="Arial Narrow" w:hAnsi="Arial Narrow"/>
                <w:sz w:val="16"/>
                <w:szCs w:val="16"/>
              </w:rPr>
            </w:pPr>
            <w:r>
              <w:rPr>
                <w:rFonts w:ascii="Arial Narrow" w:hAnsi="Arial Narrow"/>
                <w:sz w:val="16"/>
                <w:szCs w:val="16"/>
              </w:rPr>
              <w:t>Τόκοι</w:t>
            </w:r>
          </w:p>
        </w:tc>
        <w:tc>
          <w:tcPr>
            <w:tcW w:w="1984" w:type="dxa"/>
            <w:shd w:val="clear" w:color="auto" w:fill="FFFFFF"/>
            <w:vAlign w:val="center"/>
          </w:tcPr>
          <w:p w:rsidR="00BD2E37" w:rsidRPr="00A504AE" w:rsidRDefault="00BD2E37" w:rsidP="00BD2E37">
            <w:pPr>
              <w:ind w:right="694"/>
              <w:jc w:val="right"/>
              <w:rPr>
                <w:rFonts w:ascii="Arial Narrow" w:hAnsi="Arial Narrow"/>
                <w:color w:val="000000"/>
                <w:sz w:val="16"/>
                <w:szCs w:val="16"/>
              </w:rPr>
            </w:pPr>
            <w:r w:rsidRPr="00A504AE">
              <w:rPr>
                <w:rFonts w:ascii="Arial Narrow" w:hAnsi="Arial Narrow"/>
                <w:color w:val="000000"/>
                <w:sz w:val="16"/>
                <w:szCs w:val="16"/>
              </w:rPr>
              <w:t>46</w:t>
            </w:r>
          </w:p>
        </w:tc>
        <w:tc>
          <w:tcPr>
            <w:tcW w:w="1843" w:type="dxa"/>
            <w:tcBorders>
              <w:right w:val="single" w:sz="4" w:space="0" w:color="auto"/>
            </w:tcBorders>
            <w:shd w:val="clear" w:color="auto" w:fill="FFFFFF"/>
            <w:vAlign w:val="center"/>
          </w:tcPr>
          <w:p w:rsidR="00BD2E37" w:rsidRPr="00A504AE" w:rsidRDefault="00BD2E37" w:rsidP="00BD2E37">
            <w:pPr>
              <w:ind w:right="694"/>
              <w:jc w:val="right"/>
              <w:rPr>
                <w:rFonts w:ascii="Arial Narrow" w:hAnsi="Arial Narrow"/>
                <w:color w:val="000000"/>
                <w:sz w:val="16"/>
                <w:szCs w:val="16"/>
              </w:rPr>
            </w:pPr>
            <w:r w:rsidRPr="00A504AE">
              <w:rPr>
                <w:rFonts w:ascii="Arial Narrow" w:hAnsi="Arial Narrow"/>
                <w:color w:val="000000"/>
                <w:sz w:val="16"/>
                <w:szCs w:val="16"/>
              </w:rPr>
              <w:t>51</w:t>
            </w:r>
          </w:p>
        </w:tc>
      </w:tr>
      <w:tr w:rsidR="00BD2E37" w:rsidRPr="006B2DB8" w:rsidTr="00D64DC2">
        <w:trPr>
          <w:cantSplit/>
          <w:jc w:val="center"/>
        </w:trPr>
        <w:tc>
          <w:tcPr>
            <w:tcW w:w="312" w:type="dxa"/>
            <w:tcBorders>
              <w:left w:val="single" w:sz="4" w:space="0" w:color="auto"/>
            </w:tcBorders>
            <w:shd w:val="clear" w:color="auto" w:fill="FFFFFF"/>
          </w:tcPr>
          <w:p w:rsidR="00BD2E37" w:rsidRPr="006B2DB8" w:rsidRDefault="00BD2E37" w:rsidP="00D64DC2">
            <w:pPr>
              <w:tabs>
                <w:tab w:val="num" w:pos="900"/>
              </w:tabs>
              <w:jc w:val="right"/>
              <w:rPr>
                <w:rFonts w:ascii="Arial Narrow" w:hAnsi="Arial Narrow"/>
                <w:sz w:val="16"/>
                <w:szCs w:val="16"/>
              </w:rPr>
            </w:pPr>
            <w:r>
              <w:rPr>
                <w:rFonts w:ascii="Arial Narrow" w:hAnsi="Arial Narrow"/>
                <w:sz w:val="16"/>
                <w:szCs w:val="16"/>
              </w:rPr>
              <w:t>4</w:t>
            </w:r>
          </w:p>
        </w:tc>
        <w:tc>
          <w:tcPr>
            <w:tcW w:w="4678" w:type="dxa"/>
            <w:shd w:val="clear" w:color="auto" w:fill="FFFFFF"/>
          </w:tcPr>
          <w:p w:rsidR="00BD2E37" w:rsidRPr="006B2DB8" w:rsidRDefault="00BD2E37" w:rsidP="00D64DC2">
            <w:pPr>
              <w:tabs>
                <w:tab w:val="num" w:pos="900"/>
              </w:tabs>
              <w:rPr>
                <w:rFonts w:ascii="Arial Narrow" w:hAnsi="Arial Narrow"/>
                <w:sz w:val="16"/>
                <w:szCs w:val="16"/>
              </w:rPr>
            </w:pPr>
            <w:r w:rsidRPr="006B2DB8">
              <w:rPr>
                <w:rFonts w:ascii="Arial Narrow" w:hAnsi="Arial Narrow"/>
                <w:sz w:val="16"/>
                <w:szCs w:val="16"/>
              </w:rPr>
              <w:t xml:space="preserve">Δαπάνες για επενδύσεις </w:t>
            </w:r>
          </w:p>
        </w:tc>
        <w:tc>
          <w:tcPr>
            <w:tcW w:w="1984" w:type="dxa"/>
            <w:shd w:val="clear" w:color="auto" w:fill="FFFFFF"/>
            <w:vAlign w:val="center"/>
          </w:tcPr>
          <w:p w:rsidR="00BD2E37" w:rsidRPr="00A504AE" w:rsidRDefault="00BD2E37" w:rsidP="00BD2E37">
            <w:pPr>
              <w:ind w:right="694"/>
              <w:jc w:val="right"/>
              <w:rPr>
                <w:rFonts w:ascii="Arial Narrow" w:hAnsi="Arial Narrow"/>
                <w:color w:val="000000"/>
                <w:sz w:val="16"/>
                <w:szCs w:val="16"/>
              </w:rPr>
            </w:pPr>
            <w:r w:rsidRPr="00A504AE">
              <w:rPr>
                <w:rFonts w:ascii="Arial Narrow" w:hAnsi="Arial Narrow"/>
                <w:color w:val="000000"/>
                <w:sz w:val="16"/>
                <w:szCs w:val="16"/>
              </w:rPr>
              <w:t>1.494</w:t>
            </w:r>
          </w:p>
        </w:tc>
        <w:tc>
          <w:tcPr>
            <w:tcW w:w="1843" w:type="dxa"/>
            <w:tcBorders>
              <w:right w:val="single" w:sz="4" w:space="0" w:color="auto"/>
            </w:tcBorders>
            <w:shd w:val="clear" w:color="auto" w:fill="FFFFFF"/>
            <w:vAlign w:val="center"/>
          </w:tcPr>
          <w:p w:rsidR="00BD2E37" w:rsidRPr="00A504AE" w:rsidRDefault="00BD2E37" w:rsidP="00BD2E37">
            <w:pPr>
              <w:ind w:right="694"/>
              <w:jc w:val="right"/>
              <w:rPr>
                <w:rFonts w:ascii="Arial Narrow" w:hAnsi="Arial Narrow"/>
                <w:color w:val="000000"/>
                <w:sz w:val="16"/>
                <w:szCs w:val="16"/>
              </w:rPr>
            </w:pPr>
            <w:r w:rsidRPr="00A504AE">
              <w:rPr>
                <w:rFonts w:ascii="Arial Narrow" w:hAnsi="Arial Narrow"/>
                <w:color w:val="000000"/>
                <w:sz w:val="16"/>
                <w:szCs w:val="16"/>
              </w:rPr>
              <w:t>1.780</w:t>
            </w:r>
          </w:p>
        </w:tc>
      </w:tr>
      <w:tr w:rsidR="00BD2E37" w:rsidRPr="006B2DB8" w:rsidTr="00D64DC2">
        <w:trPr>
          <w:cantSplit/>
          <w:jc w:val="center"/>
        </w:trPr>
        <w:tc>
          <w:tcPr>
            <w:tcW w:w="312" w:type="dxa"/>
            <w:tcBorders>
              <w:left w:val="single" w:sz="4" w:space="0" w:color="auto"/>
            </w:tcBorders>
            <w:shd w:val="clear" w:color="auto" w:fill="FFFFFF"/>
          </w:tcPr>
          <w:p w:rsidR="00BD2E37" w:rsidRPr="006B2DB8" w:rsidRDefault="00BD2E37" w:rsidP="00D64DC2">
            <w:pPr>
              <w:tabs>
                <w:tab w:val="num" w:pos="900"/>
              </w:tabs>
              <w:jc w:val="right"/>
              <w:rPr>
                <w:rFonts w:ascii="Arial Narrow" w:hAnsi="Arial Narrow"/>
                <w:sz w:val="16"/>
                <w:szCs w:val="16"/>
              </w:rPr>
            </w:pPr>
            <w:r>
              <w:rPr>
                <w:rFonts w:ascii="Arial Narrow" w:hAnsi="Arial Narrow"/>
                <w:sz w:val="16"/>
                <w:szCs w:val="16"/>
              </w:rPr>
              <w:t>5</w:t>
            </w:r>
          </w:p>
        </w:tc>
        <w:tc>
          <w:tcPr>
            <w:tcW w:w="4678" w:type="dxa"/>
            <w:shd w:val="clear" w:color="auto" w:fill="FFFFFF"/>
          </w:tcPr>
          <w:p w:rsidR="00BD2E37" w:rsidRPr="006B2DB8" w:rsidRDefault="00BD2E37" w:rsidP="00D64DC2">
            <w:pPr>
              <w:tabs>
                <w:tab w:val="num" w:pos="900"/>
              </w:tabs>
              <w:rPr>
                <w:rFonts w:ascii="Arial Narrow" w:hAnsi="Arial Narrow"/>
                <w:sz w:val="16"/>
                <w:szCs w:val="16"/>
              </w:rPr>
            </w:pPr>
            <w:r w:rsidRPr="006B2DB8">
              <w:rPr>
                <w:rFonts w:ascii="Arial Narrow" w:hAnsi="Arial Narrow"/>
                <w:sz w:val="16"/>
                <w:szCs w:val="16"/>
              </w:rPr>
              <w:t>Λοιπές δαπάνες</w:t>
            </w:r>
          </w:p>
        </w:tc>
        <w:tc>
          <w:tcPr>
            <w:tcW w:w="1984" w:type="dxa"/>
            <w:shd w:val="clear" w:color="auto" w:fill="FFFFFF"/>
            <w:vAlign w:val="center"/>
          </w:tcPr>
          <w:p w:rsidR="00BD2E37" w:rsidRPr="00A504AE" w:rsidRDefault="00BD2E37" w:rsidP="00BD2E37">
            <w:pPr>
              <w:ind w:right="694"/>
              <w:jc w:val="right"/>
              <w:rPr>
                <w:rFonts w:ascii="Arial Narrow" w:hAnsi="Arial Narrow"/>
                <w:color w:val="000000"/>
                <w:sz w:val="16"/>
                <w:szCs w:val="16"/>
              </w:rPr>
            </w:pPr>
            <w:r w:rsidRPr="00A504AE">
              <w:rPr>
                <w:rFonts w:ascii="Arial Narrow" w:hAnsi="Arial Narrow"/>
                <w:color w:val="000000"/>
                <w:sz w:val="16"/>
                <w:szCs w:val="16"/>
              </w:rPr>
              <w:t>2.057</w:t>
            </w:r>
          </w:p>
        </w:tc>
        <w:tc>
          <w:tcPr>
            <w:tcW w:w="1843" w:type="dxa"/>
            <w:tcBorders>
              <w:right w:val="single" w:sz="4" w:space="0" w:color="auto"/>
            </w:tcBorders>
            <w:shd w:val="clear" w:color="auto" w:fill="FFFFFF"/>
            <w:vAlign w:val="center"/>
          </w:tcPr>
          <w:p w:rsidR="00BD2E37" w:rsidRPr="00A504AE" w:rsidRDefault="00BD2E37" w:rsidP="00BD2E37">
            <w:pPr>
              <w:ind w:right="694"/>
              <w:jc w:val="right"/>
              <w:rPr>
                <w:rFonts w:ascii="Arial Narrow" w:hAnsi="Arial Narrow"/>
                <w:color w:val="000000"/>
                <w:sz w:val="16"/>
                <w:szCs w:val="16"/>
              </w:rPr>
            </w:pPr>
            <w:r w:rsidRPr="00A504AE">
              <w:rPr>
                <w:rFonts w:ascii="Arial Narrow" w:hAnsi="Arial Narrow"/>
                <w:color w:val="000000"/>
                <w:sz w:val="16"/>
                <w:szCs w:val="16"/>
              </w:rPr>
              <w:t>1.869</w:t>
            </w:r>
          </w:p>
        </w:tc>
      </w:tr>
      <w:tr w:rsidR="00BD2E37" w:rsidRPr="006B2DB8" w:rsidTr="00D64DC2">
        <w:trPr>
          <w:cantSplit/>
          <w:jc w:val="center"/>
        </w:trPr>
        <w:tc>
          <w:tcPr>
            <w:tcW w:w="312" w:type="dxa"/>
            <w:tcBorders>
              <w:left w:val="single" w:sz="4" w:space="0" w:color="auto"/>
            </w:tcBorders>
            <w:shd w:val="clear" w:color="auto" w:fill="FFFFFF"/>
          </w:tcPr>
          <w:p w:rsidR="00BD2E37" w:rsidRPr="006B2DB8" w:rsidRDefault="00BD2E37" w:rsidP="00D64DC2">
            <w:pPr>
              <w:tabs>
                <w:tab w:val="num" w:pos="900"/>
              </w:tabs>
              <w:jc w:val="right"/>
              <w:rPr>
                <w:rFonts w:ascii="Arial Narrow" w:hAnsi="Arial Narrow"/>
                <w:i/>
                <w:sz w:val="16"/>
                <w:szCs w:val="16"/>
              </w:rPr>
            </w:pPr>
          </w:p>
        </w:tc>
        <w:tc>
          <w:tcPr>
            <w:tcW w:w="4678" w:type="dxa"/>
            <w:shd w:val="clear" w:color="auto" w:fill="FFFFFF"/>
          </w:tcPr>
          <w:p w:rsidR="00BD2E37" w:rsidRPr="006B2DB8" w:rsidRDefault="00BD2E37" w:rsidP="00D64DC2">
            <w:pPr>
              <w:tabs>
                <w:tab w:val="num" w:pos="176"/>
              </w:tabs>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Πληρωμές ΠΟΕ</w:t>
            </w:r>
            <w:r w:rsidRPr="006B2DB8">
              <w:rPr>
                <w:rFonts w:ascii="Arial Narrow" w:hAnsi="Arial Narrow"/>
                <w:i/>
                <w:sz w:val="16"/>
                <w:szCs w:val="16"/>
              </w:rPr>
              <w:tab/>
            </w:r>
          </w:p>
        </w:tc>
        <w:tc>
          <w:tcPr>
            <w:tcW w:w="1984" w:type="dxa"/>
            <w:shd w:val="clear" w:color="auto" w:fill="FFFFFF"/>
            <w:vAlign w:val="center"/>
          </w:tcPr>
          <w:p w:rsidR="00BD2E37" w:rsidRPr="00A504AE" w:rsidRDefault="00BD2E37" w:rsidP="00BD2E37">
            <w:pPr>
              <w:ind w:right="694"/>
              <w:jc w:val="right"/>
              <w:rPr>
                <w:rFonts w:ascii="Arial Narrow" w:hAnsi="Arial Narrow"/>
                <w:i/>
                <w:iCs/>
                <w:color w:val="272727"/>
                <w:sz w:val="16"/>
                <w:szCs w:val="16"/>
              </w:rPr>
            </w:pPr>
            <w:r w:rsidRPr="00A504AE">
              <w:rPr>
                <w:rFonts w:ascii="Arial Narrow" w:hAnsi="Arial Narrow"/>
                <w:i/>
                <w:iCs/>
                <w:color w:val="272727"/>
                <w:sz w:val="16"/>
                <w:szCs w:val="16"/>
              </w:rPr>
              <w:t>429</w:t>
            </w:r>
          </w:p>
        </w:tc>
        <w:tc>
          <w:tcPr>
            <w:tcW w:w="1843" w:type="dxa"/>
            <w:tcBorders>
              <w:right w:val="single" w:sz="4" w:space="0" w:color="auto"/>
            </w:tcBorders>
            <w:shd w:val="clear" w:color="auto" w:fill="FFFFFF"/>
            <w:vAlign w:val="center"/>
          </w:tcPr>
          <w:p w:rsidR="00BD2E37" w:rsidRPr="00A504AE" w:rsidRDefault="00BD2E37" w:rsidP="00BD2E37">
            <w:pPr>
              <w:ind w:right="694"/>
              <w:jc w:val="right"/>
              <w:rPr>
                <w:rFonts w:ascii="Arial Narrow" w:hAnsi="Arial Narrow"/>
                <w:i/>
                <w:iCs/>
                <w:color w:val="272727"/>
                <w:sz w:val="16"/>
                <w:szCs w:val="16"/>
              </w:rPr>
            </w:pPr>
            <w:r w:rsidRPr="00A504AE">
              <w:rPr>
                <w:rFonts w:ascii="Arial Narrow" w:hAnsi="Arial Narrow"/>
                <w:i/>
                <w:iCs/>
                <w:color w:val="272727"/>
                <w:sz w:val="16"/>
                <w:szCs w:val="16"/>
              </w:rPr>
              <w:t>263</w:t>
            </w:r>
          </w:p>
        </w:tc>
      </w:tr>
      <w:tr w:rsidR="00BD2E37" w:rsidRPr="006B2DB8" w:rsidTr="00D64DC2">
        <w:trPr>
          <w:cantSplit/>
          <w:jc w:val="center"/>
        </w:trPr>
        <w:tc>
          <w:tcPr>
            <w:tcW w:w="312" w:type="dxa"/>
            <w:tcBorders>
              <w:left w:val="single" w:sz="4" w:space="0" w:color="auto"/>
            </w:tcBorders>
            <w:shd w:val="clear" w:color="auto" w:fill="FFFFFF"/>
          </w:tcPr>
          <w:p w:rsidR="00BD2E37" w:rsidRPr="006B2DB8" w:rsidRDefault="00BD2E37" w:rsidP="00D64DC2">
            <w:pPr>
              <w:tabs>
                <w:tab w:val="num" w:pos="900"/>
              </w:tabs>
              <w:jc w:val="right"/>
              <w:rPr>
                <w:rFonts w:ascii="Arial Narrow" w:hAnsi="Arial Narrow"/>
                <w:i/>
                <w:sz w:val="16"/>
                <w:szCs w:val="16"/>
              </w:rPr>
            </w:pPr>
          </w:p>
        </w:tc>
        <w:tc>
          <w:tcPr>
            <w:tcW w:w="4678" w:type="dxa"/>
            <w:shd w:val="clear" w:color="auto" w:fill="FFFFFF"/>
          </w:tcPr>
          <w:p w:rsidR="00BD2E37" w:rsidRPr="006B2DB8" w:rsidRDefault="00BD2E37" w:rsidP="00D64DC2">
            <w:pPr>
              <w:tabs>
                <w:tab w:val="num" w:pos="176"/>
              </w:tabs>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Μεταβιβάσεις σε τρίτους</w:t>
            </w:r>
          </w:p>
        </w:tc>
        <w:tc>
          <w:tcPr>
            <w:tcW w:w="1984" w:type="dxa"/>
            <w:shd w:val="clear" w:color="auto" w:fill="FFFFFF"/>
            <w:vAlign w:val="center"/>
          </w:tcPr>
          <w:p w:rsidR="00BD2E37" w:rsidRPr="00A504AE" w:rsidRDefault="00BD2E37" w:rsidP="00BD2E37">
            <w:pPr>
              <w:ind w:right="694"/>
              <w:jc w:val="right"/>
              <w:rPr>
                <w:rFonts w:ascii="Arial Narrow" w:hAnsi="Arial Narrow"/>
                <w:i/>
                <w:iCs/>
                <w:color w:val="272727"/>
                <w:sz w:val="16"/>
                <w:szCs w:val="16"/>
              </w:rPr>
            </w:pPr>
            <w:r w:rsidRPr="00A504AE">
              <w:rPr>
                <w:rFonts w:ascii="Arial Narrow" w:hAnsi="Arial Narrow"/>
                <w:i/>
                <w:iCs/>
                <w:color w:val="272727"/>
                <w:sz w:val="16"/>
                <w:szCs w:val="16"/>
              </w:rPr>
              <w:t>292</w:t>
            </w:r>
          </w:p>
        </w:tc>
        <w:tc>
          <w:tcPr>
            <w:tcW w:w="1843" w:type="dxa"/>
            <w:tcBorders>
              <w:right w:val="single" w:sz="4" w:space="0" w:color="auto"/>
            </w:tcBorders>
            <w:shd w:val="clear" w:color="auto" w:fill="FFFFFF"/>
            <w:vAlign w:val="center"/>
          </w:tcPr>
          <w:p w:rsidR="00BD2E37" w:rsidRPr="00A504AE" w:rsidRDefault="00BD2E37" w:rsidP="00BD2E37">
            <w:pPr>
              <w:ind w:right="694"/>
              <w:jc w:val="right"/>
              <w:rPr>
                <w:rFonts w:ascii="Arial Narrow" w:hAnsi="Arial Narrow"/>
                <w:i/>
                <w:iCs/>
                <w:color w:val="272727"/>
                <w:sz w:val="16"/>
                <w:szCs w:val="16"/>
              </w:rPr>
            </w:pPr>
            <w:r w:rsidRPr="00A504AE">
              <w:rPr>
                <w:rFonts w:ascii="Arial Narrow" w:hAnsi="Arial Narrow"/>
                <w:i/>
                <w:iCs/>
                <w:color w:val="272727"/>
                <w:sz w:val="16"/>
                <w:szCs w:val="16"/>
              </w:rPr>
              <w:t>273</w:t>
            </w:r>
          </w:p>
        </w:tc>
      </w:tr>
      <w:tr w:rsidR="00BD2E37" w:rsidRPr="006B2DB8" w:rsidTr="00D64DC2">
        <w:trPr>
          <w:cantSplit/>
          <w:jc w:val="center"/>
        </w:trPr>
        <w:tc>
          <w:tcPr>
            <w:tcW w:w="312" w:type="dxa"/>
            <w:tcBorders>
              <w:left w:val="single" w:sz="4" w:space="0" w:color="auto"/>
            </w:tcBorders>
            <w:shd w:val="clear" w:color="auto" w:fill="FFFFFF"/>
          </w:tcPr>
          <w:p w:rsidR="00BD2E37" w:rsidRPr="006B2DB8" w:rsidRDefault="00BD2E37" w:rsidP="00D64DC2">
            <w:pPr>
              <w:tabs>
                <w:tab w:val="num" w:pos="900"/>
              </w:tabs>
              <w:jc w:val="right"/>
              <w:rPr>
                <w:rFonts w:ascii="Arial Narrow" w:hAnsi="Arial Narrow"/>
                <w:i/>
                <w:sz w:val="16"/>
                <w:szCs w:val="16"/>
              </w:rPr>
            </w:pPr>
          </w:p>
        </w:tc>
        <w:tc>
          <w:tcPr>
            <w:tcW w:w="4678" w:type="dxa"/>
            <w:shd w:val="clear" w:color="auto" w:fill="FFFFFF"/>
          </w:tcPr>
          <w:p w:rsidR="00BD2E37" w:rsidRPr="006B2DB8" w:rsidRDefault="00BD2E37" w:rsidP="00D64DC2">
            <w:pPr>
              <w:tabs>
                <w:tab w:val="num" w:pos="176"/>
              </w:tabs>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Λοιπές λειτουργικές δαπάνες</w:t>
            </w:r>
          </w:p>
        </w:tc>
        <w:tc>
          <w:tcPr>
            <w:tcW w:w="1984" w:type="dxa"/>
            <w:shd w:val="clear" w:color="auto" w:fill="FFFFFF"/>
            <w:vAlign w:val="center"/>
          </w:tcPr>
          <w:p w:rsidR="00BD2E37" w:rsidRPr="00A504AE" w:rsidRDefault="00BD2E37" w:rsidP="00BD2E37">
            <w:pPr>
              <w:ind w:right="694"/>
              <w:jc w:val="right"/>
              <w:rPr>
                <w:rFonts w:ascii="Arial Narrow" w:hAnsi="Arial Narrow"/>
                <w:i/>
                <w:iCs/>
                <w:color w:val="272727"/>
                <w:sz w:val="16"/>
                <w:szCs w:val="16"/>
              </w:rPr>
            </w:pPr>
            <w:r w:rsidRPr="00A504AE">
              <w:rPr>
                <w:rFonts w:ascii="Arial Narrow" w:hAnsi="Arial Narrow"/>
                <w:i/>
                <w:iCs/>
                <w:color w:val="272727"/>
                <w:sz w:val="16"/>
                <w:szCs w:val="16"/>
              </w:rPr>
              <w:t>1.335</w:t>
            </w:r>
          </w:p>
        </w:tc>
        <w:tc>
          <w:tcPr>
            <w:tcW w:w="1843" w:type="dxa"/>
            <w:tcBorders>
              <w:right w:val="single" w:sz="4" w:space="0" w:color="auto"/>
            </w:tcBorders>
            <w:shd w:val="clear" w:color="auto" w:fill="FFFFFF"/>
            <w:vAlign w:val="center"/>
          </w:tcPr>
          <w:p w:rsidR="00BD2E37" w:rsidRPr="00A504AE" w:rsidRDefault="00BD2E37" w:rsidP="00BD2E37">
            <w:pPr>
              <w:ind w:right="694"/>
              <w:jc w:val="right"/>
              <w:rPr>
                <w:rFonts w:ascii="Arial Narrow" w:hAnsi="Arial Narrow"/>
                <w:i/>
                <w:iCs/>
                <w:color w:val="272727"/>
                <w:sz w:val="16"/>
                <w:szCs w:val="16"/>
              </w:rPr>
            </w:pPr>
            <w:r w:rsidRPr="00A504AE">
              <w:rPr>
                <w:rFonts w:ascii="Arial Narrow" w:hAnsi="Arial Narrow"/>
                <w:i/>
                <w:iCs/>
                <w:color w:val="272727"/>
                <w:sz w:val="16"/>
                <w:szCs w:val="16"/>
              </w:rPr>
              <w:t>1.333</w:t>
            </w:r>
          </w:p>
        </w:tc>
      </w:tr>
      <w:tr w:rsidR="00BD2E37" w:rsidRPr="006B2DB8" w:rsidTr="00D64DC2">
        <w:trPr>
          <w:cantSplit/>
          <w:jc w:val="center"/>
        </w:trPr>
        <w:tc>
          <w:tcPr>
            <w:tcW w:w="312" w:type="dxa"/>
            <w:tcBorders>
              <w:left w:val="single" w:sz="4" w:space="0" w:color="auto"/>
            </w:tcBorders>
            <w:shd w:val="clear" w:color="auto" w:fill="FFFFFF"/>
          </w:tcPr>
          <w:p w:rsidR="00BD2E37" w:rsidRPr="006B2DB8" w:rsidRDefault="00BD2E37" w:rsidP="00D64DC2">
            <w:pPr>
              <w:tabs>
                <w:tab w:val="num" w:pos="900"/>
              </w:tabs>
              <w:jc w:val="right"/>
              <w:rPr>
                <w:rFonts w:ascii="Arial Narrow" w:hAnsi="Arial Narrow"/>
                <w:sz w:val="16"/>
                <w:szCs w:val="16"/>
              </w:rPr>
            </w:pPr>
            <w:r>
              <w:rPr>
                <w:rFonts w:ascii="Arial Narrow" w:hAnsi="Arial Narrow"/>
                <w:sz w:val="16"/>
                <w:szCs w:val="16"/>
              </w:rPr>
              <w:t>6</w:t>
            </w:r>
          </w:p>
        </w:tc>
        <w:tc>
          <w:tcPr>
            <w:tcW w:w="4678" w:type="dxa"/>
            <w:shd w:val="clear" w:color="auto" w:fill="FFFFFF"/>
          </w:tcPr>
          <w:p w:rsidR="00BD2E37" w:rsidRPr="006B2DB8" w:rsidRDefault="00BD2E37" w:rsidP="00D64DC2">
            <w:pPr>
              <w:tabs>
                <w:tab w:val="num" w:pos="176"/>
              </w:tabs>
              <w:rPr>
                <w:rFonts w:ascii="Arial Narrow" w:hAnsi="Arial Narrow"/>
                <w:sz w:val="16"/>
                <w:szCs w:val="16"/>
              </w:rPr>
            </w:pPr>
            <w:r w:rsidRPr="006B2DB8">
              <w:rPr>
                <w:rFonts w:ascii="Arial Narrow" w:hAnsi="Arial Narrow"/>
                <w:sz w:val="16"/>
                <w:szCs w:val="16"/>
              </w:rPr>
              <w:t>Αποδόσεις εσόδων υπέρ Δημοσίου και τρίτων</w:t>
            </w:r>
          </w:p>
        </w:tc>
        <w:tc>
          <w:tcPr>
            <w:tcW w:w="1984" w:type="dxa"/>
            <w:shd w:val="clear" w:color="auto" w:fill="FFFFFF"/>
            <w:vAlign w:val="center"/>
          </w:tcPr>
          <w:p w:rsidR="00BD2E37" w:rsidRPr="00A504AE" w:rsidRDefault="00BD2E37" w:rsidP="00BD2E37">
            <w:pPr>
              <w:ind w:right="694"/>
              <w:jc w:val="right"/>
              <w:rPr>
                <w:rFonts w:ascii="Arial Narrow" w:hAnsi="Arial Narrow"/>
                <w:color w:val="000000"/>
                <w:sz w:val="16"/>
                <w:szCs w:val="16"/>
              </w:rPr>
            </w:pPr>
            <w:r w:rsidRPr="00A504AE">
              <w:rPr>
                <w:rFonts w:ascii="Arial Narrow" w:hAnsi="Arial Narrow"/>
                <w:color w:val="000000"/>
                <w:sz w:val="16"/>
                <w:szCs w:val="16"/>
              </w:rPr>
              <w:t>945</w:t>
            </w:r>
          </w:p>
        </w:tc>
        <w:tc>
          <w:tcPr>
            <w:tcW w:w="1843" w:type="dxa"/>
            <w:tcBorders>
              <w:right w:val="single" w:sz="4" w:space="0" w:color="auto"/>
            </w:tcBorders>
            <w:shd w:val="clear" w:color="auto" w:fill="FFFFFF"/>
            <w:vAlign w:val="center"/>
          </w:tcPr>
          <w:p w:rsidR="00BD2E37" w:rsidRPr="00A504AE" w:rsidRDefault="00BD2E37" w:rsidP="00BD2E37">
            <w:pPr>
              <w:ind w:right="694"/>
              <w:jc w:val="right"/>
              <w:rPr>
                <w:rFonts w:ascii="Arial Narrow" w:hAnsi="Arial Narrow"/>
                <w:color w:val="000000"/>
                <w:sz w:val="16"/>
                <w:szCs w:val="16"/>
              </w:rPr>
            </w:pPr>
            <w:r w:rsidRPr="00A504AE">
              <w:rPr>
                <w:rFonts w:ascii="Arial Narrow" w:hAnsi="Arial Narrow"/>
                <w:color w:val="000000"/>
                <w:sz w:val="16"/>
                <w:szCs w:val="16"/>
              </w:rPr>
              <w:t>962</w:t>
            </w:r>
          </w:p>
        </w:tc>
      </w:tr>
      <w:tr w:rsidR="00BD2E37" w:rsidRPr="0098186C" w:rsidTr="00D64DC2">
        <w:trPr>
          <w:cantSplit/>
          <w:jc w:val="center"/>
        </w:trPr>
        <w:tc>
          <w:tcPr>
            <w:tcW w:w="312" w:type="dxa"/>
            <w:tcBorders>
              <w:left w:val="single" w:sz="4" w:space="0" w:color="auto"/>
            </w:tcBorders>
            <w:shd w:val="clear" w:color="auto" w:fill="D9D9D9" w:themeFill="background1" w:themeFillShade="D9"/>
          </w:tcPr>
          <w:p w:rsidR="00BD2E37" w:rsidRPr="0098186C" w:rsidRDefault="00BD2E37" w:rsidP="00D64DC2">
            <w:pPr>
              <w:tabs>
                <w:tab w:val="num" w:pos="900"/>
              </w:tabs>
              <w:spacing w:before="60" w:after="60"/>
              <w:jc w:val="right"/>
              <w:rPr>
                <w:rFonts w:ascii="Arial Narrow" w:hAnsi="Arial Narrow"/>
                <w:b/>
                <w:sz w:val="16"/>
                <w:szCs w:val="16"/>
              </w:rPr>
            </w:pPr>
            <w:r>
              <w:rPr>
                <w:rFonts w:ascii="Arial Narrow" w:hAnsi="Arial Narrow"/>
                <w:b/>
                <w:sz w:val="16"/>
                <w:szCs w:val="16"/>
              </w:rPr>
              <w:t>Γ</w:t>
            </w:r>
          </w:p>
        </w:tc>
        <w:tc>
          <w:tcPr>
            <w:tcW w:w="4678" w:type="dxa"/>
            <w:shd w:val="clear" w:color="auto" w:fill="D9D9D9" w:themeFill="background1" w:themeFillShade="D9"/>
          </w:tcPr>
          <w:p w:rsidR="00BD2E37" w:rsidRPr="0098186C" w:rsidRDefault="00BD2E37" w:rsidP="00D64DC2">
            <w:pPr>
              <w:tabs>
                <w:tab w:val="num" w:pos="900"/>
              </w:tabs>
              <w:spacing w:before="60" w:after="60"/>
              <w:rPr>
                <w:rFonts w:ascii="Arial Narrow" w:hAnsi="Arial Narrow"/>
                <w:b/>
                <w:sz w:val="16"/>
                <w:szCs w:val="16"/>
              </w:rPr>
            </w:pPr>
            <w:r w:rsidRPr="0098186C">
              <w:rPr>
                <w:rFonts w:ascii="Arial Narrow" w:hAnsi="Arial Narrow"/>
                <w:b/>
                <w:sz w:val="16"/>
                <w:szCs w:val="16"/>
              </w:rPr>
              <w:t>Ταμειακό ισοζύγιο</w:t>
            </w:r>
            <w:r>
              <w:rPr>
                <w:rFonts w:ascii="Arial Narrow" w:hAnsi="Arial Narrow"/>
                <w:b/>
                <w:sz w:val="16"/>
                <w:szCs w:val="16"/>
              </w:rPr>
              <w:t xml:space="preserve"> (Α – Β)</w:t>
            </w:r>
          </w:p>
        </w:tc>
        <w:tc>
          <w:tcPr>
            <w:tcW w:w="1984" w:type="dxa"/>
            <w:shd w:val="clear" w:color="auto" w:fill="D9D9D9" w:themeFill="background1" w:themeFillShade="D9"/>
            <w:vAlign w:val="center"/>
          </w:tcPr>
          <w:p w:rsidR="00BD2E37" w:rsidRPr="00A504AE" w:rsidRDefault="00BD2E37" w:rsidP="00BD2E37">
            <w:pPr>
              <w:ind w:right="694"/>
              <w:jc w:val="right"/>
              <w:rPr>
                <w:rFonts w:ascii="Arial Narrow" w:hAnsi="Arial Narrow"/>
                <w:b/>
                <w:bCs/>
                <w:color w:val="000000"/>
                <w:sz w:val="16"/>
                <w:szCs w:val="16"/>
              </w:rPr>
            </w:pPr>
            <w:r w:rsidRPr="00A504AE">
              <w:rPr>
                <w:rFonts w:ascii="Arial Narrow" w:hAnsi="Arial Narrow"/>
                <w:b/>
                <w:bCs/>
                <w:color w:val="000000"/>
                <w:sz w:val="16"/>
                <w:szCs w:val="16"/>
              </w:rPr>
              <w:t>-3</w:t>
            </w:r>
            <w:r>
              <w:rPr>
                <w:rFonts w:ascii="Arial Narrow" w:hAnsi="Arial Narrow"/>
                <w:b/>
                <w:bCs/>
                <w:color w:val="000000"/>
                <w:sz w:val="16"/>
                <w:szCs w:val="16"/>
              </w:rPr>
              <w:t>5</w:t>
            </w:r>
          </w:p>
        </w:tc>
        <w:tc>
          <w:tcPr>
            <w:tcW w:w="1843" w:type="dxa"/>
            <w:tcBorders>
              <w:right w:val="single" w:sz="4" w:space="0" w:color="auto"/>
            </w:tcBorders>
            <w:shd w:val="clear" w:color="auto" w:fill="D9D9D9" w:themeFill="background1" w:themeFillShade="D9"/>
            <w:vAlign w:val="center"/>
          </w:tcPr>
          <w:p w:rsidR="00BD2E37" w:rsidRPr="00A504AE" w:rsidRDefault="00BD2E37" w:rsidP="00BD2E37">
            <w:pPr>
              <w:ind w:right="694"/>
              <w:jc w:val="right"/>
              <w:rPr>
                <w:rFonts w:ascii="Arial Narrow" w:hAnsi="Arial Narrow"/>
                <w:b/>
                <w:bCs/>
                <w:color w:val="000000"/>
                <w:sz w:val="16"/>
                <w:szCs w:val="16"/>
              </w:rPr>
            </w:pPr>
            <w:r w:rsidRPr="00A504AE">
              <w:rPr>
                <w:rFonts w:ascii="Arial Narrow" w:hAnsi="Arial Narrow"/>
                <w:b/>
                <w:bCs/>
                <w:color w:val="000000"/>
                <w:sz w:val="16"/>
                <w:szCs w:val="16"/>
              </w:rPr>
              <w:t>4</w:t>
            </w:r>
            <w:r>
              <w:rPr>
                <w:rFonts w:ascii="Arial Narrow" w:hAnsi="Arial Narrow"/>
                <w:b/>
                <w:bCs/>
                <w:color w:val="000000"/>
                <w:sz w:val="16"/>
                <w:szCs w:val="16"/>
              </w:rPr>
              <w:t>2</w:t>
            </w:r>
          </w:p>
        </w:tc>
      </w:tr>
      <w:tr w:rsidR="00BD2E37" w:rsidRPr="006B2DB8" w:rsidTr="00D64DC2">
        <w:trPr>
          <w:cantSplit/>
          <w:jc w:val="center"/>
        </w:trPr>
        <w:tc>
          <w:tcPr>
            <w:tcW w:w="312" w:type="dxa"/>
            <w:tcBorders>
              <w:left w:val="single" w:sz="4" w:space="0" w:color="auto"/>
            </w:tcBorders>
            <w:shd w:val="clear" w:color="auto" w:fill="FFFFFF"/>
          </w:tcPr>
          <w:p w:rsidR="00BD2E37" w:rsidRPr="006B2DB8" w:rsidRDefault="00BD2E37" w:rsidP="00D64DC2">
            <w:pPr>
              <w:tabs>
                <w:tab w:val="num" w:pos="900"/>
              </w:tabs>
              <w:jc w:val="right"/>
              <w:rPr>
                <w:rFonts w:ascii="Arial Narrow" w:hAnsi="Arial Narrow"/>
                <w:sz w:val="16"/>
                <w:szCs w:val="16"/>
              </w:rPr>
            </w:pPr>
          </w:p>
        </w:tc>
        <w:tc>
          <w:tcPr>
            <w:tcW w:w="4678" w:type="dxa"/>
            <w:shd w:val="clear" w:color="auto" w:fill="FFFFFF"/>
          </w:tcPr>
          <w:p w:rsidR="00BD2E37" w:rsidRPr="00BE3746" w:rsidRDefault="00BD2E37" w:rsidP="00D64DC2">
            <w:pPr>
              <w:tabs>
                <w:tab w:val="left" w:pos="161"/>
                <w:tab w:val="num" w:pos="900"/>
              </w:tabs>
              <w:rPr>
                <w:rFonts w:ascii="Arial Narrow" w:hAnsi="Arial Narrow"/>
                <w:sz w:val="16"/>
                <w:szCs w:val="16"/>
              </w:rPr>
            </w:pPr>
          </w:p>
        </w:tc>
        <w:tc>
          <w:tcPr>
            <w:tcW w:w="1984" w:type="dxa"/>
            <w:shd w:val="clear" w:color="auto" w:fill="FFFFFF"/>
            <w:vAlign w:val="center"/>
          </w:tcPr>
          <w:p w:rsidR="00BD2E37" w:rsidRPr="00A504AE" w:rsidRDefault="00BD2E37" w:rsidP="00BD2E37">
            <w:pPr>
              <w:ind w:right="694"/>
              <w:jc w:val="right"/>
              <w:rPr>
                <w:rFonts w:ascii="Arial Narrow" w:hAnsi="Arial Narrow"/>
                <w:color w:val="000000"/>
                <w:sz w:val="16"/>
                <w:szCs w:val="16"/>
              </w:rPr>
            </w:pPr>
          </w:p>
        </w:tc>
        <w:tc>
          <w:tcPr>
            <w:tcW w:w="1843" w:type="dxa"/>
            <w:tcBorders>
              <w:right w:val="single" w:sz="4" w:space="0" w:color="auto"/>
            </w:tcBorders>
            <w:shd w:val="clear" w:color="auto" w:fill="FFFFFF"/>
            <w:vAlign w:val="center"/>
          </w:tcPr>
          <w:p w:rsidR="00BD2E37" w:rsidRPr="00A504AE" w:rsidRDefault="00BD2E37" w:rsidP="00BD2E37">
            <w:pPr>
              <w:ind w:right="694"/>
              <w:jc w:val="right"/>
              <w:rPr>
                <w:rFonts w:ascii="Arial Narrow" w:hAnsi="Arial Narrow"/>
                <w:color w:val="000000"/>
                <w:sz w:val="16"/>
                <w:szCs w:val="16"/>
              </w:rPr>
            </w:pPr>
          </w:p>
        </w:tc>
      </w:tr>
      <w:tr w:rsidR="00BD2E37" w:rsidRPr="007E3F4B" w:rsidTr="00D64DC2">
        <w:trPr>
          <w:cantSplit/>
          <w:jc w:val="center"/>
        </w:trPr>
        <w:tc>
          <w:tcPr>
            <w:tcW w:w="312" w:type="dxa"/>
            <w:tcBorders>
              <w:left w:val="single" w:sz="4" w:space="0" w:color="auto"/>
            </w:tcBorders>
            <w:shd w:val="clear" w:color="auto" w:fill="D9D9D9" w:themeFill="background1" w:themeFillShade="D9"/>
          </w:tcPr>
          <w:p w:rsidR="00BD2E37" w:rsidRPr="007E3F4B" w:rsidRDefault="00BD2E37" w:rsidP="00D64DC2">
            <w:pPr>
              <w:tabs>
                <w:tab w:val="num" w:pos="900"/>
              </w:tabs>
              <w:spacing w:before="60" w:after="60"/>
              <w:jc w:val="right"/>
              <w:rPr>
                <w:rFonts w:ascii="Arial Narrow" w:hAnsi="Arial Narrow"/>
                <w:b/>
                <w:sz w:val="16"/>
                <w:szCs w:val="16"/>
              </w:rPr>
            </w:pPr>
            <w:r w:rsidRPr="007E3F4B">
              <w:rPr>
                <w:rFonts w:ascii="Arial Narrow" w:hAnsi="Arial Narrow"/>
                <w:b/>
                <w:sz w:val="16"/>
                <w:szCs w:val="16"/>
              </w:rPr>
              <w:t>Δ</w:t>
            </w:r>
          </w:p>
        </w:tc>
        <w:tc>
          <w:tcPr>
            <w:tcW w:w="4678" w:type="dxa"/>
            <w:shd w:val="clear" w:color="auto" w:fill="D9D9D9" w:themeFill="background1" w:themeFillShade="D9"/>
          </w:tcPr>
          <w:p w:rsidR="00BD2E37" w:rsidRPr="007E3F4B" w:rsidRDefault="00BD2E37" w:rsidP="00D64DC2">
            <w:pPr>
              <w:tabs>
                <w:tab w:val="left" w:pos="161"/>
                <w:tab w:val="num" w:pos="900"/>
              </w:tabs>
              <w:spacing w:before="60" w:after="60"/>
              <w:rPr>
                <w:rFonts w:ascii="Arial Narrow" w:hAnsi="Arial Narrow"/>
                <w:b/>
                <w:sz w:val="16"/>
                <w:szCs w:val="16"/>
              </w:rPr>
            </w:pPr>
            <w:r w:rsidRPr="007E3F4B">
              <w:rPr>
                <w:rFonts w:ascii="Arial Narrow" w:hAnsi="Arial Narrow"/>
                <w:b/>
                <w:sz w:val="16"/>
                <w:szCs w:val="16"/>
              </w:rPr>
              <w:t>Εθνικολογιστικές προσαρμογές</w:t>
            </w:r>
          </w:p>
        </w:tc>
        <w:tc>
          <w:tcPr>
            <w:tcW w:w="1984" w:type="dxa"/>
            <w:shd w:val="clear" w:color="auto" w:fill="D9D9D9" w:themeFill="background1" w:themeFillShade="D9"/>
            <w:vAlign w:val="center"/>
          </w:tcPr>
          <w:p w:rsidR="00BD2E37" w:rsidRPr="00BD2E37" w:rsidRDefault="00BD2E37" w:rsidP="001A440D">
            <w:pPr>
              <w:ind w:right="694"/>
              <w:jc w:val="right"/>
              <w:rPr>
                <w:rFonts w:ascii="Arial Narrow" w:hAnsi="Arial Narrow"/>
                <w:b/>
                <w:color w:val="000000"/>
                <w:sz w:val="16"/>
                <w:szCs w:val="16"/>
              </w:rPr>
            </w:pPr>
            <w:r w:rsidRPr="00BD2E37">
              <w:rPr>
                <w:rFonts w:ascii="Arial Narrow" w:hAnsi="Arial Narrow"/>
                <w:b/>
                <w:color w:val="000000"/>
                <w:sz w:val="16"/>
                <w:szCs w:val="16"/>
              </w:rPr>
              <w:t>115</w:t>
            </w:r>
          </w:p>
        </w:tc>
        <w:tc>
          <w:tcPr>
            <w:tcW w:w="1843" w:type="dxa"/>
            <w:tcBorders>
              <w:right w:val="single" w:sz="4" w:space="0" w:color="auto"/>
            </w:tcBorders>
            <w:shd w:val="clear" w:color="auto" w:fill="D9D9D9" w:themeFill="background1" w:themeFillShade="D9"/>
            <w:vAlign w:val="center"/>
          </w:tcPr>
          <w:p w:rsidR="00BD2E37" w:rsidRPr="00BD2E37" w:rsidRDefault="00BD2E37" w:rsidP="001A440D">
            <w:pPr>
              <w:ind w:right="694"/>
              <w:jc w:val="right"/>
              <w:rPr>
                <w:rFonts w:ascii="Arial Narrow" w:hAnsi="Arial Narrow"/>
                <w:b/>
                <w:color w:val="000000"/>
                <w:sz w:val="16"/>
                <w:szCs w:val="16"/>
              </w:rPr>
            </w:pPr>
            <w:r w:rsidRPr="00BD2E37">
              <w:rPr>
                <w:rFonts w:ascii="Arial Narrow" w:hAnsi="Arial Narrow"/>
                <w:b/>
                <w:color w:val="000000"/>
                <w:sz w:val="16"/>
                <w:szCs w:val="16"/>
              </w:rPr>
              <w:t>-46</w:t>
            </w:r>
          </w:p>
        </w:tc>
      </w:tr>
      <w:tr w:rsidR="00BD2E37" w:rsidRPr="006B2DB8" w:rsidTr="00D64DC2">
        <w:trPr>
          <w:cantSplit/>
          <w:jc w:val="center"/>
        </w:trPr>
        <w:tc>
          <w:tcPr>
            <w:tcW w:w="312" w:type="dxa"/>
            <w:tcBorders>
              <w:left w:val="single" w:sz="4" w:space="0" w:color="auto"/>
            </w:tcBorders>
            <w:shd w:val="clear" w:color="auto" w:fill="FFFFFF"/>
          </w:tcPr>
          <w:p w:rsidR="00BD2E37" w:rsidRPr="006B2DB8" w:rsidRDefault="00BD2E37" w:rsidP="00D64DC2">
            <w:pPr>
              <w:tabs>
                <w:tab w:val="num" w:pos="900"/>
              </w:tabs>
              <w:jc w:val="right"/>
              <w:rPr>
                <w:rFonts w:ascii="Arial Narrow" w:hAnsi="Arial Narrow"/>
                <w:sz w:val="16"/>
                <w:szCs w:val="16"/>
              </w:rPr>
            </w:pPr>
          </w:p>
        </w:tc>
        <w:tc>
          <w:tcPr>
            <w:tcW w:w="4678" w:type="dxa"/>
            <w:shd w:val="clear" w:color="auto" w:fill="FFFFFF"/>
          </w:tcPr>
          <w:p w:rsidR="00BD2E37" w:rsidRPr="00BE3746" w:rsidRDefault="00BD2E37" w:rsidP="00D64DC2">
            <w:pPr>
              <w:tabs>
                <w:tab w:val="left" w:pos="161"/>
                <w:tab w:val="num" w:pos="900"/>
              </w:tabs>
              <w:rPr>
                <w:rFonts w:ascii="Arial Narrow" w:hAnsi="Arial Narrow"/>
                <w:sz w:val="16"/>
                <w:szCs w:val="16"/>
              </w:rPr>
            </w:pPr>
          </w:p>
        </w:tc>
        <w:tc>
          <w:tcPr>
            <w:tcW w:w="1984" w:type="dxa"/>
            <w:shd w:val="clear" w:color="auto" w:fill="FFFFFF"/>
            <w:vAlign w:val="center"/>
          </w:tcPr>
          <w:p w:rsidR="00BD2E37" w:rsidRPr="00A504AE" w:rsidRDefault="00BD2E37" w:rsidP="001A440D">
            <w:pPr>
              <w:ind w:right="694"/>
              <w:jc w:val="right"/>
              <w:rPr>
                <w:rFonts w:ascii="Arial Narrow" w:hAnsi="Arial Narrow"/>
                <w:b/>
                <w:bCs/>
                <w:color w:val="000000"/>
                <w:sz w:val="16"/>
                <w:szCs w:val="16"/>
                <w:lang w:val="en-US"/>
              </w:rPr>
            </w:pPr>
          </w:p>
        </w:tc>
        <w:tc>
          <w:tcPr>
            <w:tcW w:w="1843" w:type="dxa"/>
            <w:tcBorders>
              <w:right w:val="single" w:sz="4" w:space="0" w:color="auto"/>
            </w:tcBorders>
            <w:shd w:val="clear" w:color="auto" w:fill="FFFFFF"/>
            <w:vAlign w:val="center"/>
          </w:tcPr>
          <w:p w:rsidR="00BD2E37" w:rsidRPr="00A504AE" w:rsidRDefault="00BD2E37" w:rsidP="001A440D">
            <w:pPr>
              <w:ind w:right="694"/>
              <w:jc w:val="right"/>
              <w:rPr>
                <w:rFonts w:ascii="Arial Narrow" w:hAnsi="Arial Narrow"/>
                <w:b/>
                <w:bCs/>
                <w:color w:val="000000"/>
                <w:sz w:val="16"/>
                <w:szCs w:val="16"/>
                <w:lang w:val="en-US"/>
              </w:rPr>
            </w:pPr>
          </w:p>
        </w:tc>
      </w:tr>
      <w:tr w:rsidR="00BD2E37" w:rsidRPr="00BE3746" w:rsidTr="00D64DC2">
        <w:trPr>
          <w:cantSplit/>
          <w:jc w:val="center"/>
        </w:trPr>
        <w:tc>
          <w:tcPr>
            <w:tcW w:w="312" w:type="dxa"/>
            <w:tcBorders>
              <w:left w:val="single" w:sz="4" w:space="0" w:color="auto"/>
              <w:bottom w:val="single" w:sz="4" w:space="0" w:color="auto"/>
            </w:tcBorders>
            <w:shd w:val="clear" w:color="auto" w:fill="D9D9D9" w:themeFill="background1" w:themeFillShade="D9"/>
          </w:tcPr>
          <w:p w:rsidR="00BD2E37" w:rsidRPr="00BE3746" w:rsidRDefault="00BD2E37" w:rsidP="00D64DC2">
            <w:pPr>
              <w:tabs>
                <w:tab w:val="num" w:pos="900"/>
              </w:tabs>
              <w:spacing w:before="60" w:after="60"/>
              <w:jc w:val="right"/>
              <w:rPr>
                <w:rFonts w:ascii="Arial Narrow" w:hAnsi="Arial Narrow"/>
                <w:b/>
                <w:sz w:val="16"/>
                <w:szCs w:val="16"/>
              </w:rPr>
            </w:pPr>
            <w:r>
              <w:rPr>
                <w:rFonts w:ascii="Arial Narrow" w:hAnsi="Arial Narrow"/>
                <w:b/>
                <w:sz w:val="16"/>
                <w:szCs w:val="16"/>
              </w:rPr>
              <w:t>Ε</w:t>
            </w:r>
          </w:p>
        </w:tc>
        <w:tc>
          <w:tcPr>
            <w:tcW w:w="4678" w:type="dxa"/>
            <w:tcBorders>
              <w:bottom w:val="single" w:sz="4" w:space="0" w:color="auto"/>
            </w:tcBorders>
            <w:shd w:val="clear" w:color="auto" w:fill="D9D9D9" w:themeFill="background1" w:themeFillShade="D9"/>
          </w:tcPr>
          <w:p w:rsidR="00BD2E37" w:rsidRPr="001C464E" w:rsidRDefault="00BD2E37" w:rsidP="00D64DC2">
            <w:pPr>
              <w:tabs>
                <w:tab w:val="num" w:pos="900"/>
              </w:tabs>
              <w:spacing w:before="60" w:after="60"/>
              <w:rPr>
                <w:rFonts w:ascii="Arial Narrow" w:hAnsi="Arial Narrow"/>
                <w:b/>
                <w:sz w:val="16"/>
                <w:szCs w:val="16"/>
              </w:rPr>
            </w:pPr>
            <w:r>
              <w:rPr>
                <w:rFonts w:ascii="Arial Narrow" w:hAnsi="Arial Narrow"/>
                <w:b/>
                <w:sz w:val="16"/>
                <w:szCs w:val="16"/>
              </w:rPr>
              <w:t xml:space="preserve">Ισοζύγιο </w:t>
            </w:r>
            <w:r w:rsidRPr="00BE3746">
              <w:rPr>
                <w:rFonts w:ascii="Arial Narrow" w:hAnsi="Arial Narrow"/>
                <w:b/>
                <w:sz w:val="16"/>
                <w:szCs w:val="16"/>
              </w:rPr>
              <w:t xml:space="preserve">κατά </w:t>
            </w:r>
            <w:r w:rsidRPr="00BE3746">
              <w:rPr>
                <w:rFonts w:ascii="Arial Narrow" w:hAnsi="Arial Narrow"/>
                <w:b/>
                <w:sz w:val="16"/>
                <w:szCs w:val="16"/>
                <w:lang w:val="en-GB"/>
              </w:rPr>
              <w:t>ESA</w:t>
            </w:r>
            <w:r>
              <w:rPr>
                <w:rFonts w:ascii="Arial Narrow" w:hAnsi="Arial Narrow"/>
                <w:b/>
                <w:sz w:val="16"/>
                <w:szCs w:val="16"/>
              </w:rPr>
              <w:t xml:space="preserve"> (Γ + Δ)</w:t>
            </w:r>
          </w:p>
        </w:tc>
        <w:tc>
          <w:tcPr>
            <w:tcW w:w="1984" w:type="dxa"/>
            <w:tcBorders>
              <w:bottom w:val="single" w:sz="4" w:space="0" w:color="auto"/>
            </w:tcBorders>
            <w:shd w:val="clear" w:color="auto" w:fill="D9D9D9" w:themeFill="background1" w:themeFillShade="D9"/>
            <w:vAlign w:val="center"/>
          </w:tcPr>
          <w:p w:rsidR="00BD2E37" w:rsidRPr="00A504AE" w:rsidRDefault="00BD2E37" w:rsidP="001A440D">
            <w:pPr>
              <w:ind w:right="694"/>
              <w:jc w:val="right"/>
              <w:rPr>
                <w:rFonts w:ascii="Arial Narrow" w:hAnsi="Arial Narrow"/>
                <w:b/>
                <w:bCs/>
                <w:color w:val="000000"/>
                <w:sz w:val="16"/>
                <w:szCs w:val="16"/>
                <w:lang w:val="en-US"/>
              </w:rPr>
            </w:pPr>
            <w:r w:rsidRPr="00A504AE">
              <w:rPr>
                <w:rFonts w:ascii="Arial Narrow" w:hAnsi="Arial Narrow"/>
                <w:b/>
                <w:bCs/>
                <w:color w:val="000000"/>
                <w:sz w:val="16"/>
                <w:szCs w:val="16"/>
              </w:rPr>
              <w:t>8</w:t>
            </w:r>
            <w:r w:rsidRPr="00A504AE">
              <w:rPr>
                <w:rFonts w:ascii="Arial Narrow" w:hAnsi="Arial Narrow"/>
                <w:b/>
                <w:bCs/>
                <w:color w:val="000000"/>
                <w:sz w:val="16"/>
                <w:szCs w:val="16"/>
                <w:lang w:val="en-US"/>
              </w:rPr>
              <w:t>0</w:t>
            </w:r>
          </w:p>
        </w:tc>
        <w:tc>
          <w:tcPr>
            <w:tcW w:w="1843" w:type="dxa"/>
            <w:tcBorders>
              <w:bottom w:val="single" w:sz="4" w:space="0" w:color="auto"/>
              <w:right w:val="single" w:sz="4" w:space="0" w:color="auto"/>
            </w:tcBorders>
            <w:shd w:val="clear" w:color="auto" w:fill="D9D9D9" w:themeFill="background1" w:themeFillShade="D9"/>
            <w:vAlign w:val="center"/>
          </w:tcPr>
          <w:p w:rsidR="00BD2E37" w:rsidRPr="00A504AE" w:rsidRDefault="00BD2E37" w:rsidP="001A440D">
            <w:pPr>
              <w:ind w:right="694"/>
              <w:jc w:val="right"/>
              <w:rPr>
                <w:rFonts w:ascii="Arial Narrow" w:hAnsi="Arial Narrow"/>
                <w:b/>
                <w:bCs/>
                <w:color w:val="000000"/>
                <w:sz w:val="16"/>
                <w:szCs w:val="16"/>
                <w:lang w:val="en-US"/>
              </w:rPr>
            </w:pPr>
            <w:r w:rsidRPr="00A504AE">
              <w:rPr>
                <w:rFonts w:ascii="Arial Narrow" w:hAnsi="Arial Narrow"/>
                <w:b/>
                <w:bCs/>
                <w:color w:val="000000"/>
                <w:sz w:val="16"/>
                <w:szCs w:val="16"/>
              </w:rPr>
              <w:t>-</w:t>
            </w:r>
            <w:r w:rsidRPr="00A504AE">
              <w:rPr>
                <w:rFonts w:ascii="Arial Narrow" w:hAnsi="Arial Narrow"/>
                <w:b/>
                <w:bCs/>
                <w:color w:val="000000"/>
                <w:sz w:val="16"/>
                <w:szCs w:val="16"/>
                <w:lang w:val="en-US"/>
              </w:rPr>
              <w:t>4</w:t>
            </w:r>
          </w:p>
        </w:tc>
      </w:tr>
    </w:tbl>
    <w:p w:rsidR="00D64DC2" w:rsidRDefault="00D64DC2" w:rsidP="00D64DC2">
      <w:pPr>
        <w:rPr>
          <w:rFonts w:ascii="Arial Narrow" w:hAnsi="Arial Narrow"/>
          <w:sz w:val="16"/>
        </w:rPr>
      </w:pPr>
    </w:p>
    <w:p w:rsidR="00D64DC2" w:rsidRDefault="00D64DC2" w:rsidP="00D64DC2">
      <w:pPr>
        <w:rPr>
          <w:sz w:val="22"/>
        </w:rPr>
      </w:pPr>
    </w:p>
    <w:p w:rsidR="00D64DC2" w:rsidRDefault="00D64DC2">
      <w:pPr>
        <w:rPr>
          <w:sz w:val="22"/>
          <w:lang w:val="en-US"/>
        </w:rPr>
      </w:pPr>
    </w:p>
    <w:p w:rsidR="00D64DC2" w:rsidRDefault="00D64DC2">
      <w:pPr>
        <w:rPr>
          <w:sz w:val="22"/>
          <w:lang w:val="en-US"/>
        </w:rPr>
      </w:pPr>
    </w:p>
    <w:p w:rsidR="00CD41E5" w:rsidRDefault="00CD41E5">
      <w:pPr>
        <w:rPr>
          <w:sz w:val="22"/>
        </w:rPr>
      </w:pPr>
      <w:r>
        <w:rPr>
          <w:sz w:val="22"/>
        </w:rPr>
        <w:br w:type="page"/>
      </w:r>
    </w:p>
    <w:p w:rsidR="005F39F3" w:rsidRDefault="005F39F3" w:rsidP="009E495E">
      <w:pPr>
        <w:jc w:val="both"/>
        <w:rPr>
          <w:sz w:val="22"/>
        </w:rPr>
      </w:pPr>
    </w:p>
    <w:p w:rsidR="00AC6072" w:rsidRPr="00E741C4" w:rsidRDefault="00143E34" w:rsidP="00AC6072">
      <w:pPr>
        <w:shd w:val="clear" w:color="auto" w:fill="595959"/>
        <w:jc w:val="both"/>
        <w:rPr>
          <w:rFonts w:ascii="Arial Narrow" w:hAnsi="Arial Narrow"/>
          <w:b/>
          <w:color w:val="FFFFFF"/>
          <w:sz w:val="26"/>
          <w:szCs w:val="22"/>
        </w:rPr>
      </w:pPr>
      <w:r>
        <w:rPr>
          <w:rFonts w:ascii="Arial Narrow" w:hAnsi="Arial Narrow"/>
          <w:b/>
          <w:color w:val="FFFFFF"/>
          <w:sz w:val="26"/>
          <w:szCs w:val="22"/>
        </w:rPr>
        <w:t>8</w:t>
      </w:r>
      <w:r w:rsidR="00AC6072" w:rsidRPr="00E741C4">
        <w:rPr>
          <w:rFonts w:ascii="Arial Narrow" w:hAnsi="Arial Narrow"/>
          <w:b/>
          <w:color w:val="FFFFFF"/>
          <w:sz w:val="26"/>
          <w:szCs w:val="22"/>
        </w:rPr>
        <w:t>.</w:t>
      </w:r>
      <w:r w:rsidR="00AC6072" w:rsidRPr="00E741C4">
        <w:rPr>
          <w:rFonts w:ascii="Arial Narrow" w:hAnsi="Arial Narrow"/>
          <w:b/>
          <w:color w:val="FFFFFF"/>
          <w:sz w:val="26"/>
          <w:szCs w:val="22"/>
        </w:rPr>
        <w:tab/>
      </w:r>
      <w:r w:rsidR="00AC6072">
        <w:rPr>
          <w:rFonts w:ascii="Arial Narrow" w:hAnsi="Arial Narrow"/>
          <w:b/>
          <w:color w:val="FFFFFF"/>
          <w:sz w:val="26"/>
          <w:szCs w:val="22"/>
        </w:rPr>
        <w:t xml:space="preserve">Ληξιπρόθεσμες </w:t>
      </w:r>
      <w:r w:rsidR="000B4D9D">
        <w:rPr>
          <w:rFonts w:ascii="Arial Narrow" w:hAnsi="Arial Narrow"/>
          <w:b/>
          <w:color w:val="FFFFFF"/>
          <w:sz w:val="26"/>
          <w:szCs w:val="22"/>
        </w:rPr>
        <w:t>οφειλές της Γενικής Κυβέρνησης προς τρίτους</w:t>
      </w:r>
    </w:p>
    <w:p w:rsidR="00AC6072" w:rsidRDefault="00AC6072" w:rsidP="00AC6072">
      <w:pPr>
        <w:jc w:val="both"/>
        <w:rPr>
          <w:b/>
        </w:rPr>
      </w:pPr>
    </w:p>
    <w:p w:rsidR="002B212A" w:rsidRPr="002B212A" w:rsidRDefault="002B212A" w:rsidP="002B212A">
      <w:pPr>
        <w:jc w:val="both"/>
        <w:rPr>
          <w:bCs/>
          <w:sz w:val="22"/>
        </w:rPr>
      </w:pPr>
      <w:r w:rsidRPr="002B212A">
        <w:rPr>
          <w:bCs/>
          <w:sz w:val="22"/>
        </w:rPr>
        <w:t>Η εξόφληση των ληξιπρόθεσμων υποχρεώσεων της Γενικής Κυβέρνησης προς τρίτους, η αποφυγή δημιουργίας νέων, καθώς και η θέσπιση και υλοποίηση μεταρρυθμίσεων, προκειμένου να αντιμετωπ</w:t>
      </w:r>
      <w:r w:rsidRPr="002B212A">
        <w:rPr>
          <w:bCs/>
          <w:sz w:val="22"/>
        </w:rPr>
        <w:t>ι</w:t>
      </w:r>
      <w:r w:rsidRPr="002B212A">
        <w:rPr>
          <w:bCs/>
          <w:sz w:val="22"/>
        </w:rPr>
        <w:t>στούν τα δομικά αίτια δημιουργίας τους, συνιστούν στο πλαίσιο της ενισχυμένης εποπτείας</w:t>
      </w:r>
      <w:r w:rsidRPr="002B212A">
        <w:rPr>
          <w:bCs/>
          <w:sz w:val="22"/>
          <w:vertAlign w:val="superscript"/>
        </w:rPr>
        <w:footnoteReference w:id="2"/>
      </w:r>
      <w:r w:rsidRPr="002B212A">
        <w:rPr>
          <w:bCs/>
          <w:sz w:val="22"/>
        </w:rPr>
        <w:t xml:space="preserve"> τόσο α</w:t>
      </w:r>
      <w:r w:rsidRPr="002B212A">
        <w:rPr>
          <w:bCs/>
          <w:sz w:val="22"/>
        </w:rPr>
        <w:t>υ</w:t>
      </w:r>
      <w:r w:rsidRPr="002B212A">
        <w:rPr>
          <w:bCs/>
          <w:sz w:val="22"/>
        </w:rPr>
        <w:t>τοτελείς στόχους όσο και επιμέρους συνιστώσες για την εξυγίανση των προϋπολογισμών των φορέων της Γενικής Κυβέρνησης (ΦΓΚ) και την ενίσχυση της ρευστότητας της οικονομίας.</w:t>
      </w:r>
    </w:p>
    <w:p w:rsidR="002B212A" w:rsidRPr="002B212A" w:rsidRDefault="002B212A" w:rsidP="002B212A">
      <w:pPr>
        <w:jc w:val="both"/>
        <w:rPr>
          <w:bCs/>
          <w:sz w:val="22"/>
        </w:rPr>
      </w:pPr>
    </w:p>
    <w:p w:rsidR="002B212A" w:rsidRPr="002B212A" w:rsidRDefault="002B212A" w:rsidP="002B212A">
      <w:pPr>
        <w:jc w:val="both"/>
        <w:rPr>
          <w:bCs/>
          <w:sz w:val="22"/>
        </w:rPr>
      </w:pPr>
      <w:r w:rsidRPr="002B212A">
        <w:rPr>
          <w:bCs/>
          <w:sz w:val="22"/>
        </w:rPr>
        <w:t>Για την υποβοήθηση και την ενίσχυση της αποτελεσματικότητας των ΦΓΚ ως προς την επίτευξη των ανωτέρω στόχων, συστάθηκε στο Υπουργείο Οικονομικών/Γενικό Λογιστήριο του Κράτους ήδη από τα τέλη του 2019</w:t>
      </w:r>
      <w:r w:rsidRPr="002B212A">
        <w:rPr>
          <w:bCs/>
          <w:sz w:val="22"/>
          <w:vertAlign w:val="superscript"/>
        </w:rPr>
        <w:footnoteReference w:id="3"/>
      </w:r>
      <w:r w:rsidRPr="002B212A">
        <w:rPr>
          <w:bCs/>
          <w:sz w:val="22"/>
        </w:rPr>
        <w:t xml:space="preserve"> Συντονιστική Επιτροπή για την παρακολούθηση της εξέλιξης και τη διαχείριση των ληξιπρόθεσμων υποχρεώσεων προς τρίτους των ΦΓΚ (εφεξής: Συντονιστική Επιτροπή).</w:t>
      </w:r>
    </w:p>
    <w:p w:rsidR="002B212A" w:rsidRPr="002B212A" w:rsidRDefault="002B212A" w:rsidP="002B212A">
      <w:pPr>
        <w:jc w:val="both"/>
        <w:rPr>
          <w:bCs/>
          <w:sz w:val="22"/>
        </w:rPr>
      </w:pPr>
    </w:p>
    <w:p w:rsidR="002B212A" w:rsidRPr="002B212A" w:rsidRDefault="002B212A" w:rsidP="002B212A">
      <w:pPr>
        <w:jc w:val="both"/>
        <w:rPr>
          <w:bCs/>
          <w:sz w:val="22"/>
        </w:rPr>
      </w:pPr>
      <w:r w:rsidRPr="002B212A">
        <w:rPr>
          <w:bCs/>
          <w:sz w:val="22"/>
        </w:rPr>
        <w:t>Στο πλαίσιο του έργου της Συντονιστικής Επιτροπής, υιοθετήθηκε τον Οκτώβριο του 2019 ένα ευρύ σχέδιο δράσης για την εκκαθάριση των ληξιπρόθεσμων υποχρεώσεων των ΦΓΚ, το οποίο περιλαμβ</w:t>
      </w:r>
      <w:r w:rsidRPr="002B212A">
        <w:rPr>
          <w:bCs/>
          <w:sz w:val="22"/>
        </w:rPr>
        <w:t>ά</w:t>
      </w:r>
      <w:r w:rsidRPr="002B212A">
        <w:rPr>
          <w:bCs/>
          <w:sz w:val="22"/>
        </w:rPr>
        <w:t xml:space="preserve">νει οριζόντιες και τομεακές δράσεις, καθώς και ποσοτικοποιημένους στόχους ανά υποτομέα ή ΦΓΚ. Σύμφωνα </w:t>
      </w:r>
      <w:r w:rsidR="0030361D">
        <w:rPr>
          <w:bCs/>
          <w:sz w:val="22"/>
        </w:rPr>
        <w:t xml:space="preserve">με </w:t>
      </w:r>
      <w:r w:rsidRPr="002B212A">
        <w:rPr>
          <w:bCs/>
          <w:sz w:val="22"/>
        </w:rPr>
        <w:t>το εν λόγω σχέδιο, το ύψος των ληξιπρόθεσμων υποχρεώσεων σε καθαρή βάση</w:t>
      </w:r>
      <w:r w:rsidRPr="002B212A">
        <w:rPr>
          <w:bCs/>
          <w:sz w:val="22"/>
          <w:vertAlign w:val="superscript"/>
        </w:rPr>
        <w:footnoteReference w:id="4"/>
      </w:r>
      <w:r w:rsidRPr="002B212A">
        <w:rPr>
          <w:bCs/>
          <w:sz w:val="22"/>
        </w:rPr>
        <w:t xml:space="preserve"> των ΦΓΚ προς τρίτους</w:t>
      </w:r>
      <w:r w:rsidR="0030361D">
        <w:rPr>
          <w:bCs/>
          <w:sz w:val="22"/>
        </w:rPr>
        <w:t>,</w:t>
      </w:r>
      <w:r w:rsidRPr="002B212A">
        <w:rPr>
          <w:bCs/>
          <w:sz w:val="22"/>
        </w:rPr>
        <w:t xml:space="preserve"> αλλά και το ύψος των εκκρεμών επιστροφών φόρων θα πρέπει να έχουν ελαχιστ</w:t>
      </w:r>
      <w:r w:rsidRPr="002B212A">
        <w:rPr>
          <w:bCs/>
          <w:sz w:val="22"/>
        </w:rPr>
        <w:t>ο</w:t>
      </w:r>
      <w:r w:rsidRPr="002B212A">
        <w:rPr>
          <w:bCs/>
          <w:sz w:val="22"/>
        </w:rPr>
        <w:t>ποιηθεί μέχρι τον Δεκέμβριο του τρέχοντος έτους (2020). Αντίστοιχα, το σχέδιο προβλέπει την εκκ</w:t>
      </w:r>
      <w:r w:rsidRPr="002B212A">
        <w:rPr>
          <w:bCs/>
          <w:sz w:val="22"/>
        </w:rPr>
        <w:t>α</w:t>
      </w:r>
      <w:r w:rsidRPr="002B212A">
        <w:rPr>
          <w:bCs/>
          <w:sz w:val="22"/>
        </w:rPr>
        <w:t>θάριση και αποπληρωμή σχεδόν στο σύνολό τους των υποχρεώσεων που απορρέουν από εκκρεμείς αιτήσεις συνταξιοδότησης μέχρι τα μέσα του 2021.</w:t>
      </w:r>
    </w:p>
    <w:p w:rsidR="002B212A" w:rsidRPr="002B212A" w:rsidRDefault="002B212A" w:rsidP="002B212A">
      <w:pPr>
        <w:jc w:val="both"/>
        <w:rPr>
          <w:bCs/>
          <w:sz w:val="22"/>
        </w:rPr>
      </w:pPr>
    </w:p>
    <w:p w:rsidR="00490137" w:rsidRDefault="002B212A" w:rsidP="002B212A">
      <w:pPr>
        <w:jc w:val="both"/>
        <w:rPr>
          <w:bCs/>
          <w:sz w:val="22"/>
        </w:rPr>
      </w:pPr>
      <w:r w:rsidRPr="002B212A">
        <w:rPr>
          <w:bCs/>
          <w:sz w:val="22"/>
        </w:rPr>
        <w:t xml:space="preserve">Ωστόσο, η υλοποίηση του προαναφερόμενου σχεδίου δράσης επηρεάστηκε αρνητικά </w:t>
      </w:r>
      <w:r w:rsidR="007175B8">
        <w:rPr>
          <w:bCs/>
          <w:sz w:val="22"/>
        </w:rPr>
        <w:t>κυρίως</w:t>
      </w:r>
      <w:r w:rsidRPr="002B212A">
        <w:rPr>
          <w:bCs/>
          <w:sz w:val="22"/>
        </w:rPr>
        <w:t xml:space="preserve"> σε όρους χρόνου και ποσών αποπληρωμής, λόγω της ενσκήψασας υγειονομικής κρίσης και των μέτρων που υ</w:t>
      </w:r>
      <w:r w:rsidRPr="002B212A">
        <w:rPr>
          <w:bCs/>
          <w:sz w:val="22"/>
        </w:rPr>
        <w:t>ι</w:t>
      </w:r>
      <w:r w:rsidRPr="002B212A">
        <w:rPr>
          <w:bCs/>
          <w:sz w:val="22"/>
        </w:rPr>
        <w:t>οθετήθηκαν για την ανάσχεση της πανδημίας. Ιδίως τα μέτρα απαγόρευσης κυκλοφορίας (</w:t>
      </w:r>
      <w:r w:rsidRPr="002B212A">
        <w:rPr>
          <w:bCs/>
          <w:sz w:val="22"/>
          <w:lang w:val="en-US"/>
        </w:rPr>
        <w:t>lockdown</w:t>
      </w:r>
      <w:r w:rsidRPr="002B212A">
        <w:rPr>
          <w:bCs/>
          <w:sz w:val="22"/>
        </w:rPr>
        <w:t>) κατά το β΄ κυρίως τρίμηνο του 2020 είχαν ως αποτέλεσμα σημαντικές καθυστερήσεις στις διαδικασίες εκκαθάρισης και πληρωμής των υποχρεώσεων των ΦΓΚ</w:t>
      </w:r>
      <w:r w:rsidR="00490137">
        <w:rPr>
          <w:bCs/>
          <w:sz w:val="22"/>
        </w:rPr>
        <w:t>.</w:t>
      </w:r>
    </w:p>
    <w:p w:rsidR="002B212A" w:rsidRDefault="00490137" w:rsidP="002B212A">
      <w:pPr>
        <w:jc w:val="both"/>
        <w:rPr>
          <w:bCs/>
          <w:sz w:val="22"/>
        </w:rPr>
      </w:pPr>
      <w:r>
        <w:rPr>
          <w:bCs/>
          <w:sz w:val="22"/>
        </w:rPr>
        <w:t xml:space="preserve"> </w:t>
      </w:r>
    </w:p>
    <w:p w:rsidR="002B212A" w:rsidRPr="002B212A" w:rsidRDefault="002B212A" w:rsidP="002B212A">
      <w:pPr>
        <w:jc w:val="both"/>
        <w:rPr>
          <w:bCs/>
          <w:sz w:val="22"/>
        </w:rPr>
      </w:pPr>
      <w:r w:rsidRPr="002B212A">
        <w:rPr>
          <w:bCs/>
          <w:sz w:val="22"/>
        </w:rPr>
        <w:t>Προς τον σκοπό αποκατάστασης του ρυθμού υλοποίησης του σχεδίου δράσης για την εκκαθάριση των ληξιπρόθεσμων υποχρεώσεών τους και την επίτευξη των συναφών στόχων ελαχιστοποίησης ή/και μηδενισμού αυτών, οι φορείς έχουν υιοθετήσει κατά περίπτωση μέτρα για την κατά το δυνατόν ταχ</w:t>
      </w:r>
      <w:r w:rsidRPr="002B212A">
        <w:rPr>
          <w:bCs/>
          <w:sz w:val="22"/>
        </w:rPr>
        <w:t>ύ</w:t>
      </w:r>
      <w:r w:rsidRPr="002B212A">
        <w:rPr>
          <w:bCs/>
          <w:sz w:val="22"/>
        </w:rPr>
        <w:t>τερη και αποτελεσματικότερη απομείωση των συσσωρευμένων ληξιπρόθεσμων υποχρεώσεών τους.</w:t>
      </w:r>
    </w:p>
    <w:p w:rsidR="002B212A" w:rsidRDefault="002B212A" w:rsidP="002B212A">
      <w:pPr>
        <w:jc w:val="both"/>
        <w:rPr>
          <w:bCs/>
          <w:sz w:val="22"/>
        </w:rPr>
      </w:pPr>
    </w:p>
    <w:p w:rsidR="002B212A" w:rsidRDefault="002B212A" w:rsidP="002B212A">
      <w:pPr>
        <w:jc w:val="both"/>
        <w:rPr>
          <w:bCs/>
          <w:sz w:val="22"/>
        </w:rPr>
      </w:pPr>
      <w:r w:rsidRPr="002B212A">
        <w:rPr>
          <w:bCs/>
          <w:sz w:val="22"/>
        </w:rPr>
        <w:t>Ενδεικτικά παρατίθενται τα ακόλουθα:</w:t>
      </w:r>
    </w:p>
    <w:p w:rsidR="002B212A" w:rsidRPr="002B212A" w:rsidRDefault="002B212A" w:rsidP="002B212A">
      <w:pPr>
        <w:jc w:val="both"/>
        <w:rPr>
          <w:bCs/>
          <w:sz w:val="22"/>
        </w:rPr>
      </w:pPr>
    </w:p>
    <w:p w:rsidR="002B212A" w:rsidRPr="002B212A" w:rsidRDefault="002B212A" w:rsidP="002B212A">
      <w:pPr>
        <w:pStyle w:val="af2"/>
        <w:numPr>
          <w:ilvl w:val="0"/>
          <w:numId w:val="25"/>
        </w:numPr>
        <w:spacing w:after="0" w:line="240" w:lineRule="auto"/>
        <w:ind w:left="340" w:hanging="340"/>
        <w:contextualSpacing w:val="0"/>
        <w:jc w:val="both"/>
        <w:rPr>
          <w:rFonts w:ascii="Arial Narrow" w:hAnsi="Arial Narrow"/>
          <w:b/>
          <w:bCs/>
          <w:color w:val="0D2DB3"/>
          <w:lang w:val="en-US"/>
        </w:rPr>
      </w:pPr>
      <w:bookmarkStart w:id="6" w:name="_Toc45098220"/>
      <w:r w:rsidRPr="002B212A">
        <w:rPr>
          <w:rFonts w:ascii="Arial Narrow" w:hAnsi="Arial Narrow"/>
          <w:b/>
          <w:bCs/>
          <w:color w:val="0D2DB3"/>
        </w:rPr>
        <w:t>Οργανισμοί Τοπικής Αυτοδιοίκησης (ΟΤΑ)</w:t>
      </w:r>
      <w:bookmarkEnd w:id="6"/>
    </w:p>
    <w:p w:rsidR="002B212A" w:rsidRDefault="002B212A" w:rsidP="002B212A">
      <w:pPr>
        <w:jc w:val="both"/>
        <w:rPr>
          <w:bCs/>
          <w:sz w:val="22"/>
        </w:rPr>
      </w:pPr>
    </w:p>
    <w:p w:rsidR="002B212A" w:rsidRPr="002B212A" w:rsidRDefault="002B212A" w:rsidP="002B212A">
      <w:pPr>
        <w:jc w:val="both"/>
        <w:rPr>
          <w:bCs/>
          <w:sz w:val="22"/>
        </w:rPr>
      </w:pPr>
      <w:r w:rsidRPr="002B212A">
        <w:rPr>
          <w:bCs/>
          <w:sz w:val="22"/>
        </w:rPr>
        <w:t>Οι ληξιπρόθεσμες υποχρεώσεις των ΟΤΑ προς τρίτους ανήλθαν τον μήνα Σεπτέμβριο στο ποσό των 230 εκ</w:t>
      </w:r>
      <w:r>
        <w:rPr>
          <w:bCs/>
          <w:sz w:val="22"/>
        </w:rPr>
        <w:t>ατ</w:t>
      </w:r>
      <w:r w:rsidRPr="002B212A">
        <w:rPr>
          <w:bCs/>
          <w:sz w:val="22"/>
        </w:rPr>
        <w:t>. ευρώ και αφαιρουμένων των προσαρμογών</w:t>
      </w:r>
      <w:r w:rsidR="009E5798">
        <w:rPr>
          <w:bCs/>
          <w:sz w:val="22"/>
        </w:rPr>
        <w:t xml:space="preserve"> </w:t>
      </w:r>
      <w:r w:rsidRPr="002B212A">
        <w:rPr>
          <w:bCs/>
          <w:sz w:val="22"/>
        </w:rPr>
        <w:t>σε 180 εκ</w:t>
      </w:r>
      <w:r>
        <w:rPr>
          <w:bCs/>
          <w:sz w:val="22"/>
        </w:rPr>
        <w:t>ατ</w:t>
      </w:r>
      <w:r w:rsidRPr="002B212A">
        <w:rPr>
          <w:bCs/>
          <w:sz w:val="22"/>
        </w:rPr>
        <w:t>. ευρώ.</w:t>
      </w:r>
    </w:p>
    <w:p w:rsidR="002B212A" w:rsidRPr="002B212A" w:rsidRDefault="002B212A" w:rsidP="002B212A">
      <w:pPr>
        <w:jc w:val="both"/>
        <w:rPr>
          <w:bCs/>
          <w:color w:val="0D2DB3"/>
          <w:sz w:val="22"/>
        </w:rPr>
      </w:pPr>
    </w:p>
    <w:p w:rsidR="002B212A" w:rsidRPr="002B212A" w:rsidRDefault="002B212A" w:rsidP="002B212A">
      <w:pPr>
        <w:jc w:val="both"/>
        <w:rPr>
          <w:bCs/>
          <w:sz w:val="22"/>
        </w:rPr>
      </w:pPr>
      <w:r w:rsidRPr="002B212A">
        <w:rPr>
          <w:bCs/>
          <w:sz w:val="22"/>
        </w:rPr>
        <w:t>Για την ταχεία εκκαθάριση και αποπληρωμή τους, τα Υπουργεία Οικονομικών και Εσωτερικών συ</w:t>
      </w:r>
      <w:r w:rsidRPr="002B212A">
        <w:rPr>
          <w:bCs/>
          <w:sz w:val="22"/>
        </w:rPr>
        <w:t>μ</w:t>
      </w:r>
      <w:r w:rsidRPr="002B212A">
        <w:rPr>
          <w:bCs/>
          <w:sz w:val="22"/>
        </w:rPr>
        <w:t>φώνησαν στην υλοποίηση, μέχρι τα τέλη Νοεμβρίου 2020, προγράμματος ενίσχυσης των ΟΤΑ από τον Κρατικό Προϋπολογισμό, που</w:t>
      </w:r>
      <w:r w:rsidR="009E5798">
        <w:rPr>
          <w:bCs/>
          <w:sz w:val="22"/>
        </w:rPr>
        <w:t xml:space="preserve"> </w:t>
      </w:r>
      <w:r w:rsidRPr="002B212A">
        <w:rPr>
          <w:bCs/>
          <w:sz w:val="22"/>
        </w:rPr>
        <w:t>ανέρχεται μέχρι του ποσού των 120 εκ</w:t>
      </w:r>
      <w:r w:rsidR="00704E78">
        <w:rPr>
          <w:bCs/>
          <w:sz w:val="22"/>
        </w:rPr>
        <w:t>ατ</w:t>
      </w:r>
      <w:r w:rsidRPr="002B212A">
        <w:rPr>
          <w:bCs/>
          <w:sz w:val="22"/>
        </w:rPr>
        <w:t>. ευρώ</w:t>
      </w:r>
      <w:r w:rsidRPr="002B212A">
        <w:rPr>
          <w:bCs/>
          <w:sz w:val="22"/>
          <w:vertAlign w:val="superscript"/>
        </w:rPr>
        <w:footnoteReference w:id="5"/>
      </w:r>
      <w:r w:rsidRPr="002B212A">
        <w:rPr>
          <w:bCs/>
          <w:sz w:val="22"/>
        </w:rPr>
        <w:t xml:space="preserve">. Σύμφωνα με τη </w:t>
      </w:r>
      <w:r w:rsidRPr="002B212A">
        <w:rPr>
          <w:bCs/>
          <w:sz w:val="22"/>
        </w:rPr>
        <w:lastRenderedPageBreak/>
        <w:t>σχετική διάταξη</w:t>
      </w:r>
      <w:r w:rsidR="00554C83">
        <w:rPr>
          <w:bCs/>
          <w:sz w:val="22"/>
        </w:rPr>
        <w:t>,</w:t>
      </w:r>
      <w:r w:rsidRPr="002B212A">
        <w:rPr>
          <w:bCs/>
          <w:sz w:val="22"/>
        </w:rPr>
        <w:t xml:space="preserve"> το 60% των πιστώσεων που διατίθενται στο πλαίσιο του προγράμματος, παρακρ</w:t>
      </w:r>
      <w:r w:rsidRPr="002B212A">
        <w:rPr>
          <w:bCs/>
          <w:sz w:val="22"/>
        </w:rPr>
        <w:t>α</w:t>
      </w:r>
      <w:r w:rsidRPr="002B212A">
        <w:rPr>
          <w:bCs/>
          <w:sz w:val="22"/>
        </w:rPr>
        <w:t>τείται ισόποσα κατά τα έτη 2022 έως και 2027 από τους προβλεπόμενους στα άρθρα 259 και 260 του ν.3852/</w:t>
      </w:r>
      <w:r w:rsidR="00704E78">
        <w:rPr>
          <w:bCs/>
          <w:sz w:val="22"/>
        </w:rPr>
        <w:t>2010 πόρους που εγγράφονται κατ’</w:t>
      </w:r>
      <w:r w:rsidRPr="002B212A">
        <w:rPr>
          <w:bCs/>
          <w:sz w:val="22"/>
        </w:rPr>
        <w:t xml:space="preserve"> έτος στον προϋπολογισμό του Υπουργείου Εσωτερικών για τους ΟΤΑ.</w:t>
      </w:r>
    </w:p>
    <w:p w:rsidR="00704E78" w:rsidRDefault="00704E78" w:rsidP="002B212A">
      <w:pPr>
        <w:jc w:val="both"/>
        <w:rPr>
          <w:bCs/>
          <w:sz w:val="22"/>
        </w:rPr>
      </w:pPr>
    </w:p>
    <w:p w:rsidR="002B212A" w:rsidRPr="002B212A" w:rsidRDefault="002B212A" w:rsidP="002B212A">
      <w:pPr>
        <w:jc w:val="both"/>
        <w:rPr>
          <w:bCs/>
          <w:sz w:val="22"/>
        </w:rPr>
      </w:pPr>
      <w:r w:rsidRPr="002B212A">
        <w:rPr>
          <w:bCs/>
          <w:sz w:val="22"/>
        </w:rPr>
        <w:t>Τα εν λόγω ποσά παρακρατούνται από τους υπόχρεους ΟΤΑ, στο πλαίσιο της μηνιαίας διαδικασίας κατανομής από το Υπουργείο Εσωτερικών των αποδιδόμενων σε αυτούς Κεντρικών Αυτοτελών Π</w:t>
      </w:r>
      <w:r w:rsidRPr="002B212A">
        <w:rPr>
          <w:bCs/>
          <w:sz w:val="22"/>
        </w:rPr>
        <w:t>ό</w:t>
      </w:r>
      <w:r w:rsidRPr="002B212A">
        <w:rPr>
          <w:bCs/>
          <w:sz w:val="22"/>
        </w:rPr>
        <w:t>ρων, αρχής γενομένης από την 1</w:t>
      </w:r>
      <w:r w:rsidRPr="002B212A">
        <w:rPr>
          <w:bCs/>
          <w:sz w:val="22"/>
          <w:vertAlign w:val="superscript"/>
        </w:rPr>
        <w:t>η</w:t>
      </w:r>
      <w:r w:rsidRPr="002B212A">
        <w:rPr>
          <w:bCs/>
          <w:sz w:val="22"/>
        </w:rPr>
        <w:t xml:space="preserve"> Ιανουαρίου 2022.</w:t>
      </w:r>
    </w:p>
    <w:p w:rsidR="00704E78" w:rsidRDefault="00704E78" w:rsidP="002B212A">
      <w:pPr>
        <w:jc w:val="both"/>
        <w:rPr>
          <w:bCs/>
          <w:sz w:val="22"/>
        </w:rPr>
      </w:pPr>
    </w:p>
    <w:p w:rsidR="002B212A" w:rsidRDefault="002B212A" w:rsidP="002B212A">
      <w:pPr>
        <w:jc w:val="both"/>
        <w:rPr>
          <w:bCs/>
          <w:sz w:val="22"/>
        </w:rPr>
      </w:pPr>
      <w:r w:rsidRPr="002B212A">
        <w:rPr>
          <w:bCs/>
          <w:sz w:val="22"/>
        </w:rPr>
        <w:t>Το πρόγραμμα αυτό αποτελεί μέρος της προσπάθειας για τη συνολική αντιμετώπιση του ζητήματος της δημιουργίας νέων ληξιπρόθεσμων υποχρεώσεων προς τρίτους από τους ΟΤΑ. Ειδικότερα,</w:t>
      </w:r>
      <w:r w:rsidR="009E5798">
        <w:rPr>
          <w:bCs/>
          <w:sz w:val="22"/>
        </w:rPr>
        <w:t xml:space="preserve"> </w:t>
      </w:r>
      <w:r w:rsidRPr="002B212A">
        <w:rPr>
          <w:bCs/>
          <w:sz w:val="22"/>
        </w:rPr>
        <w:t>σ</w:t>
      </w:r>
      <w:r w:rsidRPr="002B212A">
        <w:rPr>
          <w:bCs/>
          <w:sz w:val="22"/>
        </w:rPr>
        <w:t>υ</w:t>
      </w:r>
      <w:r w:rsidRPr="002B212A">
        <w:rPr>
          <w:bCs/>
          <w:sz w:val="22"/>
        </w:rPr>
        <w:t>μπληρώνεται από έναν νέο μηχανισμό αποτροπής σώρευσης ληξιπρόθεσμων υποχρεώσεων, που</w:t>
      </w:r>
      <w:r w:rsidR="009E5798">
        <w:rPr>
          <w:bCs/>
          <w:sz w:val="22"/>
        </w:rPr>
        <w:t xml:space="preserve"> </w:t>
      </w:r>
      <w:r w:rsidRPr="002B212A">
        <w:rPr>
          <w:bCs/>
          <w:sz w:val="22"/>
        </w:rPr>
        <w:t>υλ</w:t>
      </w:r>
      <w:r w:rsidRPr="002B212A">
        <w:rPr>
          <w:bCs/>
          <w:sz w:val="22"/>
        </w:rPr>
        <w:t>ο</w:t>
      </w:r>
      <w:r w:rsidRPr="002B212A">
        <w:rPr>
          <w:bCs/>
          <w:sz w:val="22"/>
        </w:rPr>
        <w:t>ποιείται σε συνεργασία με το Ταμείο Παρακαταθηκών και Δανείων (ΤΠ&amp;Δ)</w:t>
      </w:r>
      <w:r w:rsidRPr="002B212A">
        <w:rPr>
          <w:bCs/>
          <w:sz w:val="22"/>
          <w:vertAlign w:val="superscript"/>
        </w:rPr>
        <w:footnoteReference w:id="6"/>
      </w:r>
      <w:r w:rsidRPr="002B212A">
        <w:rPr>
          <w:bCs/>
          <w:sz w:val="22"/>
        </w:rPr>
        <w:t>. Βασικό χαρακτηριστ</w:t>
      </w:r>
      <w:r w:rsidRPr="002B212A">
        <w:rPr>
          <w:bCs/>
          <w:sz w:val="22"/>
        </w:rPr>
        <w:t>ι</w:t>
      </w:r>
      <w:r w:rsidRPr="002B212A">
        <w:rPr>
          <w:bCs/>
          <w:sz w:val="22"/>
        </w:rPr>
        <w:t>κό του νέου μηχανισμού αποτελεί η θέσπιση υποχρέωσης δέσμευσης από τους ΟΤΑ ποσού ταμειακών διαθεσίμων ίσου με το σύνολο των ληξιπρόθεσμων οφειλών τους σε τρίτους σε ειδικό λογαριασμό που θα τηρείται ανά φορέα στο ΤΠ&amp;Δ. Σε περίπτωση πλημμελούς ή μη τήρησης της υποχρέωσης α</w:t>
      </w:r>
      <w:r w:rsidRPr="002B212A">
        <w:rPr>
          <w:bCs/>
          <w:sz w:val="22"/>
        </w:rPr>
        <w:t>υ</w:t>
      </w:r>
      <w:r w:rsidRPr="002B212A">
        <w:rPr>
          <w:bCs/>
          <w:sz w:val="22"/>
        </w:rPr>
        <w:t>τής, τυχόν έλλειμμα θα παρακρατείται από το σκέλος των Κεντρικών Αυτοτελών Πόρων που αφ</w:t>
      </w:r>
      <w:r w:rsidRPr="002B212A">
        <w:rPr>
          <w:bCs/>
          <w:sz w:val="22"/>
        </w:rPr>
        <w:t>ο</w:t>
      </w:r>
      <w:r w:rsidRPr="002B212A">
        <w:rPr>
          <w:bCs/>
          <w:sz w:val="22"/>
        </w:rPr>
        <w:t>ρούν σε λειτουργικές και λοιπές δαπάνες των ΟΤΑ.</w:t>
      </w:r>
    </w:p>
    <w:p w:rsidR="00704E78" w:rsidRPr="002B212A" w:rsidRDefault="00704E78" w:rsidP="002B212A">
      <w:pPr>
        <w:jc w:val="both"/>
        <w:rPr>
          <w:bCs/>
          <w:sz w:val="22"/>
        </w:rPr>
      </w:pPr>
    </w:p>
    <w:p w:rsidR="002B212A" w:rsidRPr="002B212A" w:rsidRDefault="002B212A" w:rsidP="002B212A">
      <w:pPr>
        <w:pStyle w:val="af2"/>
        <w:numPr>
          <w:ilvl w:val="0"/>
          <w:numId w:val="25"/>
        </w:numPr>
        <w:spacing w:after="0" w:line="240" w:lineRule="auto"/>
        <w:ind w:left="340" w:hanging="340"/>
        <w:contextualSpacing w:val="0"/>
        <w:jc w:val="both"/>
        <w:rPr>
          <w:rFonts w:ascii="Arial Narrow" w:hAnsi="Arial Narrow"/>
          <w:b/>
          <w:bCs/>
          <w:color w:val="0D2DB3"/>
        </w:rPr>
      </w:pPr>
      <w:bookmarkStart w:id="7" w:name="_Toc45098218"/>
      <w:r w:rsidRPr="002B212A">
        <w:rPr>
          <w:rFonts w:ascii="Arial Narrow" w:hAnsi="Arial Narrow"/>
          <w:b/>
          <w:bCs/>
          <w:color w:val="0D2DB3"/>
        </w:rPr>
        <w:t>Οργανισμοί Κοινωνικής Ασφάλισης (ΟΚΑ)</w:t>
      </w:r>
    </w:p>
    <w:bookmarkEnd w:id="7"/>
    <w:p w:rsidR="00704E78" w:rsidRDefault="00704E78" w:rsidP="002B212A">
      <w:pPr>
        <w:jc w:val="both"/>
        <w:rPr>
          <w:bCs/>
          <w:sz w:val="22"/>
        </w:rPr>
      </w:pPr>
    </w:p>
    <w:p w:rsidR="002B212A" w:rsidRPr="002B212A" w:rsidRDefault="002B212A" w:rsidP="002B212A">
      <w:pPr>
        <w:jc w:val="both"/>
        <w:rPr>
          <w:bCs/>
          <w:sz w:val="22"/>
        </w:rPr>
      </w:pPr>
      <w:r w:rsidRPr="002B212A">
        <w:rPr>
          <w:bCs/>
          <w:sz w:val="22"/>
        </w:rPr>
        <w:t>Οι ληξιπρόθεσμες υποχρεώσεις των ΟΚΑ προς τρίτους ανήλθαν τον μήνα Σεπτέμβριο στο ποσό των 410 εκ</w:t>
      </w:r>
      <w:r w:rsidR="00704E78">
        <w:rPr>
          <w:bCs/>
          <w:sz w:val="22"/>
        </w:rPr>
        <w:t>ατ</w:t>
      </w:r>
      <w:r w:rsidRPr="002B212A">
        <w:rPr>
          <w:bCs/>
          <w:sz w:val="22"/>
        </w:rPr>
        <w:t>. ευρώ και αφαιρουμένων των προσαρμογών σε</w:t>
      </w:r>
      <w:r w:rsidRPr="002B212A" w:rsidDel="007457E1">
        <w:rPr>
          <w:bCs/>
          <w:sz w:val="22"/>
        </w:rPr>
        <w:t xml:space="preserve"> </w:t>
      </w:r>
      <w:r w:rsidRPr="002B212A">
        <w:rPr>
          <w:bCs/>
          <w:sz w:val="22"/>
        </w:rPr>
        <w:t>156 εκ</w:t>
      </w:r>
      <w:r w:rsidR="00704E78">
        <w:rPr>
          <w:bCs/>
          <w:sz w:val="22"/>
        </w:rPr>
        <w:t>ατ</w:t>
      </w:r>
      <w:r w:rsidRPr="002B212A">
        <w:rPr>
          <w:bCs/>
          <w:sz w:val="22"/>
        </w:rPr>
        <w:t>. ευρώ. Παρατηρήθηκε δηλαδή με</w:t>
      </w:r>
      <w:r w:rsidRPr="002B212A">
        <w:rPr>
          <w:bCs/>
          <w:sz w:val="22"/>
        </w:rPr>
        <w:t>ί</w:t>
      </w:r>
      <w:r w:rsidRPr="002B212A">
        <w:rPr>
          <w:bCs/>
          <w:sz w:val="22"/>
        </w:rPr>
        <w:t>ωση ύψους 144 εκ</w:t>
      </w:r>
      <w:r w:rsidR="00704E78">
        <w:rPr>
          <w:bCs/>
          <w:sz w:val="22"/>
        </w:rPr>
        <w:t>ατ</w:t>
      </w:r>
      <w:r w:rsidRPr="002B212A">
        <w:rPr>
          <w:bCs/>
          <w:sz w:val="22"/>
        </w:rPr>
        <w:t>. ευρώ στις ληξιπρόθεσμες υποχρεώσεις σε καθαρή βάση, σε σχέση με τις αντ</w:t>
      </w:r>
      <w:r w:rsidRPr="002B212A">
        <w:rPr>
          <w:bCs/>
          <w:sz w:val="22"/>
        </w:rPr>
        <w:t>ί</w:t>
      </w:r>
      <w:r w:rsidRPr="002B212A">
        <w:rPr>
          <w:bCs/>
          <w:sz w:val="22"/>
        </w:rPr>
        <w:t>στοιχες του Ιουλίου, γεγονός που οφείλεται κυρίως στις πρωτοβουλίες που έχουν αναληφθεί προς την κατεύθυνση αυτή. Συγκεκριμένα:</w:t>
      </w:r>
    </w:p>
    <w:p w:rsidR="00704E78" w:rsidRDefault="00704E78" w:rsidP="002B212A">
      <w:pPr>
        <w:jc w:val="both"/>
        <w:rPr>
          <w:bCs/>
          <w:sz w:val="22"/>
        </w:rPr>
      </w:pPr>
    </w:p>
    <w:p w:rsidR="002B212A" w:rsidRPr="002B212A" w:rsidRDefault="002B212A" w:rsidP="002B212A">
      <w:pPr>
        <w:jc w:val="both"/>
        <w:rPr>
          <w:bCs/>
          <w:sz w:val="22"/>
        </w:rPr>
      </w:pPr>
      <w:r w:rsidRPr="002B212A">
        <w:rPr>
          <w:bCs/>
          <w:sz w:val="22"/>
        </w:rPr>
        <w:t>Επειδή το μεγαλύτερο τμήμα των εν λόγω υποχρεώσεων προέρχεται από παλαιές οφειλές του κλάδου υγείας των τέως ΟΚΑ, που εντάχθηκαν στον Εθνικό Οργανισμό Παροχής Υπηρεσιών Υγείας (ΕΟΠΥΥ), ο Ηλεκτρονικός Εθνικός Φορέας Κοινωνικής Ασφάλισης (</w:t>
      </w:r>
      <w:r w:rsidRPr="002B212A">
        <w:rPr>
          <w:bCs/>
          <w:sz w:val="22"/>
          <w:lang w:val="en-US"/>
        </w:rPr>
        <w:t>e</w:t>
      </w:r>
      <w:r w:rsidRPr="002B212A">
        <w:rPr>
          <w:bCs/>
          <w:sz w:val="22"/>
        </w:rPr>
        <w:t>-ΕΦΚΑ) έθεσε σε πλήρη λε</w:t>
      </w:r>
      <w:r w:rsidRPr="002B212A">
        <w:rPr>
          <w:bCs/>
          <w:sz w:val="22"/>
        </w:rPr>
        <w:t>ι</w:t>
      </w:r>
      <w:r w:rsidRPr="002B212A">
        <w:rPr>
          <w:bCs/>
          <w:sz w:val="22"/>
        </w:rPr>
        <w:t>τουργία από 25 Αυγούστου του τρέχοντος έτους μια νέα ηλεκτρονική πλατφόρμα – μηχανισμό εκκ</w:t>
      </w:r>
      <w:r w:rsidRPr="002B212A">
        <w:rPr>
          <w:bCs/>
          <w:sz w:val="22"/>
        </w:rPr>
        <w:t>α</w:t>
      </w:r>
      <w:r w:rsidRPr="002B212A">
        <w:rPr>
          <w:bCs/>
          <w:sz w:val="22"/>
        </w:rPr>
        <w:t>θάρισης και εξόφλησης των εν λόγω ληξιπρόθεσμων υποχρεώσεων</w:t>
      </w:r>
      <w:r w:rsidRPr="002B212A">
        <w:rPr>
          <w:bCs/>
          <w:sz w:val="22"/>
          <w:vertAlign w:val="superscript"/>
        </w:rPr>
        <w:footnoteReference w:id="7"/>
      </w:r>
      <w:r w:rsidRPr="002B212A">
        <w:rPr>
          <w:bCs/>
          <w:sz w:val="22"/>
        </w:rPr>
        <w:t>. Οι πιθανοί δικαιούχοι, ήτοι φ</w:t>
      </w:r>
      <w:r w:rsidRPr="002B212A">
        <w:rPr>
          <w:bCs/>
          <w:sz w:val="22"/>
        </w:rPr>
        <w:t>υ</w:t>
      </w:r>
      <w:r w:rsidRPr="002B212A">
        <w:rPr>
          <w:bCs/>
          <w:sz w:val="22"/>
        </w:rPr>
        <w:t>σικά και νομικά πρόσωπα πάροχοι υπηρεσιών υγείας, υποβάλλουν προαιρετικά στην πλατφόρμα τις αιτήσεις και τα δικαιολογητικά για την εξόφληση των απαιτήσεών τους. Η προστιθέμενη αξία της πλατφόρμας, η οποία αποτυπώθηκε στις επιδόσεις του Σεπτεμβρίου, έγκειται στο ότι διευκολύνει τον εντοπισμό οφειλών που δεν μπορούν να αποπληρωθούν για λόγους νομικούς ή διαδικαστ</w:t>
      </w:r>
      <w:r w:rsidRPr="002B212A">
        <w:rPr>
          <w:bCs/>
          <w:sz w:val="22"/>
        </w:rPr>
        <w:t>ι</w:t>
      </w:r>
      <w:r w:rsidRPr="002B212A">
        <w:rPr>
          <w:bCs/>
          <w:sz w:val="22"/>
        </w:rPr>
        <w:t>κούς/τεχνικούς που δεν ανάγονται σε υπαιτιότητα του φορέα. Ενδεικτικά αναφέρονται η δικαστική διεκδίκηση των οφειλόμενων ποσών, η πάροδος μεγάλου χρονικού διαστήματος από τη δημιουργία της οφειλής</w:t>
      </w:r>
      <w:r w:rsidR="00554C83">
        <w:rPr>
          <w:bCs/>
          <w:sz w:val="22"/>
        </w:rPr>
        <w:t>,</w:t>
      </w:r>
      <w:r w:rsidRPr="002B212A">
        <w:rPr>
          <w:bCs/>
          <w:sz w:val="22"/>
        </w:rPr>
        <w:t xml:space="preserve"> αλλά και </w:t>
      </w:r>
      <w:r w:rsidR="006549B8">
        <w:rPr>
          <w:bCs/>
          <w:sz w:val="22"/>
        </w:rPr>
        <w:t xml:space="preserve">η </w:t>
      </w:r>
      <w:r w:rsidRPr="002B212A">
        <w:rPr>
          <w:bCs/>
          <w:sz w:val="22"/>
        </w:rPr>
        <w:t>ελλιπής τεκμηρίωση από την πλευρά των πιθανών δικαιούχων. Στις περιπτ</w:t>
      </w:r>
      <w:r w:rsidRPr="002B212A">
        <w:rPr>
          <w:bCs/>
          <w:sz w:val="22"/>
        </w:rPr>
        <w:t>ώ</w:t>
      </w:r>
      <w:r w:rsidRPr="002B212A">
        <w:rPr>
          <w:bCs/>
          <w:sz w:val="22"/>
        </w:rPr>
        <w:t>σεις αυτές, τα ποσά των οφειλών εντάχθηκαν στις αντίστοιχες κατηγορίες προσαρμογών, μειώνοντας το συνολικό ύψος των ληξιπρόθεσμων υποχρεώσεων του υποτομέα προς τρίτους.</w:t>
      </w:r>
    </w:p>
    <w:p w:rsidR="00704E78" w:rsidRDefault="00704E78" w:rsidP="002B212A">
      <w:pPr>
        <w:jc w:val="both"/>
        <w:rPr>
          <w:bCs/>
          <w:sz w:val="22"/>
        </w:rPr>
      </w:pPr>
    </w:p>
    <w:p w:rsidR="002B212A" w:rsidRPr="002B212A" w:rsidRDefault="002B212A" w:rsidP="002B212A">
      <w:pPr>
        <w:jc w:val="both"/>
        <w:rPr>
          <w:bCs/>
          <w:sz w:val="22"/>
        </w:rPr>
      </w:pPr>
      <w:r w:rsidRPr="002B212A">
        <w:rPr>
          <w:bCs/>
          <w:sz w:val="22"/>
        </w:rPr>
        <w:t>Αντίστοιχη ηλεκτρονική πλατφόρμα λειτουργεί στον ΕΟΠΥΥ, προκειμένου να αποπληρωθούν ληξ</w:t>
      </w:r>
      <w:r w:rsidRPr="002B212A">
        <w:rPr>
          <w:bCs/>
          <w:sz w:val="22"/>
        </w:rPr>
        <w:t>ι</w:t>
      </w:r>
      <w:r w:rsidRPr="002B212A">
        <w:rPr>
          <w:bCs/>
          <w:sz w:val="22"/>
        </w:rPr>
        <w:t>πρόθεσμες υποχρεώσεις προς παρόχους και ασφαλισμένους για τις οφειλές του πρώην ΟΠΑΔ/Τομέας Ασφαλισμένων Δημοσίου, καθώς και των πρώην Οίκου Ναύτου και ΤΑΥΤΕΚΩ, οι οποίες είχαν δ</w:t>
      </w:r>
      <w:r w:rsidRPr="002B212A">
        <w:rPr>
          <w:bCs/>
          <w:sz w:val="22"/>
        </w:rPr>
        <w:t>η</w:t>
      </w:r>
      <w:r w:rsidRPr="002B212A">
        <w:rPr>
          <w:bCs/>
          <w:sz w:val="22"/>
        </w:rPr>
        <w:t>μιουργηθεί πριν την ένταξή τους στον ΕΟΠΥΥ, ήτοι πριν από το 2012.</w:t>
      </w:r>
    </w:p>
    <w:p w:rsidR="002B212A" w:rsidRPr="002B212A" w:rsidRDefault="002B212A" w:rsidP="002B212A">
      <w:pPr>
        <w:jc w:val="both"/>
        <w:rPr>
          <w:bCs/>
          <w:sz w:val="22"/>
        </w:rPr>
      </w:pPr>
      <w:r w:rsidRPr="002B212A">
        <w:rPr>
          <w:bCs/>
          <w:sz w:val="22"/>
        </w:rPr>
        <w:t>Μεταξύ των δράσεων που πραγματοποιεί ο φορέας για τη βελτιστοποίηση της αποτελεσματικότητας της εν λόγω πλατφόρμας, περιλαμβάνεται ο συντονισμός των Περιφερειακών του Διευθύνσεων (ΠΕΔΙ), ώστε να διενεργείται έλεγχος κατά περίπτωση</w:t>
      </w:r>
      <w:r w:rsidR="00D70BD7">
        <w:rPr>
          <w:bCs/>
          <w:sz w:val="22"/>
        </w:rPr>
        <w:t>,</w:t>
      </w:r>
      <w:r w:rsidRPr="002B212A">
        <w:rPr>
          <w:bCs/>
          <w:sz w:val="22"/>
        </w:rPr>
        <w:t xml:space="preserve"> αλλά και η αποστολή οδηγιών για την επιτ</w:t>
      </w:r>
      <w:r w:rsidRPr="002B212A">
        <w:rPr>
          <w:bCs/>
          <w:sz w:val="22"/>
        </w:rPr>
        <w:t>ά</w:t>
      </w:r>
      <w:r w:rsidRPr="002B212A">
        <w:rPr>
          <w:bCs/>
          <w:sz w:val="22"/>
        </w:rPr>
        <w:lastRenderedPageBreak/>
        <w:t>χυνση της διαδικασίας εξόφλησης. Επιπλέον, διατυπώνονται συστάσεις και παρέχονται κατευθύνσεις, προκειμένου οι οφειλές να διατυπώνονται ορθά στο σύστημα και να είναι δυνατή η συμπερίληψή τους στις προσαρμογές, μειώνοντας τελικά το συνολικό ύψος των οφειλών.</w:t>
      </w:r>
    </w:p>
    <w:p w:rsidR="002B212A" w:rsidRPr="002B212A" w:rsidRDefault="002B212A" w:rsidP="002B212A">
      <w:pPr>
        <w:jc w:val="both"/>
        <w:rPr>
          <w:bCs/>
          <w:sz w:val="22"/>
        </w:rPr>
      </w:pPr>
    </w:p>
    <w:p w:rsidR="002B212A" w:rsidRPr="002B212A" w:rsidRDefault="002B212A" w:rsidP="002B212A">
      <w:pPr>
        <w:pStyle w:val="af2"/>
        <w:numPr>
          <w:ilvl w:val="0"/>
          <w:numId w:val="25"/>
        </w:numPr>
        <w:spacing w:after="0" w:line="240" w:lineRule="auto"/>
        <w:ind w:left="340" w:hanging="340"/>
        <w:contextualSpacing w:val="0"/>
        <w:jc w:val="both"/>
        <w:rPr>
          <w:rFonts w:ascii="Arial Narrow" w:hAnsi="Arial Narrow"/>
          <w:b/>
          <w:bCs/>
          <w:color w:val="0D2DB3"/>
        </w:rPr>
      </w:pPr>
      <w:r w:rsidRPr="002B212A">
        <w:rPr>
          <w:rFonts w:ascii="Arial Narrow" w:hAnsi="Arial Narrow"/>
          <w:b/>
          <w:bCs/>
          <w:color w:val="0D2DB3"/>
        </w:rPr>
        <w:t>Εκκρεμείς αιτήσεις συνταξιοδότησης</w:t>
      </w:r>
      <w:bookmarkStart w:id="8" w:name="_Toc45098217"/>
      <w:bookmarkEnd w:id="8"/>
    </w:p>
    <w:p w:rsidR="00A967BA" w:rsidRDefault="00A967BA" w:rsidP="002B212A">
      <w:pPr>
        <w:jc w:val="both"/>
        <w:rPr>
          <w:bCs/>
          <w:sz w:val="22"/>
        </w:rPr>
      </w:pPr>
    </w:p>
    <w:p w:rsidR="002B212A" w:rsidRPr="002B212A" w:rsidRDefault="002B212A" w:rsidP="002B212A">
      <w:pPr>
        <w:jc w:val="both"/>
        <w:rPr>
          <w:bCs/>
          <w:sz w:val="22"/>
        </w:rPr>
      </w:pPr>
      <w:r w:rsidRPr="002B212A">
        <w:rPr>
          <w:bCs/>
          <w:sz w:val="22"/>
        </w:rPr>
        <w:t xml:space="preserve">Πρόκειται για την κατηγορία </w:t>
      </w:r>
      <w:r w:rsidR="006549B8">
        <w:rPr>
          <w:bCs/>
          <w:sz w:val="22"/>
        </w:rPr>
        <w:t xml:space="preserve">οφειλών </w:t>
      </w:r>
      <w:r w:rsidRPr="002B212A">
        <w:rPr>
          <w:bCs/>
          <w:sz w:val="22"/>
        </w:rPr>
        <w:t xml:space="preserve">στην οποία αποτυπώθηκε έντονα η επίπτωση της υγειονομικής κρίσης, καθώς επηρεάστηκε από τον περιορισμό του αριθμού του εμπλεκόμενου προσωπικού κατά τη διάρκεια του </w:t>
      </w:r>
      <w:r w:rsidRPr="002B212A">
        <w:rPr>
          <w:bCs/>
          <w:sz w:val="22"/>
          <w:lang w:val="en-US"/>
        </w:rPr>
        <w:t>lockdown</w:t>
      </w:r>
      <w:r w:rsidRPr="002B212A">
        <w:rPr>
          <w:bCs/>
          <w:sz w:val="22"/>
        </w:rPr>
        <w:t>, σε συνδυασμό με το γεγονός ότι ήδη από τις αρχές του έτους είχε σημειωθεί αξιόλογη αύξηση του αριθμού των νέων αιτήσεων συνταξιοδότησης.</w:t>
      </w:r>
    </w:p>
    <w:p w:rsidR="00A967BA" w:rsidRDefault="00A967BA" w:rsidP="002B212A">
      <w:pPr>
        <w:jc w:val="both"/>
        <w:rPr>
          <w:bCs/>
          <w:sz w:val="22"/>
        </w:rPr>
      </w:pPr>
    </w:p>
    <w:p w:rsidR="002B212A" w:rsidRPr="002B212A" w:rsidRDefault="002B212A" w:rsidP="002B212A">
      <w:pPr>
        <w:jc w:val="both"/>
        <w:rPr>
          <w:bCs/>
          <w:sz w:val="22"/>
        </w:rPr>
      </w:pPr>
      <w:r w:rsidRPr="002B212A">
        <w:rPr>
          <w:bCs/>
          <w:sz w:val="22"/>
        </w:rPr>
        <w:t xml:space="preserve">Προκειμένου να αποτραπεί η περαιτέρω σώρευση </w:t>
      </w:r>
      <w:r w:rsidR="006549B8">
        <w:rPr>
          <w:bCs/>
          <w:sz w:val="22"/>
        </w:rPr>
        <w:t xml:space="preserve">οφειλών </w:t>
      </w:r>
      <w:r w:rsidRPr="002B212A">
        <w:rPr>
          <w:bCs/>
          <w:sz w:val="22"/>
        </w:rPr>
        <w:t>στην κατηγορία αυτή, υιοθετήθηκαν δρ</w:t>
      </w:r>
      <w:r w:rsidRPr="002B212A">
        <w:rPr>
          <w:bCs/>
          <w:sz w:val="22"/>
        </w:rPr>
        <w:t>ά</w:t>
      </w:r>
      <w:r w:rsidRPr="002B212A">
        <w:rPr>
          <w:bCs/>
          <w:sz w:val="22"/>
        </w:rPr>
        <w:t>σεις που απαντούν σε δομικά προβλήματα της διαδικασίας. Η βασικότερη καινοτομία αφορά στην Ηλεκτρονική Υπηρεσία Υποβολής Αίτησης Συνταξιοδότησης, η οποία παρέχει στον ενδιαφερόμενο τη δυνατότητα να υποβάλει ηλεκτρονικά αίτηση για απονομή σύνταξης εξ ιδίου δικαιώματος ή για απονομή ή μεταβίβαση λόγω θανάτου στον e-ΕΦΚΑ. Μάλιστα, μέρος της υπηρεσίας αυτής που αφ</w:t>
      </w:r>
      <w:r w:rsidRPr="002B212A">
        <w:rPr>
          <w:bCs/>
          <w:sz w:val="22"/>
        </w:rPr>
        <w:t>ο</w:t>
      </w:r>
      <w:r w:rsidRPr="002B212A">
        <w:rPr>
          <w:bCs/>
          <w:sz w:val="22"/>
        </w:rPr>
        <w:t>ρά στην αίτηση απονομής σύνταξης γήρατος σε αγρότες και αίτηση μεταβίβασης λόγ</w:t>
      </w:r>
      <w:r w:rsidR="00A967BA">
        <w:rPr>
          <w:bCs/>
          <w:sz w:val="22"/>
        </w:rPr>
        <w:t>ω θανάτου λε</w:t>
      </w:r>
      <w:r w:rsidR="00A967BA">
        <w:rPr>
          <w:bCs/>
          <w:sz w:val="22"/>
        </w:rPr>
        <w:t>ι</w:t>
      </w:r>
      <w:r w:rsidR="00A967BA">
        <w:rPr>
          <w:bCs/>
          <w:sz w:val="22"/>
        </w:rPr>
        <w:t>τουργεί ήδη από 23/7/</w:t>
      </w:r>
      <w:r w:rsidRPr="002B212A">
        <w:rPr>
          <w:bCs/>
          <w:sz w:val="22"/>
        </w:rPr>
        <w:t>2020 στο πλαίσιο του πληροφοριακού συστήματος «ΑΤΛΑΣ», παρέχοντας μ</w:t>
      </w:r>
      <w:r w:rsidRPr="002B212A">
        <w:rPr>
          <w:bCs/>
          <w:sz w:val="22"/>
        </w:rPr>
        <w:t>ε</w:t>
      </w:r>
      <w:r w:rsidRPr="002B212A">
        <w:rPr>
          <w:bCs/>
          <w:sz w:val="22"/>
        </w:rPr>
        <w:t>ρική αυτοματοποίηση της διαδικασίας απονομής και διαλειτουργικότητα στη συλλογή των δικαιολ</w:t>
      </w:r>
      <w:r w:rsidRPr="002B212A">
        <w:rPr>
          <w:bCs/>
          <w:sz w:val="22"/>
        </w:rPr>
        <w:t>ο</w:t>
      </w:r>
      <w:r w:rsidRPr="002B212A">
        <w:rPr>
          <w:bCs/>
          <w:sz w:val="22"/>
        </w:rPr>
        <w:t>γητικών. Κατά τον τρόπο αυτό, απελευθερώνονται ταυτόχρονα πολύτιμοι πόροι σε ανθρώπινο δυν</w:t>
      </w:r>
      <w:r w:rsidRPr="002B212A">
        <w:rPr>
          <w:bCs/>
          <w:sz w:val="22"/>
        </w:rPr>
        <w:t>α</w:t>
      </w:r>
      <w:r w:rsidRPr="002B212A">
        <w:rPr>
          <w:bCs/>
          <w:sz w:val="22"/>
        </w:rPr>
        <w:t>μικό, προκειμένου να επιταχυνθεί ο ρυθμός εκκαθάρισης των εκκρεμών αιτήσεων συνταξιοδότησης στις υπόλοιπες κατηγορίες.</w:t>
      </w:r>
    </w:p>
    <w:p w:rsidR="00A967BA" w:rsidRDefault="00A967BA" w:rsidP="002B212A">
      <w:pPr>
        <w:jc w:val="both"/>
        <w:rPr>
          <w:bCs/>
          <w:sz w:val="22"/>
        </w:rPr>
      </w:pPr>
    </w:p>
    <w:p w:rsidR="002B212A" w:rsidRPr="002B212A" w:rsidRDefault="002B212A" w:rsidP="002B212A">
      <w:pPr>
        <w:jc w:val="both"/>
        <w:rPr>
          <w:bCs/>
          <w:sz w:val="22"/>
        </w:rPr>
      </w:pPr>
      <w:r w:rsidRPr="002B212A">
        <w:rPr>
          <w:bCs/>
          <w:sz w:val="22"/>
        </w:rPr>
        <w:t xml:space="preserve">Τέλος, δυνάμει των οριζομένων στις διατάξεις των άρθρων 115 και 116 του ν.4714/2020 και προς τον σκοπό αντιμετώπισης της συνεχιζόμενης σώρευσης </w:t>
      </w:r>
      <w:r w:rsidR="006549B8">
        <w:rPr>
          <w:bCs/>
          <w:sz w:val="22"/>
        </w:rPr>
        <w:t xml:space="preserve">εκκρεμών αιτήσεων </w:t>
      </w:r>
      <w:r w:rsidRPr="002B212A">
        <w:rPr>
          <w:bCs/>
          <w:sz w:val="22"/>
        </w:rPr>
        <w:t>στην κατηγορία των συντ</w:t>
      </w:r>
      <w:r w:rsidRPr="002B212A">
        <w:rPr>
          <w:bCs/>
          <w:sz w:val="22"/>
        </w:rPr>
        <w:t>ά</w:t>
      </w:r>
      <w:r w:rsidRPr="002B212A">
        <w:rPr>
          <w:bCs/>
          <w:sz w:val="22"/>
        </w:rPr>
        <w:t>ξεων, θεσπίστηκε αυξημένο ύψος προσωρινής σύνταξης.</w:t>
      </w:r>
    </w:p>
    <w:p w:rsidR="00A967BA" w:rsidRDefault="00A967BA" w:rsidP="002B212A">
      <w:pPr>
        <w:jc w:val="both"/>
        <w:rPr>
          <w:bCs/>
          <w:sz w:val="22"/>
        </w:rPr>
      </w:pPr>
    </w:p>
    <w:p w:rsidR="009E5798" w:rsidRDefault="002B212A" w:rsidP="002B212A">
      <w:pPr>
        <w:jc w:val="both"/>
        <w:rPr>
          <w:bCs/>
          <w:sz w:val="22"/>
        </w:rPr>
      </w:pPr>
      <w:r w:rsidRPr="002B212A">
        <w:rPr>
          <w:bCs/>
          <w:sz w:val="22"/>
        </w:rPr>
        <w:t xml:space="preserve">Η εξέλιξη των ληξιπρόθεσμων υποχρεώσεων της Γενικής Κυβέρνησης και των εκκρεμών επιστροφών </w:t>
      </w:r>
      <w:r w:rsidRPr="009761B3">
        <w:rPr>
          <w:bCs/>
          <w:sz w:val="22"/>
        </w:rPr>
        <w:t xml:space="preserve">φόρων </w:t>
      </w:r>
      <w:r w:rsidR="007B0CD0" w:rsidRPr="009761B3">
        <w:rPr>
          <w:bCs/>
          <w:sz w:val="22"/>
        </w:rPr>
        <w:t xml:space="preserve">παρατίθεται στους πίνακες </w:t>
      </w:r>
      <w:r w:rsidR="009761B3" w:rsidRPr="009761B3">
        <w:rPr>
          <w:bCs/>
          <w:sz w:val="22"/>
        </w:rPr>
        <w:t>3.28</w:t>
      </w:r>
      <w:r w:rsidR="007B0CD0" w:rsidRPr="009761B3">
        <w:rPr>
          <w:bCs/>
          <w:sz w:val="22"/>
        </w:rPr>
        <w:t xml:space="preserve"> και </w:t>
      </w:r>
      <w:r w:rsidR="009761B3" w:rsidRPr="009761B3">
        <w:rPr>
          <w:bCs/>
          <w:sz w:val="22"/>
        </w:rPr>
        <w:t xml:space="preserve">3.29 </w:t>
      </w:r>
      <w:r w:rsidR="007B0CD0" w:rsidRPr="009761B3">
        <w:rPr>
          <w:bCs/>
          <w:sz w:val="22"/>
        </w:rPr>
        <w:t>αντίστοιχα.</w:t>
      </w:r>
    </w:p>
    <w:p w:rsidR="00185504" w:rsidRDefault="00185504" w:rsidP="00185504">
      <w:pPr>
        <w:jc w:val="both"/>
        <w:rPr>
          <w:bCs/>
          <w:sz w:val="22"/>
        </w:rPr>
      </w:pPr>
    </w:p>
    <w:p w:rsidR="0085333E" w:rsidRDefault="0085333E" w:rsidP="00185504">
      <w:pPr>
        <w:jc w:val="both"/>
        <w:rPr>
          <w:bCs/>
          <w:sz w:val="22"/>
        </w:rPr>
      </w:pPr>
    </w:p>
    <w:p w:rsidR="0085333E" w:rsidRPr="00B30B91" w:rsidRDefault="0085333E" w:rsidP="00185504">
      <w:pPr>
        <w:jc w:val="both"/>
        <w:rPr>
          <w:bCs/>
          <w:sz w:val="22"/>
        </w:rPr>
      </w:pPr>
    </w:p>
    <w:tbl>
      <w:tblPr>
        <w:tblW w:w="8964"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4342"/>
        <w:gridCol w:w="992"/>
        <w:gridCol w:w="850"/>
        <w:gridCol w:w="993"/>
        <w:gridCol w:w="850"/>
        <w:gridCol w:w="937"/>
      </w:tblGrid>
      <w:tr w:rsidR="00185504" w:rsidRPr="00BD513F" w:rsidTr="000D23F9">
        <w:trPr>
          <w:trHeight w:val="567"/>
          <w:jc w:val="center"/>
        </w:trPr>
        <w:tc>
          <w:tcPr>
            <w:tcW w:w="8964" w:type="dxa"/>
            <w:gridSpan w:val="6"/>
            <w:shd w:val="clear" w:color="000000" w:fill="404040"/>
          </w:tcPr>
          <w:p w:rsidR="009E5798" w:rsidRDefault="00185504" w:rsidP="000D23F9">
            <w:pPr>
              <w:jc w:val="center"/>
              <w:rPr>
                <w:rFonts w:ascii="Arial Narrow" w:hAnsi="Arial Narrow"/>
                <w:b/>
                <w:bCs/>
                <w:color w:val="FFFFFF"/>
              </w:rPr>
            </w:pPr>
            <w:r w:rsidRPr="007A0CC7">
              <w:rPr>
                <w:rFonts w:ascii="Arial Narrow" w:hAnsi="Arial Narrow"/>
                <w:b/>
                <w:bCs/>
                <w:color w:val="FFFFFF"/>
              </w:rPr>
              <w:t xml:space="preserve">Πίνακας </w:t>
            </w:r>
            <w:r w:rsidRPr="00202514">
              <w:rPr>
                <w:rFonts w:ascii="Arial Narrow" w:hAnsi="Arial Narrow"/>
                <w:b/>
                <w:bCs/>
                <w:color w:val="FFFFFF"/>
              </w:rPr>
              <w:t>3</w:t>
            </w:r>
            <w:r w:rsidR="009761B3">
              <w:rPr>
                <w:rFonts w:ascii="Arial Narrow" w:hAnsi="Arial Narrow"/>
                <w:b/>
                <w:bCs/>
                <w:color w:val="FFFFFF"/>
              </w:rPr>
              <w:t xml:space="preserve">.28 </w:t>
            </w:r>
            <w:r w:rsidRPr="007A0CC7">
              <w:rPr>
                <w:rFonts w:ascii="Arial Narrow" w:hAnsi="Arial Narrow"/>
                <w:b/>
                <w:bCs/>
                <w:color w:val="FFFFFF"/>
              </w:rPr>
              <w:t xml:space="preserve"> </w:t>
            </w:r>
            <w:r w:rsidR="009E5798">
              <w:rPr>
                <w:rFonts w:ascii="Arial Narrow" w:hAnsi="Arial Narrow"/>
                <w:b/>
                <w:bCs/>
                <w:color w:val="FFFFFF"/>
              </w:rPr>
              <w:t>Εξέλιξη λ</w:t>
            </w:r>
            <w:r>
              <w:rPr>
                <w:rFonts w:ascii="Arial Narrow" w:hAnsi="Arial Narrow"/>
                <w:b/>
                <w:bCs/>
                <w:color w:val="FFFFFF"/>
              </w:rPr>
              <w:t>ηξιπρόθεσμ</w:t>
            </w:r>
            <w:r w:rsidR="009E5798">
              <w:rPr>
                <w:rFonts w:ascii="Arial Narrow" w:hAnsi="Arial Narrow"/>
                <w:b/>
                <w:bCs/>
                <w:color w:val="FFFFFF"/>
              </w:rPr>
              <w:t>ων</w:t>
            </w:r>
            <w:r w:rsidRPr="007A0CC7">
              <w:rPr>
                <w:rFonts w:ascii="Arial Narrow" w:hAnsi="Arial Narrow"/>
                <w:b/>
                <w:bCs/>
                <w:color w:val="FFFFFF"/>
              </w:rPr>
              <w:t xml:space="preserve"> υποχρεώσε</w:t>
            </w:r>
            <w:r w:rsidR="009E5798">
              <w:rPr>
                <w:rFonts w:ascii="Arial Narrow" w:hAnsi="Arial Narrow"/>
                <w:b/>
                <w:bCs/>
                <w:color w:val="FFFFFF"/>
              </w:rPr>
              <w:t xml:space="preserve">ων </w:t>
            </w:r>
            <w:r w:rsidRPr="007A0CC7">
              <w:rPr>
                <w:rFonts w:ascii="Arial Narrow" w:hAnsi="Arial Narrow"/>
                <w:b/>
                <w:bCs/>
                <w:color w:val="FFFFFF"/>
              </w:rPr>
              <w:t>Γενικής Κυβέρνησης</w:t>
            </w:r>
          </w:p>
          <w:p w:rsidR="00185504" w:rsidRPr="007A0CC7" w:rsidRDefault="009E5798" w:rsidP="000D23F9">
            <w:pPr>
              <w:jc w:val="center"/>
              <w:rPr>
                <w:rFonts w:ascii="Arial Narrow" w:hAnsi="Arial Narrow"/>
                <w:b/>
                <w:bCs/>
                <w:color w:val="FFFFFF"/>
              </w:rPr>
            </w:pPr>
            <w:r>
              <w:rPr>
                <w:rFonts w:ascii="Arial Narrow" w:hAnsi="Arial Narrow"/>
                <w:b/>
                <w:bCs/>
                <w:color w:val="FFFFFF"/>
              </w:rPr>
              <w:t>Δεκέμβριος 2018 – Σεπτέμβριος 2020</w:t>
            </w:r>
            <w:r w:rsidR="00185504">
              <w:rPr>
                <w:rFonts w:ascii="Arial Narrow" w:hAnsi="Arial Narrow"/>
                <w:b/>
                <w:bCs/>
                <w:color w:val="FFFFFF"/>
              </w:rPr>
              <w:t>*</w:t>
            </w:r>
          </w:p>
          <w:p w:rsidR="00185504" w:rsidRPr="00BD513F" w:rsidRDefault="00185504" w:rsidP="000D23F9">
            <w:pPr>
              <w:jc w:val="center"/>
              <w:rPr>
                <w:b/>
                <w:bCs/>
                <w:color w:val="FFFFFF"/>
              </w:rPr>
            </w:pPr>
            <w:r w:rsidRPr="007A0CC7">
              <w:rPr>
                <w:rFonts w:ascii="Arial Narrow" w:hAnsi="Arial Narrow"/>
                <w:b/>
                <w:bCs/>
                <w:color w:val="FFFFFF"/>
              </w:rPr>
              <w:t>(σε εκατ. ευρώ)</w:t>
            </w:r>
          </w:p>
        </w:tc>
      </w:tr>
      <w:tr w:rsidR="00185504" w:rsidRPr="00BD513F" w:rsidTr="000D23F9">
        <w:trPr>
          <w:trHeight w:hRule="exact" w:val="227"/>
          <w:jc w:val="center"/>
        </w:trPr>
        <w:tc>
          <w:tcPr>
            <w:tcW w:w="8964" w:type="dxa"/>
            <w:gridSpan w:val="6"/>
            <w:tcBorders>
              <w:bottom w:val="single" w:sz="4" w:space="0" w:color="auto"/>
            </w:tcBorders>
            <w:shd w:val="clear" w:color="auto" w:fill="auto"/>
            <w:noWrap/>
            <w:vAlign w:val="center"/>
            <w:hideMark/>
          </w:tcPr>
          <w:p w:rsidR="00185504" w:rsidRPr="00BD513F" w:rsidRDefault="00185504" w:rsidP="000D23F9">
            <w:pPr>
              <w:jc w:val="center"/>
              <w:rPr>
                <w:rFonts w:cs="Arial"/>
                <w:b/>
                <w:bCs/>
                <w:color w:val="000000"/>
              </w:rPr>
            </w:pPr>
          </w:p>
        </w:tc>
      </w:tr>
      <w:tr w:rsidR="009E5798" w:rsidRPr="00F77B5D" w:rsidTr="00505C3A">
        <w:trPr>
          <w:trHeight w:val="227"/>
          <w:jc w:val="center"/>
        </w:trPr>
        <w:tc>
          <w:tcPr>
            <w:tcW w:w="4342" w:type="dxa"/>
            <w:tcBorders>
              <w:top w:val="single" w:sz="4" w:space="0" w:color="auto"/>
              <w:bottom w:val="single" w:sz="4" w:space="0" w:color="auto"/>
              <w:right w:val="single" w:sz="4" w:space="0" w:color="auto"/>
            </w:tcBorders>
            <w:shd w:val="clear" w:color="auto" w:fill="auto"/>
            <w:noWrap/>
            <w:vAlign w:val="center"/>
            <w:hideMark/>
          </w:tcPr>
          <w:p w:rsidR="009E5798" w:rsidRPr="00F77B5D" w:rsidRDefault="00505C3A" w:rsidP="0085333E">
            <w:pPr>
              <w:spacing w:before="40" w:after="40"/>
              <w:rPr>
                <w:rFonts w:ascii="Arial Narrow" w:hAnsi="Arial Narrow"/>
                <w:b/>
                <w:bCs/>
                <w:color w:val="000000"/>
                <w:sz w:val="16"/>
                <w:szCs w:val="16"/>
              </w:rPr>
            </w:pPr>
            <w:r>
              <w:rPr>
                <w:rFonts w:ascii="Arial Narrow" w:hAnsi="Arial Narrow"/>
                <w:b/>
                <w:bCs/>
                <w:color w:val="000000"/>
                <w:sz w:val="16"/>
                <w:szCs w:val="16"/>
              </w:rPr>
              <w:t>Φορ</w:t>
            </w:r>
            <w:r w:rsidR="00E56793">
              <w:rPr>
                <w:rFonts w:ascii="Arial Narrow" w:hAnsi="Arial Narrow"/>
                <w:b/>
                <w:bCs/>
                <w:color w:val="000000"/>
                <w:sz w:val="16"/>
                <w:szCs w:val="16"/>
              </w:rPr>
              <w:t xml:space="preserve">έας </w:t>
            </w:r>
            <w:r w:rsidR="009E5798">
              <w:rPr>
                <w:rFonts w:ascii="Arial Narrow" w:hAnsi="Arial Narrow"/>
                <w:b/>
                <w:bCs/>
                <w:color w:val="000000"/>
                <w:sz w:val="16"/>
                <w:szCs w:val="16"/>
              </w:rPr>
              <w:t>Γενικής Κυβέρνησης</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right w:w="28" w:type="dxa"/>
            </w:tcMar>
            <w:vAlign w:val="center"/>
            <w:hideMark/>
          </w:tcPr>
          <w:p w:rsidR="009E5798" w:rsidRDefault="009E5798" w:rsidP="0085333E">
            <w:pPr>
              <w:spacing w:before="40" w:after="40"/>
              <w:jc w:val="center"/>
              <w:rPr>
                <w:rFonts w:ascii="Arial Narrow" w:hAnsi="Arial Narrow" w:cs="Arial"/>
                <w:b/>
                <w:bCs/>
                <w:color w:val="000000"/>
                <w:sz w:val="16"/>
                <w:szCs w:val="16"/>
              </w:rPr>
            </w:pPr>
            <w:r>
              <w:rPr>
                <w:rFonts w:ascii="Arial Narrow" w:hAnsi="Arial Narrow" w:cs="Arial"/>
                <w:b/>
                <w:bCs/>
                <w:color w:val="000000"/>
                <w:sz w:val="16"/>
                <w:szCs w:val="16"/>
              </w:rPr>
              <w:t>Δεκ</w:t>
            </w:r>
            <w:r w:rsidRPr="00F77B5D">
              <w:rPr>
                <w:rFonts w:ascii="Arial Narrow" w:hAnsi="Arial Narrow" w:cs="Arial"/>
                <w:b/>
                <w:bCs/>
                <w:color w:val="000000"/>
                <w:sz w:val="16"/>
                <w:szCs w:val="16"/>
              </w:rPr>
              <w:t>. 201</w:t>
            </w:r>
            <w:r>
              <w:rPr>
                <w:rFonts w:ascii="Arial Narrow" w:hAnsi="Arial Narrow" w:cs="Arial"/>
                <w:b/>
                <w:bCs/>
                <w:color w:val="000000"/>
                <w:sz w:val="16"/>
                <w:szCs w:val="16"/>
              </w:rPr>
              <w:t>8</w:t>
            </w:r>
          </w:p>
        </w:tc>
        <w:tc>
          <w:tcPr>
            <w:tcW w:w="850" w:type="dxa"/>
            <w:tcBorders>
              <w:top w:val="single" w:sz="4" w:space="0" w:color="auto"/>
              <w:left w:val="single" w:sz="4" w:space="0" w:color="auto"/>
              <w:bottom w:val="single" w:sz="4" w:space="0" w:color="auto"/>
              <w:right w:val="single" w:sz="4" w:space="0" w:color="auto"/>
            </w:tcBorders>
            <w:tcMar>
              <w:right w:w="28" w:type="dxa"/>
            </w:tcMar>
            <w:vAlign w:val="center"/>
          </w:tcPr>
          <w:p w:rsidR="009E5798" w:rsidRPr="00F77B5D" w:rsidRDefault="009E5798" w:rsidP="0085333E">
            <w:pPr>
              <w:spacing w:before="40" w:after="40"/>
              <w:jc w:val="center"/>
              <w:rPr>
                <w:rFonts w:ascii="Arial Narrow" w:hAnsi="Arial Narrow"/>
                <w:b/>
                <w:bCs/>
                <w:color w:val="000000"/>
                <w:sz w:val="16"/>
                <w:szCs w:val="16"/>
              </w:rPr>
            </w:pPr>
            <w:r>
              <w:rPr>
                <w:rFonts w:ascii="Arial Narrow" w:hAnsi="Arial Narrow" w:cs="Arial"/>
                <w:b/>
                <w:bCs/>
                <w:color w:val="000000"/>
                <w:sz w:val="16"/>
                <w:szCs w:val="16"/>
              </w:rPr>
              <w:t>Δεκ</w:t>
            </w:r>
            <w:r w:rsidRPr="00F77B5D">
              <w:rPr>
                <w:rFonts w:ascii="Arial Narrow" w:hAnsi="Arial Narrow" w:cs="Arial"/>
                <w:b/>
                <w:bCs/>
                <w:color w:val="000000"/>
                <w:sz w:val="16"/>
                <w:szCs w:val="16"/>
              </w:rPr>
              <w:t>. 201</w:t>
            </w:r>
            <w:r>
              <w:rPr>
                <w:rFonts w:ascii="Arial Narrow" w:hAnsi="Arial Narrow" w:cs="Arial"/>
                <w:b/>
                <w:bCs/>
                <w:color w:val="000000"/>
                <w:sz w:val="16"/>
                <w:szCs w:val="16"/>
              </w:rPr>
              <w:t>9</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right w:w="28" w:type="dxa"/>
            </w:tcMar>
            <w:vAlign w:val="center"/>
            <w:hideMark/>
          </w:tcPr>
          <w:p w:rsidR="009E5798" w:rsidRPr="00F77B5D" w:rsidRDefault="009E5798" w:rsidP="0085333E">
            <w:pPr>
              <w:spacing w:before="40" w:after="40"/>
              <w:jc w:val="center"/>
              <w:rPr>
                <w:rFonts w:ascii="Arial Narrow" w:hAnsi="Arial Narrow" w:cs="Arial"/>
                <w:b/>
                <w:bCs/>
                <w:color w:val="000000"/>
                <w:sz w:val="16"/>
                <w:szCs w:val="16"/>
              </w:rPr>
            </w:pPr>
            <w:r>
              <w:rPr>
                <w:rFonts w:ascii="Arial Narrow" w:hAnsi="Arial Narrow" w:cs="Arial"/>
                <w:b/>
                <w:bCs/>
                <w:color w:val="000000"/>
                <w:sz w:val="16"/>
                <w:szCs w:val="16"/>
              </w:rPr>
              <w:t>Μάρτ. 2020</w:t>
            </w:r>
          </w:p>
        </w:tc>
        <w:tc>
          <w:tcPr>
            <w:tcW w:w="850" w:type="dxa"/>
            <w:tcBorders>
              <w:top w:val="single" w:sz="4" w:space="0" w:color="auto"/>
              <w:left w:val="single" w:sz="4" w:space="0" w:color="auto"/>
              <w:bottom w:val="single" w:sz="4" w:space="0" w:color="auto"/>
              <w:right w:val="single" w:sz="4" w:space="0" w:color="auto"/>
            </w:tcBorders>
            <w:tcMar>
              <w:right w:w="28" w:type="dxa"/>
            </w:tcMar>
            <w:vAlign w:val="center"/>
          </w:tcPr>
          <w:p w:rsidR="009E5798" w:rsidRPr="00F77B5D" w:rsidRDefault="009E5798" w:rsidP="0085333E">
            <w:pPr>
              <w:spacing w:before="40" w:after="40"/>
              <w:jc w:val="center"/>
              <w:rPr>
                <w:rFonts w:ascii="Arial Narrow" w:hAnsi="Arial Narrow"/>
                <w:b/>
                <w:bCs/>
                <w:color w:val="000000"/>
                <w:sz w:val="16"/>
                <w:szCs w:val="16"/>
              </w:rPr>
            </w:pPr>
            <w:r>
              <w:rPr>
                <w:rFonts w:ascii="Arial Narrow" w:hAnsi="Arial Narrow" w:cs="Arial"/>
                <w:b/>
                <w:bCs/>
                <w:color w:val="000000"/>
                <w:sz w:val="16"/>
                <w:szCs w:val="16"/>
              </w:rPr>
              <w:t>Ιούν. 2020</w:t>
            </w:r>
          </w:p>
        </w:tc>
        <w:tc>
          <w:tcPr>
            <w:tcW w:w="937" w:type="dxa"/>
            <w:tcBorders>
              <w:top w:val="single" w:sz="4" w:space="0" w:color="auto"/>
              <w:left w:val="single" w:sz="4" w:space="0" w:color="auto"/>
              <w:bottom w:val="single" w:sz="4" w:space="0" w:color="auto"/>
            </w:tcBorders>
            <w:shd w:val="clear" w:color="auto" w:fill="auto"/>
            <w:noWrap/>
            <w:tcMar>
              <w:right w:w="28" w:type="dxa"/>
            </w:tcMar>
            <w:vAlign w:val="center"/>
            <w:hideMark/>
          </w:tcPr>
          <w:p w:rsidR="009E5798" w:rsidRPr="00F77B5D" w:rsidRDefault="009E5798" w:rsidP="0085333E">
            <w:pPr>
              <w:spacing w:before="40" w:after="40"/>
              <w:jc w:val="center"/>
              <w:rPr>
                <w:rFonts w:ascii="Arial Narrow" w:hAnsi="Arial Narrow"/>
                <w:b/>
                <w:bCs/>
                <w:color w:val="000000"/>
                <w:sz w:val="16"/>
                <w:szCs w:val="16"/>
              </w:rPr>
            </w:pPr>
            <w:r>
              <w:rPr>
                <w:rFonts w:ascii="Arial Narrow" w:hAnsi="Arial Narrow"/>
                <w:b/>
                <w:bCs/>
                <w:color w:val="000000"/>
                <w:sz w:val="16"/>
                <w:szCs w:val="16"/>
              </w:rPr>
              <w:t>Σεπτ. 2020</w:t>
            </w:r>
          </w:p>
        </w:tc>
      </w:tr>
      <w:tr w:rsidR="00505C3A" w:rsidRPr="00F77B5D" w:rsidTr="0054537C">
        <w:trPr>
          <w:trHeight w:val="227"/>
          <w:jc w:val="center"/>
        </w:trPr>
        <w:tc>
          <w:tcPr>
            <w:tcW w:w="4342" w:type="dxa"/>
            <w:tcBorders>
              <w:top w:val="single" w:sz="4" w:space="0" w:color="auto"/>
            </w:tcBorders>
            <w:shd w:val="clear" w:color="auto" w:fill="auto"/>
            <w:noWrap/>
            <w:vAlign w:val="center"/>
            <w:hideMark/>
          </w:tcPr>
          <w:p w:rsidR="00505C3A" w:rsidRDefault="00505C3A" w:rsidP="0085333E">
            <w:pPr>
              <w:spacing w:before="40" w:after="40"/>
              <w:ind w:right="227"/>
              <w:rPr>
                <w:rFonts w:ascii="Arial Narrow" w:hAnsi="Arial Narrow"/>
                <w:color w:val="000000"/>
                <w:sz w:val="16"/>
                <w:szCs w:val="16"/>
              </w:rPr>
            </w:pPr>
            <w:r w:rsidRPr="00F77B5D">
              <w:rPr>
                <w:rFonts w:ascii="Arial Narrow" w:hAnsi="Arial Narrow"/>
                <w:color w:val="000000"/>
                <w:sz w:val="16"/>
                <w:szCs w:val="16"/>
              </w:rPr>
              <w:t>Κρ</w:t>
            </w:r>
            <w:r>
              <w:rPr>
                <w:rFonts w:ascii="Arial Narrow" w:hAnsi="Arial Narrow"/>
                <w:color w:val="000000"/>
                <w:sz w:val="16"/>
                <w:szCs w:val="16"/>
              </w:rPr>
              <w:t xml:space="preserve">άτος </w:t>
            </w:r>
          </w:p>
        </w:tc>
        <w:tc>
          <w:tcPr>
            <w:tcW w:w="992" w:type="dxa"/>
            <w:tcBorders>
              <w:top w:val="single" w:sz="4" w:space="0" w:color="auto"/>
            </w:tcBorders>
            <w:shd w:val="clear" w:color="auto" w:fill="auto"/>
            <w:noWrap/>
            <w:tcMar>
              <w:right w:w="28" w:type="dxa"/>
            </w:tcMar>
            <w:vAlign w:val="bottom"/>
            <w:hideMark/>
          </w:tcPr>
          <w:p w:rsidR="00505C3A" w:rsidRPr="00B353C3" w:rsidRDefault="00505C3A" w:rsidP="0085333E">
            <w:pPr>
              <w:spacing w:before="40" w:after="40"/>
              <w:ind w:right="227"/>
              <w:jc w:val="right"/>
              <w:rPr>
                <w:rFonts w:ascii="Arial Narrow" w:hAnsi="Arial Narrow"/>
                <w:color w:val="000000"/>
                <w:sz w:val="16"/>
                <w:szCs w:val="16"/>
              </w:rPr>
            </w:pPr>
            <w:r w:rsidRPr="00B353C3">
              <w:rPr>
                <w:rFonts w:ascii="Arial Narrow" w:hAnsi="Arial Narrow"/>
                <w:color w:val="000000"/>
                <w:sz w:val="16"/>
                <w:szCs w:val="16"/>
              </w:rPr>
              <w:t>49</w:t>
            </w:r>
          </w:p>
        </w:tc>
        <w:tc>
          <w:tcPr>
            <w:tcW w:w="850" w:type="dxa"/>
            <w:tcBorders>
              <w:top w:val="single" w:sz="4" w:space="0" w:color="auto"/>
            </w:tcBorders>
            <w:tcMar>
              <w:right w:w="28" w:type="dxa"/>
            </w:tcMar>
            <w:vAlign w:val="bottom"/>
          </w:tcPr>
          <w:p w:rsidR="00505C3A" w:rsidRPr="00B353C3" w:rsidRDefault="00505C3A" w:rsidP="0085333E">
            <w:pPr>
              <w:spacing w:before="40" w:after="40"/>
              <w:ind w:right="227" w:firstLine="311"/>
              <w:jc w:val="right"/>
              <w:rPr>
                <w:rFonts w:ascii="Arial Narrow" w:hAnsi="Arial Narrow"/>
                <w:color w:val="000000"/>
                <w:sz w:val="16"/>
                <w:szCs w:val="16"/>
              </w:rPr>
            </w:pPr>
            <w:r w:rsidRPr="00B353C3">
              <w:rPr>
                <w:rFonts w:ascii="Arial Narrow" w:hAnsi="Arial Narrow"/>
                <w:color w:val="000000"/>
                <w:sz w:val="16"/>
                <w:szCs w:val="16"/>
              </w:rPr>
              <w:t>55</w:t>
            </w:r>
          </w:p>
        </w:tc>
        <w:tc>
          <w:tcPr>
            <w:tcW w:w="993" w:type="dxa"/>
            <w:tcBorders>
              <w:top w:val="single" w:sz="4" w:space="0" w:color="auto"/>
            </w:tcBorders>
            <w:shd w:val="clear" w:color="auto" w:fill="auto"/>
            <w:noWrap/>
            <w:tcMar>
              <w:right w:w="28" w:type="dxa"/>
            </w:tcMar>
            <w:vAlign w:val="bottom"/>
            <w:hideMark/>
          </w:tcPr>
          <w:p w:rsidR="00505C3A" w:rsidRPr="00B353C3" w:rsidRDefault="00505C3A" w:rsidP="0085333E">
            <w:pPr>
              <w:spacing w:before="40" w:after="40"/>
              <w:ind w:right="227"/>
              <w:jc w:val="right"/>
              <w:rPr>
                <w:rFonts w:ascii="Arial Narrow" w:hAnsi="Arial Narrow"/>
                <w:color w:val="000000"/>
                <w:sz w:val="16"/>
                <w:szCs w:val="16"/>
              </w:rPr>
            </w:pPr>
            <w:r w:rsidRPr="00B353C3">
              <w:rPr>
                <w:rFonts w:ascii="Arial Narrow" w:hAnsi="Arial Narrow"/>
                <w:color w:val="000000"/>
                <w:sz w:val="16"/>
                <w:szCs w:val="16"/>
              </w:rPr>
              <w:t>99</w:t>
            </w:r>
          </w:p>
        </w:tc>
        <w:tc>
          <w:tcPr>
            <w:tcW w:w="850" w:type="dxa"/>
            <w:tcBorders>
              <w:top w:val="single" w:sz="4" w:space="0" w:color="auto"/>
            </w:tcBorders>
            <w:tcMar>
              <w:right w:w="28" w:type="dxa"/>
            </w:tcMar>
            <w:vAlign w:val="bottom"/>
          </w:tcPr>
          <w:p w:rsidR="00505C3A" w:rsidRPr="00B353C3" w:rsidRDefault="00505C3A" w:rsidP="0085333E">
            <w:pPr>
              <w:spacing w:before="40" w:after="40"/>
              <w:ind w:right="227"/>
              <w:jc w:val="right"/>
              <w:rPr>
                <w:rFonts w:ascii="Arial Narrow" w:hAnsi="Arial Narrow"/>
                <w:color w:val="000000"/>
                <w:sz w:val="16"/>
                <w:szCs w:val="16"/>
              </w:rPr>
            </w:pPr>
            <w:r w:rsidRPr="00B353C3">
              <w:rPr>
                <w:rFonts w:ascii="Arial Narrow" w:hAnsi="Arial Narrow"/>
                <w:color w:val="000000"/>
                <w:sz w:val="16"/>
                <w:szCs w:val="16"/>
              </w:rPr>
              <w:t>52</w:t>
            </w:r>
          </w:p>
        </w:tc>
        <w:tc>
          <w:tcPr>
            <w:tcW w:w="937" w:type="dxa"/>
            <w:tcBorders>
              <w:top w:val="single" w:sz="4" w:space="0" w:color="auto"/>
            </w:tcBorders>
            <w:shd w:val="clear" w:color="auto" w:fill="auto"/>
            <w:noWrap/>
            <w:tcMar>
              <w:right w:w="28" w:type="dxa"/>
            </w:tcMar>
            <w:vAlign w:val="bottom"/>
            <w:hideMark/>
          </w:tcPr>
          <w:p w:rsidR="00505C3A" w:rsidRPr="00B353C3" w:rsidRDefault="00505C3A" w:rsidP="0085333E">
            <w:pPr>
              <w:spacing w:before="40" w:after="40"/>
              <w:ind w:right="227"/>
              <w:jc w:val="right"/>
              <w:rPr>
                <w:rFonts w:ascii="Arial Narrow" w:hAnsi="Arial Narrow"/>
                <w:color w:val="000000"/>
                <w:sz w:val="16"/>
                <w:szCs w:val="16"/>
              </w:rPr>
            </w:pPr>
            <w:r w:rsidRPr="00B353C3">
              <w:rPr>
                <w:rFonts w:ascii="Arial Narrow" w:hAnsi="Arial Narrow"/>
                <w:color w:val="000000"/>
                <w:sz w:val="16"/>
                <w:szCs w:val="16"/>
              </w:rPr>
              <w:t>75</w:t>
            </w:r>
          </w:p>
        </w:tc>
      </w:tr>
      <w:tr w:rsidR="00505C3A" w:rsidRPr="00F77B5D" w:rsidTr="0054537C">
        <w:trPr>
          <w:trHeight w:val="227"/>
          <w:jc w:val="center"/>
        </w:trPr>
        <w:tc>
          <w:tcPr>
            <w:tcW w:w="4342" w:type="dxa"/>
            <w:shd w:val="clear" w:color="auto" w:fill="auto"/>
            <w:noWrap/>
            <w:vAlign w:val="center"/>
            <w:hideMark/>
          </w:tcPr>
          <w:p w:rsidR="00505C3A" w:rsidRDefault="00505C3A" w:rsidP="0085333E">
            <w:pPr>
              <w:spacing w:before="40" w:after="40"/>
              <w:ind w:right="227"/>
              <w:rPr>
                <w:rFonts w:ascii="Arial Narrow" w:hAnsi="Arial Narrow"/>
                <w:color w:val="000000"/>
                <w:sz w:val="16"/>
                <w:szCs w:val="16"/>
              </w:rPr>
            </w:pPr>
            <w:r w:rsidRPr="00131315">
              <w:rPr>
                <w:rFonts w:ascii="Arial Narrow" w:hAnsi="Arial Narrow"/>
                <w:color w:val="000000"/>
                <w:sz w:val="16"/>
                <w:szCs w:val="16"/>
              </w:rPr>
              <w:t>Οργανισμοί Τοπικής Αυτοδιοίκησης</w:t>
            </w:r>
            <w:r>
              <w:rPr>
                <w:rFonts w:ascii="Arial Narrow" w:hAnsi="Arial Narrow"/>
                <w:color w:val="000000"/>
                <w:sz w:val="16"/>
                <w:szCs w:val="16"/>
              </w:rPr>
              <w:t xml:space="preserve"> (ΟΤΑ)</w:t>
            </w:r>
          </w:p>
        </w:tc>
        <w:tc>
          <w:tcPr>
            <w:tcW w:w="992" w:type="dxa"/>
            <w:shd w:val="clear" w:color="auto" w:fill="auto"/>
            <w:noWrap/>
            <w:tcMar>
              <w:right w:w="28" w:type="dxa"/>
            </w:tcMar>
            <w:vAlign w:val="bottom"/>
            <w:hideMark/>
          </w:tcPr>
          <w:p w:rsidR="00505C3A" w:rsidRPr="00B353C3" w:rsidRDefault="00505C3A" w:rsidP="0085333E">
            <w:pPr>
              <w:spacing w:before="40" w:after="40"/>
              <w:ind w:right="227"/>
              <w:jc w:val="right"/>
              <w:rPr>
                <w:rFonts w:ascii="Arial Narrow" w:hAnsi="Arial Narrow"/>
                <w:color w:val="000000"/>
                <w:sz w:val="16"/>
                <w:szCs w:val="16"/>
              </w:rPr>
            </w:pPr>
            <w:r w:rsidRPr="00B353C3">
              <w:rPr>
                <w:rFonts w:ascii="Arial Narrow" w:hAnsi="Arial Narrow"/>
                <w:color w:val="000000"/>
                <w:sz w:val="16"/>
                <w:szCs w:val="16"/>
              </w:rPr>
              <w:t>187</w:t>
            </w:r>
          </w:p>
        </w:tc>
        <w:tc>
          <w:tcPr>
            <w:tcW w:w="850" w:type="dxa"/>
            <w:tcMar>
              <w:right w:w="28" w:type="dxa"/>
            </w:tcMar>
            <w:vAlign w:val="bottom"/>
          </w:tcPr>
          <w:p w:rsidR="00505C3A" w:rsidRPr="00B353C3" w:rsidRDefault="00505C3A" w:rsidP="0085333E">
            <w:pPr>
              <w:spacing w:before="40" w:after="40"/>
              <w:ind w:right="227"/>
              <w:jc w:val="right"/>
              <w:rPr>
                <w:rFonts w:ascii="Arial Narrow" w:hAnsi="Arial Narrow"/>
                <w:color w:val="000000"/>
                <w:sz w:val="16"/>
                <w:szCs w:val="16"/>
              </w:rPr>
            </w:pPr>
            <w:r w:rsidRPr="00B353C3">
              <w:rPr>
                <w:rFonts w:ascii="Arial Narrow" w:hAnsi="Arial Narrow"/>
                <w:color w:val="000000"/>
                <w:sz w:val="16"/>
                <w:szCs w:val="16"/>
              </w:rPr>
              <w:t>176</w:t>
            </w:r>
          </w:p>
        </w:tc>
        <w:tc>
          <w:tcPr>
            <w:tcW w:w="993" w:type="dxa"/>
            <w:shd w:val="clear" w:color="auto" w:fill="auto"/>
            <w:noWrap/>
            <w:tcMar>
              <w:right w:w="28" w:type="dxa"/>
            </w:tcMar>
            <w:vAlign w:val="bottom"/>
            <w:hideMark/>
          </w:tcPr>
          <w:p w:rsidR="00505C3A" w:rsidRPr="00B353C3" w:rsidRDefault="00505C3A" w:rsidP="0085333E">
            <w:pPr>
              <w:spacing w:before="40" w:after="40"/>
              <w:ind w:right="227"/>
              <w:jc w:val="right"/>
              <w:rPr>
                <w:rFonts w:ascii="Arial Narrow" w:hAnsi="Arial Narrow"/>
                <w:color w:val="000000"/>
                <w:sz w:val="16"/>
                <w:szCs w:val="16"/>
              </w:rPr>
            </w:pPr>
            <w:r w:rsidRPr="00B353C3">
              <w:rPr>
                <w:rFonts w:ascii="Arial Narrow" w:hAnsi="Arial Narrow"/>
                <w:color w:val="000000"/>
                <w:sz w:val="16"/>
                <w:szCs w:val="16"/>
              </w:rPr>
              <w:t>257</w:t>
            </w:r>
          </w:p>
        </w:tc>
        <w:tc>
          <w:tcPr>
            <w:tcW w:w="850" w:type="dxa"/>
            <w:tcMar>
              <w:right w:w="28" w:type="dxa"/>
            </w:tcMar>
            <w:vAlign w:val="bottom"/>
          </w:tcPr>
          <w:p w:rsidR="00505C3A" w:rsidRPr="00B353C3" w:rsidRDefault="00505C3A" w:rsidP="0085333E">
            <w:pPr>
              <w:spacing w:before="40" w:after="40"/>
              <w:ind w:right="227"/>
              <w:jc w:val="right"/>
              <w:rPr>
                <w:rFonts w:ascii="Arial Narrow" w:hAnsi="Arial Narrow"/>
                <w:color w:val="000000"/>
                <w:sz w:val="16"/>
                <w:szCs w:val="16"/>
              </w:rPr>
            </w:pPr>
            <w:r w:rsidRPr="00B353C3">
              <w:rPr>
                <w:rFonts w:ascii="Arial Narrow" w:hAnsi="Arial Narrow"/>
                <w:color w:val="000000"/>
                <w:sz w:val="16"/>
                <w:szCs w:val="16"/>
              </w:rPr>
              <w:t>265</w:t>
            </w:r>
          </w:p>
        </w:tc>
        <w:tc>
          <w:tcPr>
            <w:tcW w:w="937" w:type="dxa"/>
            <w:shd w:val="clear" w:color="auto" w:fill="auto"/>
            <w:noWrap/>
            <w:tcMar>
              <w:right w:w="28" w:type="dxa"/>
            </w:tcMar>
            <w:vAlign w:val="bottom"/>
            <w:hideMark/>
          </w:tcPr>
          <w:p w:rsidR="00505C3A" w:rsidRPr="00B353C3" w:rsidRDefault="00505C3A" w:rsidP="0085333E">
            <w:pPr>
              <w:spacing w:before="40" w:after="40"/>
              <w:ind w:right="227"/>
              <w:jc w:val="right"/>
              <w:rPr>
                <w:rFonts w:ascii="Arial Narrow" w:hAnsi="Arial Narrow"/>
                <w:color w:val="000000"/>
                <w:sz w:val="16"/>
                <w:szCs w:val="16"/>
              </w:rPr>
            </w:pPr>
            <w:r w:rsidRPr="00B353C3">
              <w:rPr>
                <w:rFonts w:ascii="Arial Narrow" w:hAnsi="Arial Narrow"/>
                <w:color w:val="000000"/>
                <w:sz w:val="16"/>
                <w:szCs w:val="16"/>
              </w:rPr>
              <w:t>230</w:t>
            </w:r>
          </w:p>
        </w:tc>
      </w:tr>
      <w:tr w:rsidR="00505C3A" w:rsidRPr="00F77B5D" w:rsidTr="0054537C">
        <w:trPr>
          <w:trHeight w:val="227"/>
          <w:jc w:val="center"/>
        </w:trPr>
        <w:tc>
          <w:tcPr>
            <w:tcW w:w="4342" w:type="dxa"/>
            <w:shd w:val="clear" w:color="auto" w:fill="auto"/>
            <w:noWrap/>
            <w:vAlign w:val="center"/>
            <w:hideMark/>
          </w:tcPr>
          <w:p w:rsidR="00505C3A" w:rsidRDefault="00505C3A" w:rsidP="0085333E">
            <w:pPr>
              <w:spacing w:before="40" w:after="40"/>
              <w:ind w:right="227"/>
              <w:rPr>
                <w:rFonts w:ascii="Arial Narrow" w:hAnsi="Arial Narrow"/>
                <w:color w:val="000000"/>
                <w:sz w:val="16"/>
                <w:szCs w:val="16"/>
              </w:rPr>
            </w:pPr>
            <w:r w:rsidRPr="00F77B5D">
              <w:rPr>
                <w:rFonts w:ascii="Arial Narrow" w:hAnsi="Arial Narrow"/>
                <w:color w:val="000000"/>
                <w:sz w:val="16"/>
                <w:szCs w:val="16"/>
              </w:rPr>
              <w:t>Οργανισμοί Κοινωνικής Ασφάλισης (ΟΚΑ)</w:t>
            </w:r>
          </w:p>
        </w:tc>
        <w:tc>
          <w:tcPr>
            <w:tcW w:w="992" w:type="dxa"/>
            <w:shd w:val="clear" w:color="auto" w:fill="auto"/>
            <w:noWrap/>
            <w:tcMar>
              <w:right w:w="28" w:type="dxa"/>
            </w:tcMar>
            <w:vAlign w:val="bottom"/>
            <w:hideMark/>
          </w:tcPr>
          <w:p w:rsidR="00505C3A" w:rsidRPr="00B353C3" w:rsidRDefault="00505C3A" w:rsidP="0085333E">
            <w:pPr>
              <w:spacing w:before="40" w:after="40"/>
              <w:ind w:right="227"/>
              <w:jc w:val="right"/>
              <w:rPr>
                <w:rFonts w:ascii="Arial Narrow" w:hAnsi="Arial Narrow"/>
                <w:color w:val="000000"/>
                <w:sz w:val="16"/>
                <w:szCs w:val="16"/>
              </w:rPr>
            </w:pPr>
            <w:r w:rsidRPr="00B353C3">
              <w:rPr>
                <w:rFonts w:ascii="Arial Narrow" w:hAnsi="Arial Narrow"/>
                <w:color w:val="000000"/>
                <w:sz w:val="16"/>
                <w:szCs w:val="16"/>
              </w:rPr>
              <w:t>668</w:t>
            </w:r>
          </w:p>
        </w:tc>
        <w:tc>
          <w:tcPr>
            <w:tcW w:w="850" w:type="dxa"/>
            <w:tcMar>
              <w:right w:w="28" w:type="dxa"/>
            </w:tcMar>
            <w:vAlign w:val="bottom"/>
          </w:tcPr>
          <w:p w:rsidR="00505C3A" w:rsidRPr="00B353C3" w:rsidRDefault="00505C3A" w:rsidP="0085333E">
            <w:pPr>
              <w:spacing w:before="40" w:after="40"/>
              <w:ind w:right="227"/>
              <w:jc w:val="right"/>
              <w:rPr>
                <w:rFonts w:ascii="Arial Narrow" w:hAnsi="Arial Narrow"/>
                <w:color w:val="000000"/>
                <w:sz w:val="16"/>
                <w:szCs w:val="16"/>
              </w:rPr>
            </w:pPr>
            <w:r w:rsidRPr="00B353C3">
              <w:rPr>
                <w:rFonts w:ascii="Arial Narrow" w:hAnsi="Arial Narrow"/>
                <w:color w:val="000000"/>
                <w:sz w:val="16"/>
                <w:szCs w:val="16"/>
              </w:rPr>
              <w:t>506</w:t>
            </w:r>
          </w:p>
        </w:tc>
        <w:tc>
          <w:tcPr>
            <w:tcW w:w="993" w:type="dxa"/>
            <w:shd w:val="clear" w:color="auto" w:fill="auto"/>
            <w:noWrap/>
            <w:tcMar>
              <w:right w:w="28" w:type="dxa"/>
            </w:tcMar>
            <w:vAlign w:val="bottom"/>
            <w:hideMark/>
          </w:tcPr>
          <w:p w:rsidR="00505C3A" w:rsidRPr="00B353C3" w:rsidRDefault="00505C3A" w:rsidP="0085333E">
            <w:pPr>
              <w:spacing w:before="40" w:after="40"/>
              <w:ind w:right="227"/>
              <w:jc w:val="right"/>
              <w:rPr>
                <w:rFonts w:ascii="Arial Narrow" w:hAnsi="Arial Narrow"/>
                <w:color w:val="000000"/>
                <w:sz w:val="16"/>
                <w:szCs w:val="16"/>
              </w:rPr>
            </w:pPr>
            <w:r w:rsidRPr="00B353C3">
              <w:rPr>
                <w:rFonts w:ascii="Arial Narrow" w:hAnsi="Arial Narrow"/>
                <w:color w:val="000000"/>
                <w:sz w:val="16"/>
                <w:szCs w:val="16"/>
              </w:rPr>
              <w:t>484</w:t>
            </w:r>
          </w:p>
        </w:tc>
        <w:tc>
          <w:tcPr>
            <w:tcW w:w="850" w:type="dxa"/>
            <w:tcMar>
              <w:right w:w="28" w:type="dxa"/>
            </w:tcMar>
            <w:vAlign w:val="bottom"/>
          </w:tcPr>
          <w:p w:rsidR="00505C3A" w:rsidRPr="00B353C3" w:rsidRDefault="00505C3A" w:rsidP="0085333E">
            <w:pPr>
              <w:spacing w:before="40" w:after="40"/>
              <w:ind w:right="227"/>
              <w:jc w:val="right"/>
              <w:rPr>
                <w:rFonts w:ascii="Arial Narrow" w:hAnsi="Arial Narrow"/>
                <w:color w:val="000000"/>
                <w:sz w:val="16"/>
                <w:szCs w:val="16"/>
              </w:rPr>
            </w:pPr>
            <w:r w:rsidRPr="00B353C3">
              <w:rPr>
                <w:rFonts w:ascii="Arial Narrow" w:hAnsi="Arial Narrow"/>
                <w:color w:val="000000"/>
                <w:sz w:val="16"/>
                <w:szCs w:val="16"/>
              </w:rPr>
              <w:t>507</w:t>
            </w:r>
          </w:p>
        </w:tc>
        <w:tc>
          <w:tcPr>
            <w:tcW w:w="937" w:type="dxa"/>
            <w:shd w:val="clear" w:color="auto" w:fill="auto"/>
            <w:noWrap/>
            <w:tcMar>
              <w:right w:w="28" w:type="dxa"/>
            </w:tcMar>
            <w:vAlign w:val="bottom"/>
            <w:hideMark/>
          </w:tcPr>
          <w:p w:rsidR="00505C3A" w:rsidRPr="00B353C3" w:rsidRDefault="00505C3A" w:rsidP="0085333E">
            <w:pPr>
              <w:spacing w:before="40" w:after="40"/>
              <w:ind w:right="227"/>
              <w:jc w:val="right"/>
              <w:rPr>
                <w:rFonts w:ascii="Arial Narrow" w:hAnsi="Arial Narrow"/>
                <w:color w:val="000000"/>
                <w:sz w:val="16"/>
                <w:szCs w:val="16"/>
              </w:rPr>
            </w:pPr>
            <w:r w:rsidRPr="00B353C3">
              <w:rPr>
                <w:rFonts w:ascii="Arial Narrow" w:hAnsi="Arial Narrow"/>
                <w:color w:val="000000"/>
                <w:sz w:val="16"/>
                <w:szCs w:val="16"/>
              </w:rPr>
              <w:t>410</w:t>
            </w:r>
          </w:p>
        </w:tc>
      </w:tr>
      <w:tr w:rsidR="00505C3A" w:rsidRPr="00F77B5D" w:rsidTr="0054537C">
        <w:trPr>
          <w:trHeight w:val="227"/>
          <w:jc w:val="center"/>
        </w:trPr>
        <w:tc>
          <w:tcPr>
            <w:tcW w:w="4342" w:type="dxa"/>
            <w:shd w:val="clear" w:color="auto" w:fill="auto"/>
            <w:noWrap/>
            <w:vAlign w:val="center"/>
            <w:hideMark/>
          </w:tcPr>
          <w:p w:rsidR="00505C3A" w:rsidRDefault="00505C3A" w:rsidP="0085333E">
            <w:pPr>
              <w:spacing w:before="40" w:after="40"/>
              <w:ind w:right="227"/>
              <w:rPr>
                <w:rFonts w:ascii="Arial Narrow" w:hAnsi="Arial Narrow"/>
                <w:color w:val="000000"/>
                <w:sz w:val="16"/>
                <w:szCs w:val="16"/>
              </w:rPr>
            </w:pPr>
            <w:r w:rsidRPr="00F77B5D">
              <w:rPr>
                <w:rFonts w:ascii="Arial Narrow" w:hAnsi="Arial Narrow"/>
                <w:color w:val="000000"/>
                <w:sz w:val="16"/>
                <w:szCs w:val="16"/>
              </w:rPr>
              <w:t>Νοσοκομεία</w:t>
            </w:r>
          </w:p>
        </w:tc>
        <w:tc>
          <w:tcPr>
            <w:tcW w:w="992" w:type="dxa"/>
            <w:shd w:val="clear" w:color="auto" w:fill="auto"/>
            <w:noWrap/>
            <w:tcMar>
              <w:right w:w="28" w:type="dxa"/>
            </w:tcMar>
            <w:vAlign w:val="bottom"/>
            <w:hideMark/>
          </w:tcPr>
          <w:p w:rsidR="00505C3A" w:rsidRPr="00B353C3" w:rsidRDefault="00505C3A" w:rsidP="0085333E">
            <w:pPr>
              <w:spacing w:before="40" w:after="40"/>
              <w:ind w:right="227"/>
              <w:jc w:val="right"/>
              <w:rPr>
                <w:rFonts w:ascii="Arial Narrow" w:hAnsi="Arial Narrow"/>
                <w:color w:val="000000"/>
                <w:sz w:val="16"/>
                <w:szCs w:val="16"/>
              </w:rPr>
            </w:pPr>
            <w:r w:rsidRPr="00B353C3">
              <w:rPr>
                <w:rFonts w:ascii="Arial Narrow" w:hAnsi="Arial Narrow"/>
                <w:color w:val="000000"/>
                <w:sz w:val="16"/>
                <w:szCs w:val="16"/>
              </w:rPr>
              <w:t>294</w:t>
            </w:r>
          </w:p>
        </w:tc>
        <w:tc>
          <w:tcPr>
            <w:tcW w:w="850" w:type="dxa"/>
            <w:tcMar>
              <w:right w:w="28" w:type="dxa"/>
            </w:tcMar>
            <w:vAlign w:val="bottom"/>
          </w:tcPr>
          <w:p w:rsidR="00505C3A" w:rsidRPr="00B353C3" w:rsidRDefault="00505C3A" w:rsidP="0085333E">
            <w:pPr>
              <w:spacing w:before="40" w:after="40"/>
              <w:ind w:right="227"/>
              <w:jc w:val="right"/>
              <w:rPr>
                <w:rFonts w:ascii="Arial Narrow" w:hAnsi="Arial Narrow"/>
                <w:color w:val="000000"/>
                <w:sz w:val="16"/>
                <w:szCs w:val="16"/>
              </w:rPr>
            </w:pPr>
            <w:r w:rsidRPr="00B353C3">
              <w:rPr>
                <w:rFonts w:ascii="Arial Narrow" w:hAnsi="Arial Narrow"/>
                <w:color w:val="000000"/>
                <w:sz w:val="16"/>
                <w:szCs w:val="16"/>
              </w:rPr>
              <w:t>344</w:t>
            </w:r>
          </w:p>
        </w:tc>
        <w:tc>
          <w:tcPr>
            <w:tcW w:w="993" w:type="dxa"/>
            <w:shd w:val="clear" w:color="auto" w:fill="auto"/>
            <w:noWrap/>
            <w:tcMar>
              <w:right w:w="28" w:type="dxa"/>
            </w:tcMar>
            <w:vAlign w:val="bottom"/>
            <w:hideMark/>
          </w:tcPr>
          <w:p w:rsidR="00505C3A" w:rsidRPr="00B353C3" w:rsidRDefault="00505C3A" w:rsidP="0085333E">
            <w:pPr>
              <w:spacing w:before="40" w:after="40"/>
              <w:ind w:right="227"/>
              <w:jc w:val="right"/>
              <w:rPr>
                <w:rFonts w:ascii="Arial Narrow" w:hAnsi="Arial Narrow"/>
                <w:color w:val="000000"/>
                <w:sz w:val="16"/>
                <w:szCs w:val="16"/>
              </w:rPr>
            </w:pPr>
            <w:r w:rsidRPr="00B353C3">
              <w:rPr>
                <w:rFonts w:ascii="Arial Narrow" w:hAnsi="Arial Narrow"/>
                <w:color w:val="000000"/>
                <w:sz w:val="16"/>
                <w:szCs w:val="16"/>
              </w:rPr>
              <w:t>680</w:t>
            </w:r>
          </w:p>
        </w:tc>
        <w:tc>
          <w:tcPr>
            <w:tcW w:w="850" w:type="dxa"/>
            <w:tcMar>
              <w:right w:w="28" w:type="dxa"/>
            </w:tcMar>
            <w:vAlign w:val="bottom"/>
          </w:tcPr>
          <w:p w:rsidR="00505C3A" w:rsidRPr="00B353C3" w:rsidRDefault="00505C3A" w:rsidP="0085333E">
            <w:pPr>
              <w:spacing w:before="40" w:after="40"/>
              <w:ind w:right="227"/>
              <w:jc w:val="right"/>
              <w:rPr>
                <w:rFonts w:ascii="Arial Narrow" w:hAnsi="Arial Narrow"/>
                <w:color w:val="000000"/>
                <w:sz w:val="16"/>
                <w:szCs w:val="16"/>
              </w:rPr>
            </w:pPr>
            <w:r w:rsidRPr="00B353C3">
              <w:rPr>
                <w:rFonts w:ascii="Arial Narrow" w:hAnsi="Arial Narrow"/>
                <w:color w:val="000000"/>
                <w:sz w:val="16"/>
                <w:szCs w:val="16"/>
              </w:rPr>
              <w:t>756</w:t>
            </w:r>
          </w:p>
        </w:tc>
        <w:tc>
          <w:tcPr>
            <w:tcW w:w="937" w:type="dxa"/>
            <w:shd w:val="clear" w:color="auto" w:fill="auto"/>
            <w:noWrap/>
            <w:tcMar>
              <w:right w:w="28" w:type="dxa"/>
            </w:tcMar>
            <w:vAlign w:val="bottom"/>
            <w:hideMark/>
          </w:tcPr>
          <w:p w:rsidR="00505C3A" w:rsidRPr="00B353C3" w:rsidRDefault="00505C3A" w:rsidP="0085333E">
            <w:pPr>
              <w:spacing w:before="40" w:after="40"/>
              <w:ind w:right="227"/>
              <w:jc w:val="right"/>
              <w:rPr>
                <w:rFonts w:ascii="Arial Narrow" w:hAnsi="Arial Narrow"/>
                <w:color w:val="000000"/>
                <w:sz w:val="16"/>
                <w:szCs w:val="16"/>
              </w:rPr>
            </w:pPr>
            <w:r w:rsidRPr="00B353C3">
              <w:rPr>
                <w:rFonts w:ascii="Arial Narrow" w:hAnsi="Arial Narrow"/>
                <w:color w:val="000000"/>
                <w:sz w:val="16"/>
                <w:szCs w:val="16"/>
              </w:rPr>
              <w:t>778</w:t>
            </w:r>
          </w:p>
        </w:tc>
      </w:tr>
      <w:tr w:rsidR="00505C3A" w:rsidRPr="00F77B5D" w:rsidTr="0054537C">
        <w:trPr>
          <w:trHeight w:val="227"/>
          <w:jc w:val="center"/>
        </w:trPr>
        <w:tc>
          <w:tcPr>
            <w:tcW w:w="4342" w:type="dxa"/>
            <w:shd w:val="clear" w:color="auto" w:fill="auto"/>
            <w:noWrap/>
            <w:vAlign w:val="center"/>
            <w:hideMark/>
          </w:tcPr>
          <w:p w:rsidR="00505C3A" w:rsidRDefault="00505C3A" w:rsidP="0085333E">
            <w:pPr>
              <w:spacing w:before="40" w:after="40"/>
              <w:ind w:right="227"/>
              <w:rPr>
                <w:rFonts w:ascii="Arial Narrow" w:hAnsi="Arial Narrow"/>
                <w:color w:val="000000"/>
                <w:sz w:val="16"/>
                <w:szCs w:val="16"/>
              </w:rPr>
            </w:pPr>
            <w:r>
              <w:rPr>
                <w:rFonts w:ascii="Arial Narrow" w:hAnsi="Arial Narrow"/>
                <w:color w:val="000000"/>
                <w:sz w:val="16"/>
                <w:szCs w:val="16"/>
              </w:rPr>
              <w:t xml:space="preserve">Λοιπά </w:t>
            </w:r>
            <w:r w:rsidRPr="00F77B5D">
              <w:rPr>
                <w:rFonts w:ascii="Arial Narrow" w:hAnsi="Arial Narrow"/>
                <w:color w:val="000000"/>
                <w:sz w:val="16"/>
                <w:szCs w:val="16"/>
              </w:rPr>
              <w:t>Νομικά Πρόσωπα</w:t>
            </w:r>
          </w:p>
        </w:tc>
        <w:tc>
          <w:tcPr>
            <w:tcW w:w="992" w:type="dxa"/>
            <w:shd w:val="clear" w:color="auto" w:fill="auto"/>
            <w:noWrap/>
            <w:tcMar>
              <w:right w:w="28" w:type="dxa"/>
            </w:tcMar>
            <w:vAlign w:val="bottom"/>
            <w:hideMark/>
          </w:tcPr>
          <w:p w:rsidR="00505C3A" w:rsidRPr="00B353C3" w:rsidRDefault="00505C3A" w:rsidP="0085333E">
            <w:pPr>
              <w:spacing w:before="40" w:after="40"/>
              <w:ind w:right="227"/>
              <w:jc w:val="right"/>
              <w:rPr>
                <w:rFonts w:ascii="Arial Narrow" w:hAnsi="Arial Narrow"/>
                <w:color w:val="000000"/>
                <w:sz w:val="16"/>
                <w:szCs w:val="16"/>
              </w:rPr>
            </w:pPr>
            <w:r w:rsidRPr="00B353C3">
              <w:rPr>
                <w:rFonts w:ascii="Arial Narrow" w:hAnsi="Arial Narrow"/>
                <w:color w:val="000000"/>
                <w:sz w:val="16"/>
                <w:szCs w:val="16"/>
              </w:rPr>
              <w:t>300</w:t>
            </w:r>
          </w:p>
        </w:tc>
        <w:tc>
          <w:tcPr>
            <w:tcW w:w="850" w:type="dxa"/>
            <w:tcMar>
              <w:right w:w="28" w:type="dxa"/>
            </w:tcMar>
            <w:vAlign w:val="bottom"/>
          </w:tcPr>
          <w:p w:rsidR="00505C3A" w:rsidRPr="00B353C3" w:rsidRDefault="00505C3A" w:rsidP="0085333E">
            <w:pPr>
              <w:spacing w:before="40" w:after="40"/>
              <w:ind w:right="227"/>
              <w:jc w:val="right"/>
              <w:rPr>
                <w:rFonts w:ascii="Arial Narrow" w:hAnsi="Arial Narrow"/>
                <w:color w:val="000000"/>
                <w:sz w:val="16"/>
                <w:szCs w:val="16"/>
              </w:rPr>
            </w:pPr>
            <w:r w:rsidRPr="00B353C3">
              <w:rPr>
                <w:rFonts w:ascii="Arial Narrow" w:hAnsi="Arial Narrow"/>
                <w:color w:val="000000"/>
                <w:sz w:val="16"/>
                <w:szCs w:val="16"/>
              </w:rPr>
              <w:t>244</w:t>
            </w:r>
          </w:p>
        </w:tc>
        <w:tc>
          <w:tcPr>
            <w:tcW w:w="993" w:type="dxa"/>
            <w:shd w:val="clear" w:color="auto" w:fill="auto"/>
            <w:noWrap/>
            <w:tcMar>
              <w:right w:w="28" w:type="dxa"/>
            </w:tcMar>
            <w:vAlign w:val="bottom"/>
            <w:hideMark/>
          </w:tcPr>
          <w:p w:rsidR="00505C3A" w:rsidRPr="00B353C3" w:rsidRDefault="00505C3A" w:rsidP="0085333E">
            <w:pPr>
              <w:spacing w:before="40" w:after="40"/>
              <w:ind w:right="227"/>
              <w:jc w:val="right"/>
              <w:rPr>
                <w:rFonts w:ascii="Arial Narrow" w:hAnsi="Arial Narrow"/>
                <w:color w:val="000000"/>
                <w:sz w:val="16"/>
                <w:szCs w:val="16"/>
              </w:rPr>
            </w:pPr>
            <w:r w:rsidRPr="00B353C3">
              <w:rPr>
                <w:rFonts w:ascii="Arial Narrow" w:hAnsi="Arial Narrow"/>
                <w:color w:val="000000"/>
                <w:sz w:val="16"/>
                <w:szCs w:val="16"/>
              </w:rPr>
              <w:t>279</w:t>
            </w:r>
          </w:p>
        </w:tc>
        <w:tc>
          <w:tcPr>
            <w:tcW w:w="850" w:type="dxa"/>
            <w:tcMar>
              <w:right w:w="28" w:type="dxa"/>
            </w:tcMar>
            <w:vAlign w:val="bottom"/>
          </w:tcPr>
          <w:p w:rsidR="00505C3A" w:rsidRPr="00B353C3" w:rsidRDefault="00505C3A" w:rsidP="0085333E">
            <w:pPr>
              <w:spacing w:before="40" w:after="40"/>
              <w:ind w:right="227"/>
              <w:jc w:val="right"/>
              <w:rPr>
                <w:rFonts w:ascii="Arial Narrow" w:hAnsi="Arial Narrow"/>
                <w:color w:val="000000"/>
                <w:sz w:val="16"/>
                <w:szCs w:val="16"/>
              </w:rPr>
            </w:pPr>
            <w:r w:rsidRPr="00B353C3">
              <w:rPr>
                <w:rFonts w:ascii="Arial Narrow" w:hAnsi="Arial Narrow"/>
                <w:color w:val="000000"/>
                <w:sz w:val="16"/>
                <w:szCs w:val="16"/>
              </w:rPr>
              <w:t>269</w:t>
            </w:r>
          </w:p>
        </w:tc>
        <w:tc>
          <w:tcPr>
            <w:tcW w:w="937" w:type="dxa"/>
            <w:shd w:val="clear" w:color="auto" w:fill="auto"/>
            <w:noWrap/>
            <w:tcMar>
              <w:right w:w="28" w:type="dxa"/>
            </w:tcMar>
            <w:vAlign w:val="bottom"/>
            <w:hideMark/>
          </w:tcPr>
          <w:p w:rsidR="00505C3A" w:rsidRPr="00B353C3" w:rsidRDefault="00505C3A" w:rsidP="0085333E">
            <w:pPr>
              <w:spacing w:before="40" w:after="40"/>
              <w:ind w:right="227"/>
              <w:jc w:val="right"/>
              <w:rPr>
                <w:rFonts w:ascii="Arial Narrow" w:hAnsi="Arial Narrow"/>
                <w:color w:val="000000"/>
                <w:sz w:val="16"/>
                <w:szCs w:val="16"/>
              </w:rPr>
            </w:pPr>
            <w:r w:rsidRPr="00B353C3">
              <w:rPr>
                <w:rFonts w:ascii="Arial Narrow" w:hAnsi="Arial Narrow"/>
                <w:color w:val="000000"/>
                <w:sz w:val="16"/>
                <w:szCs w:val="16"/>
              </w:rPr>
              <w:t>206</w:t>
            </w:r>
          </w:p>
        </w:tc>
      </w:tr>
      <w:tr w:rsidR="00505C3A" w:rsidRPr="00F77B5D" w:rsidTr="00505C3A">
        <w:trPr>
          <w:trHeight w:val="227"/>
          <w:jc w:val="center"/>
        </w:trPr>
        <w:tc>
          <w:tcPr>
            <w:tcW w:w="4342" w:type="dxa"/>
            <w:shd w:val="clear" w:color="auto" w:fill="D9D9D9" w:themeFill="background1" w:themeFillShade="D9"/>
            <w:noWrap/>
            <w:vAlign w:val="center"/>
            <w:hideMark/>
          </w:tcPr>
          <w:p w:rsidR="00505C3A" w:rsidRDefault="00505C3A" w:rsidP="0085333E">
            <w:pPr>
              <w:spacing w:before="40" w:after="40"/>
              <w:ind w:right="227"/>
              <w:rPr>
                <w:rFonts w:ascii="Arial Narrow" w:hAnsi="Arial Narrow"/>
                <w:b/>
                <w:bCs/>
                <w:color w:val="000000"/>
                <w:sz w:val="16"/>
                <w:szCs w:val="16"/>
              </w:rPr>
            </w:pPr>
            <w:r>
              <w:rPr>
                <w:rFonts w:ascii="Arial Narrow" w:hAnsi="Arial Narrow" w:cs="Arial"/>
                <w:b/>
                <w:bCs/>
                <w:color w:val="000000"/>
                <w:sz w:val="16"/>
                <w:szCs w:val="16"/>
              </w:rPr>
              <w:t xml:space="preserve">Ληξιπρόθεσμες υποχρεώσεις </w:t>
            </w:r>
            <w:r w:rsidRPr="00F77B5D">
              <w:rPr>
                <w:rFonts w:ascii="Arial Narrow" w:hAnsi="Arial Narrow" w:cs="Arial"/>
                <w:b/>
                <w:bCs/>
                <w:color w:val="000000"/>
                <w:sz w:val="16"/>
                <w:szCs w:val="16"/>
              </w:rPr>
              <w:t>Γεν</w:t>
            </w:r>
            <w:r>
              <w:rPr>
                <w:rFonts w:ascii="Arial Narrow" w:hAnsi="Arial Narrow" w:cs="Arial"/>
                <w:b/>
                <w:bCs/>
                <w:color w:val="000000"/>
                <w:sz w:val="16"/>
                <w:szCs w:val="16"/>
              </w:rPr>
              <w:t>.</w:t>
            </w:r>
            <w:r w:rsidRPr="00F77B5D">
              <w:rPr>
                <w:rFonts w:ascii="Arial Narrow" w:hAnsi="Arial Narrow" w:cs="Arial"/>
                <w:b/>
                <w:bCs/>
                <w:color w:val="000000"/>
                <w:sz w:val="16"/>
                <w:szCs w:val="16"/>
              </w:rPr>
              <w:t xml:space="preserve"> Κυβέρνηση</w:t>
            </w:r>
            <w:r>
              <w:rPr>
                <w:rFonts w:ascii="Arial Narrow" w:hAnsi="Arial Narrow" w:cs="Arial"/>
                <w:b/>
                <w:bCs/>
                <w:color w:val="000000"/>
                <w:sz w:val="16"/>
                <w:szCs w:val="16"/>
              </w:rPr>
              <w:t>ς</w:t>
            </w:r>
          </w:p>
        </w:tc>
        <w:tc>
          <w:tcPr>
            <w:tcW w:w="992" w:type="dxa"/>
            <w:shd w:val="clear" w:color="auto" w:fill="D9D9D9" w:themeFill="background1" w:themeFillShade="D9"/>
            <w:noWrap/>
            <w:tcMar>
              <w:right w:w="28" w:type="dxa"/>
            </w:tcMar>
            <w:vAlign w:val="center"/>
            <w:hideMark/>
          </w:tcPr>
          <w:p w:rsidR="00505C3A" w:rsidRPr="00B353C3" w:rsidRDefault="00505C3A" w:rsidP="0085333E">
            <w:pPr>
              <w:spacing w:before="40" w:after="40"/>
              <w:ind w:right="227"/>
              <w:jc w:val="right"/>
              <w:rPr>
                <w:rFonts w:ascii="Arial Narrow" w:hAnsi="Arial Narrow" w:cs="Segoe UI"/>
                <w:b/>
                <w:bCs/>
                <w:color w:val="000000"/>
                <w:sz w:val="16"/>
                <w:szCs w:val="16"/>
                <w:lang w:val="en-US"/>
              </w:rPr>
            </w:pPr>
            <w:r w:rsidRPr="00B353C3">
              <w:rPr>
                <w:rFonts w:ascii="Arial Narrow" w:hAnsi="Arial Narrow" w:cs="Segoe UI"/>
                <w:b/>
                <w:bCs/>
                <w:color w:val="000000"/>
                <w:sz w:val="16"/>
                <w:szCs w:val="16"/>
              </w:rPr>
              <w:t>1.498</w:t>
            </w:r>
          </w:p>
        </w:tc>
        <w:tc>
          <w:tcPr>
            <w:tcW w:w="850" w:type="dxa"/>
            <w:shd w:val="clear" w:color="auto" w:fill="D9D9D9" w:themeFill="background1" w:themeFillShade="D9"/>
            <w:tcMar>
              <w:right w:w="28" w:type="dxa"/>
            </w:tcMar>
            <w:vAlign w:val="center"/>
          </w:tcPr>
          <w:p w:rsidR="00505C3A" w:rsidRPr="00B353C3" w:rsidRDefault="00505C3A" w:rsidP="0085333E">
            <w:pPr>
              <w:spacing w:before="40" w:after="40"/>
              <w:ind w:right="227"/>
              <w:jc w:val="right"/>
              <w:rPr>
                <w:rFonts w:ascii="Arial Narrow" w:hAnsi="Arial Narrow" w:cs="Segoe UI"/>
                <w:b/>
                <w:bCs/>
                <w:color w:val="000000"/>
                <w:sz w:val="16"/>
                <w:szCs w:val="16"/>
                <w:lang w:val="en-US"/>
              </w:rPr>
            </w:pPr>
            <w:r w:rsidRPr="00B353C3">
              <w:rPr>
                <w:rFonts w:ascii="Arial Narrow" w:hAnsi="Arial Narrow" w:cs="Segoe UI"/>
                <w:b/>
                <w:bCs/>
                <w:color w:val="000000"/>
                <w:sz w:val="16"/>
                <w:szCs w:val="16"/>
              </w:rPr>
              <w:t>1.326</w:t>
            </w:r>
          </w:p>
        </w:tc>
        <w:tc>
          <w:tcPr>
            <w:tcW w:w="993" w:type="dxa"/>
            <w:shd w:val="clear" w:color="auto" w:fill="D9D9D9" w:themeFill="background1" w:themeFillShade="D9"/>
            <w:noWrap/>
            <w:tcMar>
              <w:right w:w="28" w:type="dxa"/>
            </w:tcMar>
            <w:vAlign w:val="center"/>
            <w:hideMark/>
          </w:tcPr>
          <w:p w:rsidR="00505C3A" w:rsidRPr="00B353C3" w:rsidRDefault="00505C3A" w:rsidP="0085333E">
            <w:pPr>
              <w:spacing w:before="40" w:after="40"/>
              <w:ind w:right="227"/>
              <w:jc w:val="right"/>
              <w:rPr>
                <w:rFonts w:ascii="Arial Narrow" w:hAnsi="Arial Narrow" w:cs="Segoe UI"/>
                <w:b/>
                <w:bCs/>
                <w:color w:val="000000"/>
                <w:sz w:val="16"/>
                <w:szCs w:val="16"/>
                <w:lang w:val="en-US"/>
              </w:rPr>
            </w:pPr>
            <w:r w:rsidRPr="00B353C3">
              <w:rPr>
                <w:rFonts w:ascii="Arial Narrow" w:hAnsi="Arial Narrow" w:cs="Segoe UI"/>
                <w:b/>
                <w:bCs/>
                <w:color w:val="000000"/>
                <w:sz w:val="16"/>
                <w:szCs w:val="16"/>
              </w:rPr>
              <w:t>1.799</w:t>
            </w:r>
          </w:p>
        </w:tc>
        <w:tc>
          <w:tcPr>
            <w:tcW w:w="850" w:type="dxa"/>
            <w:shd w:val="clear" w:color="auto" w:fill="D9D9D9" w:themeFill="background1" w:themeFillShade="D9"/>
            <w:tcMar>
              <w:right w:w="28" w:type="dxa"/>
            </w:tcMar>
            <w:vAlign w:val="center"/>
          </w:tcPr>
          <w:p w:rsidR="00505C3A" w:rsidRPr="00B353C3" w:rsidRDefault="00505C3A" w:rsidP="0085333E">
            <w:pPr>
              <w:spacing w:before="40" w:after="40"/>
              <w:ind w:right="227"/>
              <w:jc w:val="right"/>
              <w:rPr>
                <w:rFonts w:ascii="Arial Narrow" w:hAnsi="Arial Narrow" w:cs="Segoe UI"/>
                <w:b/>
                <w:bCs/>
                <w:color w:val="000000"/>
                <w:sz w:val="16"/>
                <w:szCs w:val="16"/>
                <w:lang w:val="en-US"/>
              </w:rPr>
            </w:pPr>
            <w:r w:rsidRPr="00B353C3">
              <w:rPr>
                <w:rFonts w:ascii="Arial Narrow" w:hAnsi="Arial Narrow" w:cs="Segoe UI"/>
                <w:b/>
                <w:bCs/>
                <w:color w:val="000000"/>
                <w:sz w:val="16"/>
                <w:szCs w:val="16"/>
              </w:rPr>
              <w:t>1.849</w:t>
            </w:r>
          </w:p>
        </w:tc>
        <w:tc>
          <w:tcPr>
            <w:tcW w:w="937" w:type="dxa"/>
            <w:shd w:val="clear" w:color="auto" w:fill="D9D9D9" w:themeFill="background1" w:themeFillShade="D9"/>
            <w:noWrap/>
            <w:tcMar>
              <w:right w:w="28" w:type="dxa"/>
            </w:tcMar>
            <w:vAlign w:val="center"/>
            <w:hideMark/>
          </w:tcPr>
          <w:p w:rsidR="00505C3A" w:rsidRPr="00B353C3" w:rsidRDefault="00505C3A" w:rsidP="0085333E">
            <w:pPr>
              <w:spacing w:before="40" w:after="40"/>
              <w:ind w:right="227"/>
              <w:jc w:val="right"/>
              <w:rPr>
                <w:rFonts w:ascii="Arial Narrow" w:hAnsi="Arial Narrow" w:cs="Segoe UI"/>
                <w:b/>
                <w:bCs/>
                <w:color w:val="000000"/>
                <w:sz w:val="16"/>
                <w:szCs w:val="16"/>
              </w:rPr>
            </w:pPr>
            <w:r w:rsidRPr="00B353C3">
              <w:rPr>
                <w:rFonts w:ascii="Arial Narrow" w:hAnsi="Arial Narrow" w:cs="Segoe UI"/>
                <w:b/>
                <w:bCs/>
                <w:color w:val="000000"/>
                <w:sz w:val="16"/>
                <w:szCs w:val="16"/>
              </w:rPr>
              <w:t>1</w:t>
            </w:r>
            <w:r>
              <w:rPr>
                <w:rFonts w:ascii="Arial Narrow" w:hAnsi="Arial Narrow" w:cs="Segoe UI"/>
                <w:b/>
                <w:bCs/>
                <w:color w:val="000000"/>
                <w:sz w:val="16"/>
                <w:szCs w:val="16"/>
              </w:rPr>
              <w:t>.</w:t>
            </w:r>
            <w:r w:rsidRPr="00B353C3">
              <w:rPr>
                <w:rFonts w:ascii="Arial Narrow" w:hAnsi="Arial Narrow" w:cs="Segoe UI"/>
                <w:b/>
                <w:bCs/>
                <w:color w:val="000000"/>
                <w:sz w:val="16"/>
                <w:szCs w:val="16"/>
              </w:rPr>
              <w:t>699</w:t>
            </w:r>
          </w:p>
        </w:tc>
      </w:tr>
    </w:tbl>
    <w:p w:rsidR="00185504" w:rsidRPr="004F7305" w:rsidRDefault="00185504" w:rsidP="004F7305">
      <w:pPr>
        <w:tabs>
          <w:tab w:val="left" w:pos="142"/>
        </w:tabs>
        <w:ind w:left="142" w:hanging="142"/>
        <w:jc w:val="both"/>
        <w:rPr>
          <w:rFonts w:ascii="Arial Narrow" w:hAnsi="Arial Narrow"/>
          <w:bCs/>
          <w:sz w:val="18"/>
        </w:rPr>
      </w:pPr>
      <w:r w:rsidRPr="004F7305">
        <w:rPr>
          <w:rFonts w:ascii="Arial Narrow" w:hAnsi="Arial Narrow"/>
          <w:bCs/>
          <w:sz w:val="18"/>
        </w:rPr>
        <w:t xml:space="preserve"> * Στις ληξιπρόθεσμες υποχρεώσεις των νοσοκομείων και του ΕΟΠΥΥ περιλαμβάνονται και ποσά </w:t>
      </w:r>
      <w:r w:rsidRPr="004F7305">
        <w:rPr>
          <w:rFonts w:ascii="Arial Narrow" w:hAnsi="Arial Narrow"/>
          <w:bCs/>
          <w:sz w:val="18"/>
          <w:lang w:val="en-US"/>
        </w:rPr>
        <w:t>clawback</w:t>
      </w:r>
      <w:r w:rsidRPr="004F7305">
        <w:rPr>
          <w:rFonts w:ascii="Arial Narrow" w:hAnsi="Arial Narrow"/>
          <w:bCs/>
          <w:sz w:val="18"/>
        </w:rPr>
        <w:t xml:space="preserve"> και </w:t>
      </w:r>
      <w:r w:rsidRPr="004F7305">
        <w:rPr>
          <w:rFonts w:ascii="Arial Narrow" w:hAnsi="Arial Narrow"/>
          <w:bCs/>
          <w:sz w:val="18"/>
          <w:lang w:val="en-US"/>
        </w:rPr>
        <w:t>rebate</w:t>
      </w:r>
      <w:r w:rsidRPr="004F7305">
        <w:rPr>
          <w:rFonts w:ascii="Arial Narrow" w:hAnsi="Arial Narrow"/>
          <w:bCs/>
          <w:sz w:val="18"/>
        </w:rPr>
        <w:t xml:space="preserve"> που δεν έχουν συμψηφιστεί.</w:t>
      </w:r>
    </w:p>
    <w:p w:rsidR="00185504" w:rsidRDefault="00185504" w:rsidP="00B30B91">
      <w:pPr>
        <w:jc w:val="both"/>
        <w:rPr>
          <w:bCs/>
          <w:sz w:val="22"/>
        </w:rPr>
      </w:pPr>
    </w:p>
    <w:p w:rsidR="0085333E" w:rsidRDefault="0085333E" w:rsidP="00B30B91">
      <w:pPr>
        <w:jc w:val="both"/>
        <w:rPr>
          <w:bCs/>
          <w:sz w:val="22"/>
        </w:rPr>
      </w:pPr>
    </w:p>
    <w:p w:rsidR="0085333E" w:rsidRDefault="0085333E" w:rsidP="00B30B91">
      <w:pPr>
        <w:jc w:val="both"/>
        <w:rPr>
          <w:bCs/>
          <w:sz w:val="22"/>
        </w:rPr>
      </w:pPr>
    </w:p>
    <w:p w:rsidR="0085333E" w:rsidRDefault="0085333E" w:rsidP="00B30B91">
      <w:pPr>
        <w:jc w:val="both"/>
        <w:rPr>
          <w:bCs/>
          <w:sz w:val="22"/>
        </w:rPr>
      </w:pPr>
    </w:p>
    <w:p w:rsidR="0085333E" w:rsidRDefault="0085333E" w:rsidP="00B30B91">
      <w:pPr>
        <w:jc w:val="both"/>
        <w:rPr>
          <w:bCs/>
          <w:sz w:val="22"/>
        </w:rPr>
      </w:pPr>
    </w:p>
    <w:p w:rsidR="0085333E" w:rsidRDefault="0085333E" w:rsidP="00B30B91">
      <w:pPr>
        <w:jc w:val="both"/>
        <w:rPr>
          <w:bCs/>
          <w:sz w:val="22"/>
        </w:rPr>
      </w:pPr>
    </w:p>
    <w:p w:rsidR="0085333E" w:rsidRDefault="0085333E" w:rsidP="00B30B91">
      <w:pPr>
        <w:jc w:val="both"/>
        <w:rPr>
          <w:bCs/>
          <w:sz w:val="22"/>
        </w:rPr>
      </w:pPr>
    </w:p>
    <w:p w:rsidR="0085333E" w:rsidRDefault="0085333E" w:rsidP="00B30B91">
      <w:pPr>
        <w:jc w:val="both"/>
        <w:rPr>
          <w:bCs/>
          <w:sz w:val="22"/>
        </w:rPr>
      </w:pPr>
    </w:p>
    <w:p w:rsidR="00C27319" w:rsidRDefault="00C27319" w:rsidP="00B30B91">
      <w:pPr>
        <w:jc w:val="both"/>
        <w:rPr>
          <w:bCs/>
          <w:sz w:val="22"/>
        </w:rPr>
      </w:pPr>
    </w:p>
    <w:tbl>
      <w:tblPr>
        <w:tblW w:w="9089" w:type="dxa"/>
        <w:tblInd w:w="94" w:type="dxa"/>
        <w:tblLayout w:type="fixed"/>
        <w:tblLook w:val="04A0"/>
      </w:tblPr>
      <w:tblGrid>
        <w:gridCol w:w="4409"/>
        <w:gridCol w:w="1051"/>
        <w:gridCol w:w="909"/>
        <w:gridCol w:w="907"/>
        <w:gridCol w:w="906"/>
        <w:gridCol w:w="907"/>
      </w:tblGrid>
      <w:tr w:rsidR="00871F74" w:rsidRPr="00871F74" w:rsidTr="003D7F5F">
        <w:trPr>
          <w:trHeight w:val="227"/>
        </w:trPr>
        <w:tc>
          <w:tcPr>
            <w:tcW w:w="9089" w:type="dxa"/>
            <w:gridSpan w:val="6"/>
            <w:tcBorders>
              <w:top w:val="single" w:sz="4" w:space="0" w:color="auto"/>
              <w:left w:val="single" w:sz="4" w:space="0" w:color="auto"/>
              <w:bottom w:val="single" w:sz="4" w:space="0" w:color="auto"/>
              <w:right w:val="single" w:sz="4" w:space="0" w:color="auto"/>
            </w:tcBorders>
            <w:shd w:val="clear" w:color="auto" w:fill="404040" w:themeFill="text1" w:themeFillTint="BF"/>
          </w:tcPr>
          <w:p w:rsidR="00505C3A" w:rsidRDefault="009761B3" w:rsidP="000D23F9">
            <w:pPr>
              <w:jc w:val="center"/>
              <w:rPr>
                <w:rFonts w:ascii="Arial Narrow" w:hAnsi="Arial Narrow"/>
                <w:b/>
                <w:bCs/>
                <w:color w:val="FFFFFF"/>
              </w:rPr>
            </w:pPr>
            <w:r>
              <w:rPr>
                <w:rFonts w:ascii="Arial Narrow" w:hAnsi="Arial Narrow"/>
                <w:b/>
                <w:bCs/>
                <w:color w:val="FFFFFF"/>
              </w:rPr>
              <w:lastRenderedPageBreak/>
              <w:t xml:space="preserve">Πίνακας 3.29 </w:t>
            </w:r>
            <w:r w:rsidR="00871F74" w:rsidRPr="00871F74">
              <w:rPr>
                <w:rFonts w:ascii="Arial Narrow" w:hAnsi="Arial Narrow"/>
                <w:b/>
                <w:bCs/>
                <w:color w:val="FFFFFF"/>
              </w:rPr>
              <w:t xml:space="preserve">  Εξέλιξη εκκρεμών επιστροφών φόρων</w:t>
            </w:r>
          </w:p>
          <w:p w:rsidR="00871F74" w:rsidRPr="00871F74" w:rsidRDefault="00505C3A" w:rsidP="000D23F9">
            <w:pPr>
              <w:jc w:val="center"/>
              <w:rPr>
                <w:rFonts w:ascii="Arial Narrow" w:hAnsi="Arial Narrow"/>
                <w:b/>
                <w:bCs/>
                <w:color w:val="FFFFFF"/>
              </w:rPr>
            </w:pPr>
            <w:r>
              <w:rPr>
                <w:rFonts w:ascii="Arial Narrow" w:hAnsi="Arial Narrow"/>
                <w:b/>
                <w:bCs/>
                <w:color w:val="FFFFFF"/>
              </w:rPr>
              <w:t>Δεκέμβριος 2018 – Σεπτέμβριος 2020</w:t>
            </w:r>
          </w:p>
          <w:p w:rsidR="00871F74" w:rsidRPr="00871F74" w:rsidRDefault="00871F74" w:rsidP="000D23F9">
            <w:pPr>
              <w:jc w:val="center"/>
              <w:rPr>
                <w:rFonts w:ascii="Arial Narrow" w:hAnsi="Arial Narrow"/>
                <w:b/>
                <w:bCs/>
                <w:color w:val="FFFFFF"/>
              </w:rPr>
            </w:pPr>
            <w:r w:rsidRPr="00871F74">
              <w:rPr>
                <w:rFonts w:ascii="Arial Narrow" w:hAnsi="Arial Narrow"/>
                <w:b/>
                <w:bCs/>
                <w:color w:val="FFFFFF"/>
              </w:rPr>
              <w:t>(σε εκατ. ευρώ)</w:t>
            </w:r>
          </w:p>
        </w:tc>
      </w:tr>
      <w:tr w:rsidR="007A446D" w:rsidRPr="00E06102" w:rsidTr="003D7F5F">
        <w:trPr>
          <w:trHeight w:val="170"/>
        </w:trPr>
        <w:tc>
          <w:tcPr>
            <w:tcW w:w="9089" w:type="dxa"/>
            <w:gridSpan w:val="6"/>
            <w:tcBorders>
              <w:top w:val="single" w:sz="4" w:space="0" w:color="auto"/>
              <w:left w:val="single" w:sz="4" w:space="0" w:color="auto"/>
              <w:right w:val="single" w:sz="4" w:space="0" w:color="auto"/>
            </w:tcBorders>
            <w:shd w:val="clear" w:color="auto" w:fill="auto"/>
            <w:vAlign w:val="bottom"/>
            <w:hideMark/>
          </w:tcPr>
          <w:p w:rsidR="007A446D" w:rsidRPr="00E06102" w:rsidRDefault="007A446D" w:rsidP="000D23F9">
            <w:pPr>
              <w:jc w:val="center"/>
              <w:rPr>
                <w:rFonts w:ascii="Arial Narrow" w:hAnsi="Arial Narrow"/>
                <w:b/>
                <w:bCs/>
                <w:color w:val="000000"/>
                <w:sz w:val="16"/>
                <w:szCs w:val="16"/>
              </w:rPr>
            </w:pPr>
          </w:p>
        </w:tc>
      </w:tr>
      <w:tr w:rsidR="00E56793" w:rsidRPr="00E06102" w:rsidTr="00E56793">
        <w:trPr>
          <w:trHeight w:val="377"/>
        </w:trPr>
        <w:tc>
          <w:tcPr>
            <w:tcW w:w="4409" w:type="dxa"/>
            <w:tcBorders>
              <w:left w:val="single" w:sz="4" w:space="0" w:color="auto"/>
              <w:right w:val="single" w:sz="4" w:space="0" w:color="auto"/>
            </w:tcBorders>
            <w:shd w:val="clear" w:color="auto" w:fill="auto"/>
            <w:vAlign w:val="center"/>
            <w:hideMark/>
          </w:tcPr>
          <w:p w:rsidR="00E56793" w:rsidRPr="00E06102" w:rsidRDefault="00E56793" w:rsidP="00E56793">
            <w:pPr>
              <w:rPr>
                <w:rFonts w:ascii="Arial Narrow" w:hAnsi="Arial Narrow"/>
                <w:b/>
                <w:bCs/>
                <w:color w:val="000000"/>
                <w:sz w:val="16"/>
                <w:szCs w:val="16"/>
              </w:rPr>
            </w:pPr>
          </w:p>
        </w:tc>
        <w:tc>
          <w:tcPr>
            <w:tcW w:w="1051" w:type="dxa"/>
            <w:tcBorders>
              <w:top w:val="single" w:sz="4" w:space="0" w:color="auto"/>
              <w:left w:val="single" w:sz="4" w:space="0" w:color="auto"/>
              <w:right w:val="single" w:sz="4" w:space="0" w:color="auto"/>
            </w:tcBorders>
            <w:shd w:val="clear" w:color="auto" w:fill="auto"/>
            <w:vAlign w:val="bottom"/>
            <w:hideMark/>
          </w:tcPr>
          <w:p w:rsidR="00E56793" w:rsidRPr="00E06102" w:rsidRDefault="00E56793" w:rsidP="000D23F9">
            <w:pPr>
              <w:jc w:val="center"/>
              <w:rPr>
                <w:rFonts w:ascii="Arial Narrow" w:hAnsi="Arial Narrow"/>
                <w:b/>
                <w:bCs/>
                <w:color w:val="000000"/>
                <w:sz w:val="16"/>
                <w:szCs w:val="16"/>
              </w:rPr>
            </w:pPr>
            <w:r w:rsidRPr="00E06102">
              <w:rPr>
                <w:rFonts w:ascii="Arial Narrow" w:hAnsi="Arial Narrow"/>
                <w:b/>
                <w:bCs/>
                <w:color w:val="000000"/>
                <w:sz w:val="16"/>
                <w:szCs w:val="16"/>
              </w:rPr>
              <w:t>Δεκ.</w:t>
            </w:r>
          </w:p>
          <w:p w:rsidR="00E56793" w:rsidRPr="00E06102" w:rsidRDefault="00E56793" w:rsidP="000D23F9">
            <w:pPr>
              <w:jc w:val="center"/>
              <w:rPr>
                <w:rFonts w:ascii="Arial Narrow" w:hAnsi="Arial Narrow"/>
                <w:b/>
                <w:bCs/>
                <w:color w:val="000000"/>
                <w:sz w:val="16"/>
                <w:szCs w:val="16"/>
              </w:rPr>
            </w:pPr>
            <w:r w:rsidRPr="00E06102">
              <w:rPr>
                <w:rFonts w:ascii="Arial Narrow" w:hAnsi="Arial Narrow"/>
                <w:b/>
                <w:bCs/>
                <w:color w:val="000000"/>
                <w:sz w:val="16"/>
                <w:szCs w:val="16"/>
              </w:rPr>
              <w:t>201</w:t>
            </w:r>
            <w:r>
              <w:rPr>
                <w:rFonts w:ascii="Arial Narrow" w:hAnsi="Arial Narrow"/>
                <w:b/>
                <w:bCs/>
                <w:color w:val="000000"/>
                <w:sz w:val="16"/>
                <w:szCs w:val="16"/>
              </w:rPr>
              <w:t>8</w:t>
            </w:r>
          </w:p>
        </w:tc>
        <w:tc>
          <w:tcPr>
            <w:tcW w:w="909" w:type="dxa"/>
            <w:tcBorders>
              <w:top w:val="single" w:sz="4" w:space="0" w:color="auto"/>
              <w:left w:val="single" w:sz="4" w:space="0" w:color="auto"/>
              <w:right w:val="single" w:sz="4" w:space="0" w:color="auto"/>
            </w:tcBorders>
            <w:vAlign w:val="bottom"/>
          </w:tcPr>
          <w:p w:rsidR="00E56793" w:rsidRPr="00E06102" w:rsidRDefault="00E56793" w:rsidP="000D23F9">
            <w:pPr>
              <w:jc w:val="center"/>
              <w:rPr>
                <w:rFonts w:ascii="Arial Narrow" w:hAnsi="Arial Narrow"/>
                <w:b/>
                <w:bCs/>
                <w:color w:val="000000"/>
                <w:sz w:val="16"/>
                <w:szCs w:val="16"/>
              </w:rPr>
            </w:pPr>
            <w:r w:rsidRPr="00E06102">
              <w:rPr>
                <w:rFonts w:ascii="Arial Narrow" w:hAnsi="Arial Narrow"/>
                <w:b/>
                <w:bCs/>
                <w:color w:val="000000"/>
                <w:sz w:val="16"/>
                <w:szCs w:val="16"/>
              </w:rPr>
              <w:t>Δεκ.</w:t>
            </w:r>
          </w:p>
          <w:p w:rsidR="00E56793" w:rsidRPr="00E06102" w:rsidRDefault="00E56793" w:rsidP="000D23F9">
            <w:pPr>
              <w:jc w:val="center"/>
              <w:rPr>
                <w:rFonts w:ascii="Arial Narrow" w:hAnsi="Arial Narrow"/>
                <w:b/>
                <w:bCs/>
                <w:color w:val="000000"/>
                <w:sz w:val="16"/>
                <w:szCs w:val="16"/>
              </w:rPr>
            </w:pPr>
            <w:r w:rsidRPr="00E06102">
              <w:rPr>
                <w:rFonts w:ascii="Arial Narrow" w:hAnsi="Arial Narrow"/>
                <w:b/>
                <w:bCs/>
                <w:color w:val="000000"/>
                <w:sz w:val="16"/>
                <w:szCs w:val="16"/>
              </w:rPr>
              <w:t>201</w:t>
            </w:r>
            <w:r>
              <w:rPr>
                <w:rFonts w:ascii="Arial Narrow" w:hAnsi="Arial Narrow"/>
                <w:b/>
                <w:bCs/>
                <w:color w:val="000000"/>
                <w:sz w:val="16"/>
                <w:szCs w:val="16"/>
              </w:rPr>
              <w:t>9</w:t>
            </w:r>
          </w:p>
        </w:tc>
        <w:tc>
          <w:tcPr>
            <w:tcW w:w="907" w:type="dxa"/>
            <w:tcBorders>
              <w:top w:val="single" w:sz="4" w:space="0" w:color="auto"/>
              <w:left w:val="single" w:sz="4" w:space="0" w:color="auto"/>
              <w:right w:val="single" w:sz="4" w:space="0" w:color="auto"/>
            </w:tcBorders>
            <w:shd w:val="clear" w:color="auto" w:fill="auto"/>
            <w:vAlign w:val="bottom"/>
            <w:hideMark/>
          </w:tcPr>
          <w:p w:rsidR="00E56793" w:rsidRPr="00E06102" w:rsidRDefault="00E56793" w:rsidP="000D23F9">
            <w:pPr>
              <w:jc w:val="center"/>
              <w:rPr>
                <w:rFonts w:ascii="Arial Narrow" w:hAnsi="Arial Narrow"/>
                <w:b/>
                <w:bCs/>
                <w:color w:val="000000"/>
                <w:sz w:val="16"/>
                <w:szCs w:val="16"/>
              </w:rPr>
            </w:pPr>
            <w:r w:rsidRPr="00E06102">
              <w:rPr>
                <w:rFonts w:ascii="Arial Narrow" w:hAnsi="Arial Narrow"/>
                <w:b/>
                <w:bCs/>
                <w:color w:val="000000"/>
                <w:sz w:val="16"/>
                <w:szCs w:val="16"/>
              </w:rPr>
              <w:t>Μάρτ.</w:t>
            </w:r>
          </w:p>
          <w:p w:rsidR="00E56793" w:rsidRPr="00E06102" w:rsidRDefault="00E56793" w:rsidP="000D23F9">
            <w:pPr>
              <w:jc w:val="center"/>
              <w:rPr>
                <w:rFonts w:ascii="Arial Narrow" w:hAnsi="Arial Narrow"/>
                <w:b/>
                <w:bCs/>
                <w:color w:val="000000"/>
                <w:sz w:val="16"/>
                <w:szCs w:val="16"/>
              </w:rPr>
            </w:pPr>
            <w:r>
              <w:rPr>
                <w:rFonts w:ascii="Arial Narrow" w:hAnsi="Arial Narrow"/>
                <w:b/>
                <w:bCs/>
                <w:color w:val="000000"/>
                <w:sz w:val="16"/>
                <w:szCs w:val="16"/>
              </w:rPr>
              <w:t>2020</w:t>
            </w:r>
          </w:p>
        </w:tc>
        <w:tc>
          <w:tcPr>
            <w:tcW w:w="906" w:type="dxa"/>
            <w:tcBorders>
              <w:top w:val="single" w:sz="4" w:space="0" w:color="auto"/>
              <w:left w:val="single" w:sz="4" w:space="0" w:color="auto"/>
              <w:right w:val="single" w:sz="4" w:space="0" w:color="auto"/>
            </w:tcBorders>
            <w:shd w:val="clear" w:color="auto" w:fill="auto"/>
            <w:vAlign w:val="bottom"/>
            <w:hideMark/>
          </w:tcPr>
          <w:p w:rsidR="00E56793" w:rsidRPr="00E06102" w:rsidRDefault="00E56793" w:rsidP="000D23F9">
            <w:pPr>
              <w:jc w:val="center"/>
              <w:rPr>
                <w:rFonts w:ascii="Arial Narrow" w:hAnsi="Arial Narrow"/>
                <w:b/>
                <w:bCs/>
                <w:color w:val="000000"/>
                <w:sz w:val="16"/>
                <w:szCs w:val="16"/>
              </w:rPr>
            </w:pPr>
            <w:r w:rsidRPr="00E06102">
              <w:rPr>
                <w:rFonts w:ascii="Arial Narrow" w:hAnsi="Arial Narrow"/>
                <w:b/>
                <w:bCs/>
                <w:color w:val="000000"/>
                <w:sz w:val="16"/>
                <w:szCs w:val="16"/>
              </w:rPr>
              <w:t>Ιούν</w:t>
            </w:r>
            <w:r>
              <w:rPr>
                <w:rFonts w:ascii="Arial Narrow" w:hAnsi="Arial Narrow"/>
                <w:b/>
                <w:bCs/>
                <w:color w:val="000000"/>
                <w:sz w:val="16"/>
                <w:szCs w:val="16"/>
              </w:rPr>
              <w:t>.</w:t>
            </w:r>
          </w:p>
          <w:p w:rsidR="00E56793" w:rsidRPr="00E06102" w:rsidRDefault="00E56793" w:rsidP="000D23F9">
            <w:pPr>
              <w:jc w:val="center"/>
              <w:rPr>
                <w:rFonts w:ascii="Arial Narrow" w:hAnsi="Arial Narrow"/>
                <w:b/>
                <w:bCs/>
                <w:color w:val="000000"/>
                <w:sz w:val="16"/>
                <w:szCs w:val="16"/>
              </w:rPr>
            </w:pPr>
            <w:r>
              <w:rPr>
                <w:rFonts w:ascii="Arial Narrow" w:hAnsi="Arial Narrow"/>
                <w:b/>
                <w:bCs/>
                <w:color w:val="000000"/>
                <w:sz w:val="16"/>
                <w:szCs w:val="16"/>
              </w:rPr>
              <w:t>2020</w:t>
            </w:r>
          </w:p>
        </w:tc>
        <w:tc>
          <w:tcPr>
            <w:tcW w:w="907" w:type="dxa"/>
            <w:tcBorders>
              <w:top w:val="single" w:sz="4" w:space="0" w:color="auto"/>
              <w:left w:val="single" w:sz="4" w:space="0" w:color="auto"/>
              <w:right w:val="single" w:sz="4" w:space="0" w:color="auto"/>
            </w:tcBorders>
            <w:shd w:val="clear" w:color="auto" w:fill="auto"/>
            <w:vAlign w:val="bottom"/>
            <w:hideMark/>
          </w:tcPr>
          <w:p w:rsidR="00E56793" w:rsidRPr="00E06102" w:rsidRDefault="00E56793" w:rsidP="000D23F9">
            <w:pPr>
              <w:jc w:val="center"/>
              <w:rPr>
                <w:rFonts w:ascii="Arial Narrow" w:hAnsi="Arial Narrow"/>
                <w:b/>
                <w:bCs/>
                <w:color w:val="000000"/>
                <w:sz w:val="16"/>
                <w:szCs w:val="16"/>
              </w:rPr>
            </w:pPr>
            <w:r>
              <w:rPr>
                <w:rFonts w:ascii="Arial Narrow" w:hAnsi="Arial Narrow"/>
                <w:b/>
                <w:bCs/>
                <w:color w:val="000000"/>
                <w:sz w:val="16"/>
                <w:szCs w:val="16"/>
              </w:rPr>
              <w:t>Σεπτ.</w:t>
            </w:r>
          </w:p>
          <w:p w:rsidR="00E56793" w:rsidRPr="00E06102" w:rsidRDefault="00E56793" w:rsidP="000D23F9">
            <w:pPr>
              <w:jc w:val="center"/>
              <w:rPr>
                <w:rFonts w:ascii="Arial Narrow" w:hAnsi="Arial Narrow"/>
                <w:b/>
                <w:bCs/>
                <w:color w:val="000000"/>
                <w:sz w:val="16"/>
                <w:szCs w:val="16"/>
              </w:rPr>
            </w:pPr>
            <w:r>
              <w:rPr>
                <w:rFonts w:ascii="Arial Narrow" w:hAnsi="Arial Narrow"/>
                <w:b/>
                <w:bCs/>
                <w:color w:val="000000"/>
                <w:sz w:val="16"/>
                <w:szCs w:val="16"/>
              </w:rPr>
              <w:t>2020</w:t>
            </w:r>
          </w:p>
        </w:tc>
      </w:tr>
      <w:tr w:rsidR="003D7F5F" w:rsidRPr="00E06102" w:rsidTr="003E05B9">
        <w:trPr>
          <w:trHeight w:val="227"/>
        </w:trPr>
        <w:tc>
          <w:tcPr>
            <w:tcW w:w="4409" w:type="dxa"/>
            <w:tcBorders>
              <w:top w:val="single" w:sz="4" w:space="0" w:color="auto"/>
              <w:left w:val="single" w:sz="4" w:space="0" w:color="auto"/>
              <w:bottom w:val="single" w:sz="4" w:space="0" w:color="auto"/>
              <w:right w:val="single" w:sz="4" w:space="0" w:color="auto"/>
            </w:tcBorders>
            <w:shd w:val="pct25" w:color="auto" w:fill="auto"/>
            <w:vAlign w:val="bottom"/>
            <w:hideMark/>
          </w:tcPr>
          <w:p w:rsidR="003D7F5F" w:rsidRPr="00B87D47" w:rsidRDefault="003D7F5F" w:rsidP="00E56793">
            <w:pPr>
              <w:tabs>
                <w:tab w:val="left" w:pos="314"/>
              </w:tabs>
              <w:jc w:val="both"/>
              <w:rPr>
                <w:rFonts w:ascii="Arial Narrow" w:hAnsi="Arial Narrow"/>
                <w:b/>
                <w:bCs/>
                <w:color w:val="000000"/>
                <w:sz w:val="16"/>
                <w:szCs w:val="16"/>
              </w:rPr>
            </w:pPr>
            <w:r w:rsidRPr="00EA39BA">
              <w:rPr>
                <w:rFonts w:ascii="Arial Narrow" w:hAnsi="Arial Narrow"/>
                <w:b/>
                <w:color w:val="000000"/>
                <w:sz w:val="16"/>
                <w:szCs w:val="16"/>
              </w:rPr>
              <w:t>Εκκρεμείς</w:t>
            </w:r>
            <w:r>
              <w:rPr>
                <w:rFonts w:ascii="Arial Narrow" w:hAnsi="Arial Narrow"/>
                <w:b/>
                <w:color w:val="000000"/>
                <w:sz w:val="16"/>
                <w:szCs w:val="16"/>
              </w:rPr>
              <w:t xml:space="preserve"> </w:t>
            </w:r>
            <w:r w:rsidRPr="00EA39BA">
              <w:rPr>
                <w:rFonts w:ascii="Arial Narrow" w:hAnsi="Arial Narrow"/>
                <w:b/>
                <w:color w:val="000000"/>
                <w:sz w:val="16"/>
                <w:szCs w:val="16"/>
              </w:rPr>
              <w:t>επιστροφές φόρων</w:t>
            </w:r>
          </w:p>
        </w:tc>
        <w:tc>
          <w:tcPr>
            <w:tcW w:w="1051"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3D7F5F" w:rsidRPr="009761B3" w:rsidRDefault="003D7F5F" w:rsidP="003E05B9">
            <w:pPr>
              <w:ind w:right="284"/>
              <w:jc w:val="right"/>
              <w:rPr>
                <w:rFonts w:ascii="Arial Narrow" w:hAnsi="Arial Narrow"/>
                <w:b/>
                <w:bCs/>
                <w:color w:val="000000"/>
                <w:sz w:val="16"/>
                <w:szCs w:val="16"/>
              </w:rPr>
            </w:pPr>
            <w:r w:rsidRPr="003D7F5F">
              <w:rPr>
                <w:rFonts w:ascii="Arial Narrow" w:hAnsi="Arial Narrow" w:cs="Segoe UI"/>
                <w:b/>
                <w:sz w:val="16"/>
                <w:szCs w:val="16"/>
              </w:rPr>
              <w:t>506</w:t>
            </w:r>
          </w:p>
        </w:tc>
        <w:tc>
          <w:tcPr>
            <w:tcW w:w="909" w:type="dxa"/>
            <w:tcBorders>
              <w:top w:val="single" w:sz="4" w:space="0" w:color="auto"/>
              <w:left w:val="single" w:sz="4" w:space="0" w:color="auto"/>
              <w:bottom w:val="single" w:sz="4" w:space="0" w:color="auto"/>
              <w:right w:val="single" w:sz="4" w:space="0" w:color="auto"/>
            </w:tcBorders>
            <w:shd w:val="pct25" w:color="auto" w:fill="auto"/>
            <w:vAlign w:val="center"/>
          </w:tcPr>
          <w:p w:rsidR="003D7F5F" w:rsidRPr="009761B3" w:rsidRDefault="003D7F5F" w:rsidP="003E05B9">
            <w:pPr>
              <w:ind w:right="284"/>
              <w:jc w:val="right"/>
              <w:rPr>
                <w:rFonts w:ascii="Arial Narrow" w:hAnsi="Arial Narrow"/>
                <w:b/>
                <w:bCs/>
                <w:color w:val="000000"/>
                <w:sz w:val="16"/>
                <w:szCs w:val="16"/>
              </w:rPr>
            </w:pPr>
            <w:r w:rsidRPr="003D7F5F">
              <w:rPr>
                <w:rFonts w:ascii="Arial Narrow" w:hAnsi="Arial Narrow" w:cs="Segoe UI"/>
                <w:b/>
                <w:sz w:val="16"/>
                <w:szCs w:val="16"/>
              </w:rPr>
              <w:t>667</w:t>
            </w:r>
          </w:p>
        </w:tc>
        <w:tc>
          <w:tcPr>
            <w:tcW w:w="907"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3D7F5F" w:rsidRPr="003D7F5F" w:rsidRDefault="003D7F5F" w:rsidP="003E05B9">
            <w:pPr>
              <w:ind w:right="284"/>
              <w:jc w:val="right"/>
              <w:rPr>
                <w:rFonts w:ascii="Arial Narrow" w:hAnsi="Arial Narrow" w:cs="Segoe UI"/>
                <w:b/>
                <w:sz w:val="16"/>
                <w:szCs w:val="16"/>
              </w:rPr>
            </w:pPr>
            <w:r w:rsidRPr="003D7F5F">
              <w:rPr>
                <w:rFonts w:ascii="Arial Narrow" w:hAnsi="Arial Narrow" w:cs="Segoe UI"/>
                <w:b/>
                <w:sz w:val="16"/>
                <w:szCs w:val="16"/>
              </w:rPr>
              <w:t>610</w:t>
            </w:r>
          </w:p>
        </w:tc>
        <w:tc>
          <w:tcPr>
            <w:tcW w:w="906"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3D7F5F" w:rsidRPr="003D7F5F" w:rsidRDefault="003D7F5F" w:rsidP="003E05B9">
            <w:pPr>
              <w:ind w:right="284"/>
              <w:jc w:val="right"/>
              <w:rPr>
                <w:rFonts w:ascii="Arial Narrow" w:hAnsi="Arial Narrow"/>
                <w:b/>
                <w:bCs/>
                <w:color w:val="000000"/>
                <w:sz w:val="16"/>
                <w:szCs w:val="16"/>
              </w:rPr>
            </w:pPr>
            <w:r w:rsidRPr="003D7F5F">
              <w:rPr>
                <w:rFonts w:ascii="Arial Narrow" w:hAnsi="Arial Narrow" w:cs="Segoe UI"/>
                <w:b/>
                <w:sz w:val="16"/>
                <w:szCs w:val="16"/>
              </w:rPr>
              <w:t>612</w:t>
            </w:r>
          </w:p>
        </w:tc>
        <w:tc>
          <w:tcPr>
            <w:tcW w:w="907"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3D7F5F" w:rsidRPr="003D7F5F" w:rsidRDefault="003D7F5F" w:rsidP="003E05B9">
            <w:pPr>
              <w:ind w:right="284"/>
              <w:jc w:val="right"/>
              <w:rPr>
                <w:rFonts w:ascii="Arial Narrow" w:hAnsi="Arial Narrow"/>
                <w:b/>
                <w:bCs/>
                <w:color w:val="000000"/>
                <w:sz w:val="16"/>
                <w:szCs w:val="16"/>
              </w:rPr>
            </w:pPr>
            <w:r w:rsidRPr="003D7F5F">
              <w:rPr>
                <w:rFonts w:ascii="Arial Narrow" w:hAnsi="Arial Narrow" w:cs="Segoe UI"/>
                <w:b/>
                <w:sz w:val="16"/>
                <w:szCs w:val="16"/>
              </w:rPr>
              <w:t>1.002</w:t>
            </w:r>
          </w:p>
        </w:tc>
      </w:tr>
      <w:tr w:rsidR="003D7F5F" w:rsidRPr="00B87D47" w:rsidTr="003E05B9">
        <w:trPr>
          <w:trHeight w:val="227"/>
        </w:trPr>
        <w:tc>
          <w:tcPr>
            <w:tcW w:w="4409" w:type="dxa"/>
            <w:tcBorders>
              <w:top w:val="single" w:sz="4" w:space="0" w:color="auto"/>
              <w:left w:val="single" w:sz="4" w:space="0" w:color="auto"/>
            </w:tcBorders>
            <w:shd w:val="clear" w:color="auto" w:fill="auto"/>
            <w:vAlign w:val="bottom"/>
            <w:hideMark/>
          </w:tcPr>
          <w:p w:rsidR="003D7F5F" w:rsidRPr="00B87D47" w:rsidRDefault="003D7F5F" w:rsidP="00E56793">
            <w:pPr>
              <w:tabs>
                <w:tab w:val="left" w:pos="314"/>
              </w:tabs>
              <w:jc w:val="both"/>
              <w:rPr>
                <w:rFonts w:ascii="Arial Narrow" w:hAnsi="Arial Narrow"/>
                <w:b/>
                <w:bCs/>
                <w:color w:val="000000"/>
                <w:sz w:val="16"/>
                <w:szCs w:val="16"/>
              </w:rPr>
            </w:pPr>
            <w:r>
              <w:rPr>
                <w:rFonts w:ascii="Arial Narrow" w:hAnsi="Arial Narrow"/>
                <w:color w:val="000000"/>
                <w:sz w:val="16"/>
                <w:szCs w:val="16"/>
              </w:rPr>
              <w:t>Εκκρεμείς επιστροφές φ</w:t>
            </w:r>
            <w:r w:rsidRPr="00B87D47">
              <w:rPr>
                <w:rFonts w:ascii="Arial Narrow" w:hAnsi="Arial Narrow"/>
                <w:color w:val="000000"/>
                <w:sz w:val="16"/>
                <w:szCs w:val="16"/>
              </w:rPr>
              <w:t>όρων άνω των 90 ημερών (ληξιπρόθεσμες επ</w:t>
            </w:r>
            <w:r w:rsidRPr="00B87D47">
              <w:rPr>
                <w:rFonts w:ascii="Arial Narrow" w:hAnsi="Arial Narrow"/>
                <w:color w:val="000000"/>
                <w:sz w:val="16"/>
                <w:szCs w:val="16"/>
              </w:rPr>
              <w:t>ι</w:t>
            </w:r>
            <w:r w:rsidRPr="00B87D47">
              <w:rPr>
                <w:rFonts w:ascii="Arial Narrow" w:hAnsi="Arial Narrow"/>
                <w:color w:val="000000"/>
                <w:sz w:val="16"/>
                <w:szCs w:val="16"/>
              </w:rPr>
              <w:t>στροφές) από την ημερομηνία έκδοσης του ΑΦΕΚ</w:t>
            </w:r>
          </w:p>
        </w:tc>
        <w:tc>
          <w:tcPr>
            <w:tcW w:w="1051" w:type="dxa"/>
            <w:tcBorders>
              <w:top w:val="single" w:sz="4" w:space="0" w:color="auto"/>
            </w:tcBorders>
            <w:shd w:val="clear" w:color="auto" w:fill="auto"/>
            <w:vAlign w:val="center"/>
            <w:hideMark/>
          </w:tcPr>
          <w:p w:rsidR="003D7F5F" w:rsidRPr="003D7F5F" w:rsidRDefault="003D7F5F" w:rsidP="003E05B9">
            <w:pPr>
              <w:ind w:right="284"/>
              <w:jc w:val="right"/>
              <w:rPr>
                <w:rFonts w:ascii="Arial Narrow" w:hAnsi="Arial Narrow"/>
                <w:color w:val="000000"/>
                <w:sz w:val="16"/>
                <w:szCs w:val="16"/>
              </w:rPr>
            </w:pPr>
            <w:r w:rsidRPr="003D7F5F">
              <w:rPr>
                <w:rFonts w:ascii="Arial Narrow" w:hAnsi="Arial Narrow"/>
                <w:color w:val="000000"/>
                <w:sz w:val="16"/>
                <w:szCs w:val="16"/>
              </w:rPr>
              <w:t>340</w:t>
            </w:r>
          </w:p>
        </w:tc>
        <w:tc>
          <w:tcPr>
            <w:tcW w:w="909" w:type="dxa"/>
            <w:tcBorders>
              <w:top w:val="single" w:sz="4" w:space="0" w:color="auto"/>
            </w:tcBorders>
            <w:vAlign w:val="center"/>
          </w:tcPr>
          <w:p w:rsidR="003D7F5F" w:rsidRPr="003D7F5F" w:rsidRDefault="003D7F5F" w:rsidP="003E05B9">
            <w:pPr>
              <w:ind w:right="284"/>
              <w:jc w:val="right"/>
              <w:rPr>
                <w:rFonts w:ascii="Arial Narrow" w:hAnsi="Arial Narrow"/>
                <w:color w:val="000000"/>
                <w:sz w:val="16"/>
                <w:szCs w:val="16"/>
              </w:rPr>
            </w:pPr>
            <w:r w:rsidRPr="003D7F5F">
              <w:rPr>
                <w:rFonts w:ascii="Arial Narrow" w:hAnsi="Arial Narrow"/>
                <w:color w:val="000000"/>
                <w:sz w:val="16"/>
                <w:szCs w:val="16"/>
              </w:rPr>
              <w:t>371</w:t>
            </w:r>
          </w:p>
        </w:tc>
        <w:tc>
          <w:tcPr>
            <w:tcW w:w="907" w:type="dxa"/>
            <w:tcBorders>
              <w:top w:val="single" w:sz="4" w:space="0" w:color="auto"/>
            </w:tcBorders>
            <w:shd w:val="clear" w:color="auto" w:fill="auto"/>
            <w:vAlign w:val="center"/>
            <w:hideMark/>
          </w:tcPr>
          <w:p w:rsidR="003D7F5F" w:rsidRPr="003D7F5F" w:rsidRDefault="003D7F5F" w:rsidP="003E05B9">
            <w:pPr>
              <w:ind w:right="284"/>
              <w:jc w:val="right"/>
              <w:rPr>
                <w:rFonts w:ascii="Arial Narrow" w:hAnsi="Arial Narrow"/>
                <w:color w:val="000000"/>
                <w:sz w:val="16"/>
                <w:szCs w:val="16"/>
              </w:rPr>
            </w:pPr>
            <w:r w:rsidRPr="003D7F5F">
              <w:rPr>
                <w:rFonts w:ascii="Arial Narrow" w:hAnsi="Arial Narrow"/>
                <w:color w:val="000000"/>
                <w:sz w:val="16"/>
                <w:szCs w:val="16"/>
              </w:rPr>
              <w:t>433</w:t>
            </w:r>
          </w:p>
        </w:tc>
        <w:tc>
          <w:tcPr>
            <w:tcW w:w="906" w:type="dxa"/>
            <w:tcBorders>
              <w:top w:val="single" w:sz="4" w:space="0" w:color="auto"/>
            </w:tcBorders>
            <w:shd w:val="clear" w:color="auto" w:fill="auto"/>
            <w:vAlign w:val="center"/>
            <w:hideMark/>
          </w:tcPr>
          <w:p w:rsidR="003D7F5F" w:rsidRPr="003D7F5F" w:rsidRDefault="003D7F5F" w:rsidP="003E05B9">
            <w:pPr>
              <w:ind w:right="284"/>
              <w:jc w:val="right"/>
              <w:rPr>
                <w:rFonts w:ascii="Arial Narrow" w:hAnsi="Arial Narrow"/>
                <w:color w:val="000000"/>
                <w:sz w:val="16"/>
                <w:szCs w:val="16"/>
              </w:rPr>
            </w:pPr>
            <w:r w:rsidRPr="003D7F5F">
              <w:rPr>
                <w:rFonts w:ascii="Arial Narrow" w:hAnsi="Arial Narrow"/>
                <w:color w:val="000000"/>
                <w:sz w:val="16"/>
                <w:szCs w:val="16"/>
              </w:rPr>
              <w:t>288</w:t>
            </w:r>
          </w:p>
        </w:tc>
        <w:tc>
          <w:tcPr>
            <w:tcW w:w="907" w:type="dxa"/>
            <w:tcBorders>
              <w:top w:val="single" w:sz="4" w:space="0" w:color="auto"/>
              <w:right w:val="single" w:sz="4" w:space="0" w:color="auto"/>
            </w:tcBorders>
            <w:shd w:val="clear" w:color="auto" w:fill="auto"/>
            <w:vAlign w:val="center"/>
            <w:hideMark/>
          </w:tcPr>
          <w:p w:rsidR="003D7F5F" w:rsidRPr="003D7F5F" w:rsidRDefault="003D7F5F" w:rsidP="003E05B9">
            <w:pPr>
              <w:ind w:right="284"/>
              <w:jc w:val="right"/>
              <w:rPr>
                <w:rFonts w:ascii="Arial Narrow" w:hAnsi="Arial Narrow"/>
                <w:color w:val="000000"/>
                <w:sz w:val="16"/>
                <w:szCs w:val="16"/>
              </w:rPr>
            </w:pPr>
            <w:r w:rsidRPr="003D7F5F">
              <w:rPr>
                <w:rFonts w:ascii="Arial Narrow" w:hAnsi="Arial Narrow"/>
                <w:color w:val="000000"/>
                <w:sz w:val="16"/>
                <w:szCs w:val="16"/>
              </w:rPr>
              <w:t>307</w:t>
            </w:r>
          </w:p>
        </w:tc>
      </w:tr>
      <w:tr w:rsidR="003D7F5F" w:rsidRPr="00B87D47" w:rsidTr="003E05B9">
        <w:trPr>
          <w:trHeight w:val="227"/>
        </w:trPr>
        <w:tc>
          <w:tcPr>
            <w:tcW w:w="4409" w:type="dxa"/>
            <w:tcBorders>
              <w:top w:val="nil"/>
              <w:left w:val="single" w:sz="4" w:space="0" w:color="auto"/>
            </w:tcBorders>
            <w:shd w:val="clear" w:color="auto" w:fill="auto"/>
            <w:vAlign w:val="bottom"/>
            <w:hideMark/>
          </w:tcPr>
          <w:p w:rsidR="003D7F5F" w:rsidRPr="00DA5D13" w:rsidRDefault="003D7F5F" w:rsidP="00E56793">
            <w:pPr>
              <w:tabs>
                <w:tab w:val="left" w:pos="314"/>
              </w:tabs>
              <w:jc w:val="both"/>
              <w:rPr>
                <w:rFonts w:ascii="Arial Narrow" w:hAnsi="Arial Narrow"/>
                <w:b/>
                <w:bCs/>
                <w:color w:val="000000"/>
                <w:sz w:val="16"/>
                <w:szCs w:val="16"/>
              </w:rPr>
            </w:pPr>
            <w:r w:rsidRPr="00714607">
              <w:rPr>
                <w:rFonts w:ascii="Arial Narrow" w:hAnsi="Arial Narrow"/>
                <w:i/>
                <w:color w:val="000000"/>
                <w:sz w:val="16"/>
                <w:szCs w:val="16"/>
              </w:rPr>
              <w:t>α)</w:t>
            </w:r>
            <w:r w:rsidRPr="00DA5D13">
              <w:rPr>
                <w:rFonts w:ascii="Arial Narrow" w:hAnsi="Arial Narrow"/>
                <w:i/>
                <w:color w:val="000000"/>
                <w:sz w:val="16"/>
                <w:szCs w:val="16"/>
              </w:rPr>
              <w:tab/>
            </w:r>
            <w:r w:rsidRPr="00714607">
              <w:rPr>
                <w:rFonts w:ascii="Arial Narrow" w:hAnsi="Arial Narrow"/>
                <w:i/>
                <w:color w:val="000000"/>
                <w:sz w:val="16"/>
                <w:szCs w:val="16"/>
              </w:rPr>
              <w:t>εκ των οποίων ποσό που δε μπορεί να αποπληρωθεί λόγω εξ</w:t>
            </w:r>
            <w:r w:rsidRPr="00714607">
              <w:rPr>
                <w:rFonts w:ascii="Arial Narrow" w:hAnsi="Arial Narrow"/>
                <w:i/>
                <w:color w:val="000000"/>
                <w:sz w:val="16"/>
                <w:szCs w:val="16"/>
              </w:rPr>
              <w:t>ω</w:t>
            </w:r>
            <w:r w:rsidRPr="00714607">
              <w:rPr>
                <w:rFonts w:ascii="Arial Narrow" w:hAnsi="Arial Narrow"/>
                <w:i/>
                <w:color w:val="000000"/>
                <w:sz w:val="16"/>
                <w:szCs w:val="16"/>
              </w:rPr>
              <w:t xml:space="preserve">γενών παραγόντων (μη ανταπόκριση δικαιούχου ή μη προσκόμιση δικαιολογητικών) </w:t>
            </w:r>
          </w:p>
        </w:tc>
        <w:tc>
          <w:tcPr>
            <w:tcW w:w="1051" w:type="dxa"/>
            <w:tcBorders>
              <w:top w:val="nil"/>
            </w:tcBorders>
            <w:shd w:val="clear" w:color="auto" w:fill="auto"/>
            <w:vAlign w:val="center"/>
            <w:hideMark/>
          </w:tcPr>
          <w:p w:rsidR="003D7F5F" w:rsidRPr="003D7F5F" w:rsidRDefault="003D7F5F" w:rsidP="003E05B9">
            <w:pPr>
              <w:ind w:right="284"/>
              <w:jc w:val="right"/>
              <w:rPr>
                <w:rFonts w:ascii="Arial Narrow" w:hAnsi="Arial Narrow"/>
                <w:color w:val="000000"/>
                <w:sz w:val="16"/>
                <w:szCs w:val="16"/>
              </w:rPr>
            </w:pPr>
            <w:r w:rsidRPr="003D7F5F">
              <w:rPr>
                <w:rFonts w:ascii="Arial Narrow" w:hAnsi="Arial Narrow"/>
                <w:color w:val="000000"/>
                <w:sz w:val="16"/>
                <w:szCs w:val="16"/>
              </w:rPr>
              <w:t>254</w:t>
            </w:r>
          </w:p>
        </w:tc>
        <w:tc>
          <w:tcPr>
            <w:tcW w:w="909" w:type="dxa"/>
            <w:tcBorders>
              <w:top w:val="nil"/>
            </w:tcBorders>
            <w:vAlign w:val="center"/>
          </w:tcPr>
          <w:p w:rsidR="003D7F5F" w:rsidRPr="003D7F5F" w:rsidRDefault="003D7F5F" w:rsidP="003E05B9">
            <w:pPr>
              <w:ind w:right="284"/>
              <w:jc w:val="right"/>
              <w:rPr>
                <w:rFonts w:ascii="Arial Narrow" w:hAnsi="Arial Narrow"/>
                <w:i/>
                <w:iCs/>
                <w:color w:val="000000"/>
                <w:sz w:val="16"/>
                <w:szCs w:val="16"/>
              </w:rPr>
            </w:pPr>
            <w:r w:rsidRPr="003D7F5F">
              <w:rPr>
                <w:rFonts w:ascii="Arial Narrow" w:hAnsi="Arial Narrow"/>
                <w:i/>
                <w:iCs/>
                <w:color w:val="000000"/>
                <w:sz w:val="16"/>
                <w:szCs w:val="16"/>
              </w:rPr>
              <w:t>290</w:t>
            </w:r>
          </w:p>
        </w:tc>
        <w:tc>
          <w:tcPr>
            <w:tcW w:w="907" w:type="dxa"/>
            <w:tcBorders>
              <w:top w:val="nil"/>
            </w:tcBorders>
            <w:shd w:val="clear" w:color="auto" w:fill="auto"/>
            <w:vAlign w:val="center"/>
            <w:hideMark/>
          </w:tcPr>
          <w:p w:rsidR="003D7F5F" w:rsidRPr="003D7F5F" w:rsidRDefault="003D7F5F" w:rsidP="003E05B9">
            <w:pPr>
              <w:ind w:right="284"/>
              <w:jc w:val="right"/>
              <w:rPr>
                <w:rFonts w:ascii="Arial Narrow" w:hAnsi="Arial Narrow"/>
                <w:i/>
                <w:iCs/>
                <w:color w:val="000000"/>
                <w:sz w:val="16"/>
                <w:szCs w:val="16"/>
              </w:rPr>
            </w:pPr>
            <w:r w:rsidRPr="003D7F5F">
              <w:rPr>
                <w:rFonts w:ascii="Arial Narrow" w:hAnsi="Arial Narrow"/>
                <w:i/>
                <w:iCs/>
                <w:color w:val="000000"/>
                <w:sz w:val="16"/>
                <w:szCs w:val="16"/>
              </w:rPr>
              <w:t>337</w:t>
            </w:r>
          </w:p>
        </w:tc>
        <w:tc>
          <w:tcPr>
            <w:tcW w:w="906" w:type="dxa"/>
            <w:tcBorders>
              <w:top w:val="nil"/>
            </w:tcBorders>
            <w:shd w:val="clear" w:color="auto" w:fill="auto"/>
            <w:vAlign w:val="center"/>
            <w:hideMark/>
          </w:tcPr>
          <w:p w:rsidR="003D7F5F" w:rsidRPr="003D7F5F" w:rsidRDefault="003D7F5F" w:rsidP="003E05B9">
            <w:pPr>
              <w:ind w:right="284"/>
              <w:jc w:val="right"/>
              <w:rPr>
                <w:rFonts w:ascii="Arial Narrow" w:hAnsi="Arial Narrow"/>
                <w:i/>
                <w:iCs/>
                <w:color w:val="000000"/>
                <w:sz w:val="16"/>
                <w:szCs w:val="16"/>
              </w:rPr>
            </w:pPr>
            <w:r w:rsidRPr="003D7F5F">
              <w:rPr>
                <w:rFonts w:ascii="Arial Narrow" w:hAnsi="Arial Narrow"/>
                <w:i/>
                <w:iCs/>
                <w:color w:val="000000"/>
                <w:sz w:val="16"/>
                <w:szCs w:val="16"/>
              </w:rPr>
              <w:t>247</w:t>
            </w:r>
          </w:p>
        </w:tc>
        <w:tc>
          <w:tcPr>
            <w:tcW w:w="907" w:type="dxa"/>
            <w:tcBorders>
              <w:top w:val="nil"/>
              <w:right w:val="single" w:sz="4" w:space="0" w:color="auto"/>
            </w:tcBorders>
            <w:shd w:val="clear" w:color="auto" w:fill="auto"/>
            <w:vAlign w:val="center"/>
            <w:hideMark/>
          </w:tcPr>
          <w:p w:rsidR="003D7F5F" w:rsidRPr="003D7F5F" w:rsidRDefault="003D7F5F" w:rsidP="003E05B9">
            <w:pPr>
              <w:ind w:right="284"/>
              <w:jc w:val="right"/>
              <w:rPr>
                <w:rFonts w:ascii="Arial Narrow" w:hAnsi="Arial Narrow"/>
                <w:color w:val="000000"/>
                <w:sz w:val="16"/>
                <w:szCs w:val="16"/>
              </w:rPr>
            </w:pPr>
            <w:r w:rsidRPr="003D7F5F">
              <w:rPr>
                <w:rFonts w:ascii="Arial Narrow" w:hAnsi="Arial Narrow"/>
                <w:color w:val="000000"/>
                <w:sz w:val="16"/>
                <w:szCs w:val="16"/>
              </w:rPr>
              <w:t>243</w:t>
            </w:r>
          </w:p>
        </w:tc>
      </w:tr>
      <w:tr w:rsidR="003D7F5F" w:rsidRPr="00B87D47" w:rsidTr="003E05B9">
        <w:trPr>
          <w:trHeight w:val="227"/>
        </w:trPr>
        <w:tc>
          <w:tcPr>
            <w:tcW w:w="4409" w:type="dxa"/>
            <w:tcBorders>
              <w:top w:val="nil"/>
              <w:left w:val="single" w:sz="4" w:space="0" w:color="auto"/>
            </w:tcBorders>
            <w:shd w:val="clear" w:color="auto" w:fill="auto"/>
            <w:vAlign w:val="bottom"/>
            <w:hideMark/>
          </w:tcPr>
          <w:p w:rsidR="003D7F5F" w:rsidRPr="00B87D47" w:rsidRDefault="003D7F5F" w:rsidP="00E56793">
            <w:pPr>
              <w:tabs>
                <w:tab w:val="left" w:pos="314"/>
              </w:tabs>
              <w:jc w:val="both"/>
              <w:rPr>
                <w:rFonts w:ascii="Arial Narrow" w:hAnsi="Arial Narrow"/>
                <w:b/>
                <w:bCs/>
                <w:color w:val="000000"/>
                <w:sz w:val="16"/>
                <w:szCs w:val="16"/>
              </w:rPr>
            </w:pPr>
            <w:r w:rsidRPr="00714607">
              <w:rPr>
                <w:rFonts w:ascii="Arial Narrow" w:hAnsi="Arial Narrow"/>
                <w:i/>
                <w:color w:val="000000"/>
                <w:sz w:val="16"/>
                <w:szCs w:val="16"/>
              </w:rPr>
              <w:t>β)</w:t>
            </w:r>
            <w:r w:rsidRPr="00DA5D13">
              <w:rPr>
                <w:rFonts w:ascii="Arial Narrow" w:hAnsi="Arial Narrow"/>
                <w:i/>
                <w:color w:val="000000"/>
                <w:sz w:val="16"/>
                <w:szCs w:val="16"/>
              </w:rPr>
              <w:tab/>
            </w:r>
            <w:r w:rsidRPr="00714607">
              <w:rPr>
                <w:rFonts w:ascii="Arial Narrow" w:hAnsi="Arial Narrow"/>
                <w:i/>
                <w:color w:val="000000"/>
                <w:sz w:val="16"/>
                <w:szCs w:val="16"/>
              </w:rPr>
              <w:t>λοιπές εκκρεμείς επιστροφές φόρων άνω των 90 ημερών (ληξ</w:t>
            </w:r>
            <w:r w:rsidRPr="00714607">
              <w:rPr>
                <w:rFonts w:ascii="Arial Narrow" w:hAnsi="Arial Narrow"/>
                <w:i/>
                <w:color w:val="000000"/>
                <w:sz w:val="16"/>
                <w:szCs w:val="16"/>
              </w:rPr>
              <w:t>ι</w:t>
            </w:r>
            <w:r w:rsidRPr="00714607">
              <w:rPr>
                <w:rFonts w:ascii="Arial Narrow" w:hAnsi="Arial Narrow"/>
                <w:i/>
                <w:color w:val="000000"/>
                <w:sz w:val="16"/>
                <w:szCs w:val="16"/>
              </w:rPr>
              <w:t xml:space="preserve">πρόθεσμες επιστροφές) </w:t>
            </w:r>
          </w:p>
        </w:tc>
        <w:tc>
          <w:tcPr>
            <w:tcW w:w="1051" w:type="dxa"/>
            <w:tcBorders>
              <w:top w:val="nil"/>
            </w:tcBorders>
            <w:shd w:val="clear" w:color="auto" w:fill="auto"/>
            <w:vAlign w:val="center"/>
            <w:hideMark/>
          </w:tcPr>
          <w:p w:rsidR="003D7F5F" w:rsidRPr="003D7F5F" w:rsidRDefault="003D7F5F" w:rsidP="003E05B9">
            <w:pPr>
              <w:ind w:right="284"/>
              <w:jc w:val="right"/>
              <w:rPr>
                <w:rFonts w:ascii="Arial Narrow" w:hAnsi="Arial Narrow"/>
                <w:color w:val="000000"/>
                <w:sz w:val="16"/>
                <w:szCs w:val="16"/>
              </w:rPr>
            </w:pPr>
            <w:r w:rsidRPr="003D7F5F">
              <w:rPr>
                <w:rFonts w:ascii="Arial Narrow" w:hAnsi="Arial Narrow"/>
                <w:color w:val="000000"/>
                <w:sz w:val="16"/>
                <w:szCs w:val="16"/>
              </w:rPr>
              <w:t>85</w:t>
            </w:r>
          </w:p>
        </w:tc>
        <w:tc>
          <w:tcPr>
            <w:tcW w:w="909" w:type="dxa"/>
            <w:tcBorders>
              <w:top w:val="nil"/>
            </w:tcBorders>
            <w:vAlign w:val="center"/>
          </w:tcPr>
          <w:p w:rsidR="003D7F5F" w:rsidRPr="003D7F5F" w:rsidRDefault="003D7F5F" w:rsidP="003E05B9">
            <w:pPr>
              <w:ind w:right="284"/>
              <w:jc w:val="right"/>
              <w:rPr>
                <w:rFonts w:ascii="Arial Narrow" w:hAnsi="Arial Narrow"/>
                <w:i/>
                <w:iCs/>
                <w:color w:val="000000"/>
                <w:sz w:val="16"/>
                <w:szCs w:val="16"/>
              </w:rPr>
            </w:pPr>
            <w:r w:rsidRPr="003D7F5F">
              <w:rPr>
                <w:rFonts w:ascii="Arial Narrow" w:hAnsi="Arial Narrow"/>
                <w:i/>
                <w:iCs/>
                <w:color w:val="000000"/>
                <w:sz w:val="16"/>
                <w:szCs w:val="16"/>
              </w:rPr>
              <w:t>81</w:t>
            </w:r>
          </w:p>
        </w:tc>
        <w:tc>
          <w:tcPr>
            <w:tcW w:w="907" w:type="dxa"/>
            <w:tcBorders>
              <w:top w:val="nil"/>
            </w:tcBorders>
            <w:shd w:val="clear" w:color="auto" w:fill="auto"/>
            <w:vAlign w:val="center"/>
            <w:hideMark/>
          </w:tcPr>
          <w:p w:rsidR="003D7F5F" w:rsidRPr="003D7F5F" w:rsidRDefault="003D7F5F" w:rsidP="003E05B9">
            <w:pPr>
              <w:ind w:right="284"/>
              <w:jc w:val="right"/>
              <w:rPr>
                <w:rFonts w:ascii="Arial Narrow" w:hAnsi="Arial Narrow"/>
                <w:i/>
                <w:iCs/>
                <w:color w:val="000000"/>
                <w:sz w:val="16"/>
                <w:szCs w:val="16"/>
              </w:rPr>
            </w:pPr>
            <w:r w:rsidRPr="003D7F5F">
              <w:rPr>
                <w:rFonts w:ascii="Arial Narrow" w:hAnsi="Arial Narrow"/>
                <w:i/>
                <w:iCs/>
                <w:color w:val="000000"/>
                <w:sz w:val="16"/>
                <w:szCs w:val="16"/>
              </w:rPr>
              <w:t>96</w:t>
            </w:r>
          </w:p>
        </w:tc>
        <w:tc>
          <w:tcPr>
            <w:tcW w:w="906" w:type="dxa"/>
            <w:tcBorders>
              <w:top w:val="nil"/>
            </w:tcBorders>
            <w:shd w:val="clear" w:color="auto" w:fill="auto"/>
            <w:vAlign w:val="center"/>
            <w:hideMark/>
          </w:tcPr>
          <w:p w:rsidR="003D7F5F" w:rsidRPr="003D7F5F" w:rsidRDefault="003D7F5F" w:rsidP="003E05B9">
            <w:pPr>
              <w:ind w:right="284"/>
              <w:jc w:val="right"/>
              <w:rPr>
                <w:rFonts w:ascii="Arial Narrow" w:hAnsi="Arial Narrow"/>
                <w:i/>
                <w:iCs/>
                <w:color w:val="000000"/>
                <w:sz w:val="16"/>
                <w:szCs w:val="16"/>
              </w:rPr>
            </w:pPr>
            <w:r w:rsidRPr="003D7F5F">
              <w:rPr>
                <w:rFonts w:ascii="Arial Narrow" w:hAnsi="Arial Narrow"/>
                <w:i/>
                <w:iCs/>
                <w:color w:val="000000"/>
                <w:sz w:val="16"/>
                <w:szCs w:val="16"/>
              </w:rPr>
              <w:t>41</w:t>
            </w:r>
          </w:p>
        </w:tc>
        <w:tc>
          <w:tcPr>
            <w:tcW w:w="907" w:type="dxa"/>
            <w:tcBorders>
              <w:top w:val="nil"/>
              <w:right w:val="single" w:sz="4" w:space="0" w:color="auto"/>
            </w:tcBorders>
            <w:shd w:val="clear" w:color="auto" w:fill="auto"/>
            <w:vAlign w:val="center"/>
            <w:hideMark/>
          </w:tcPr>
          <w:p w:rsidR="003D7F5F" w:rsidRPr="003D7F5F" w:rsidRDefault="003D7F5F" w:rsidP="003E05B9">
            <w:pPr>
              <w:ind w:right="284"/>
              <w:jc w:val="right"/>
              <w:rPr>
                <w:rFonts w:ascii="Arial Narrow" w:hAnsi="Arial Narrow"/>
                <w:color w:val="000000"/>
                <w:sz w:val="16"/>
                <w:szCs w:val="16"/>
              </w:rPr>
            </w:pPr>
            <w:r w:rsidRPr="003D7F5F">
              <w:rPr>
                <w:rFonts w:ascii="Arial Narrow" w:hAnsi="Arial Narrow"/>
                <w:color w:val="000000"/>
                <w:sz w:val="16"/>
                <w:szCs w:val="16"/>
              </w:rPr>
              <w:t>64</w:t>
            </w:r>
          </w:p>
        </w:tc>
      </w:tr>
      <w:tr w:rsidR="003D7F5F" w:rsidRPr="00B87D47" w:rsidTr="003E05B9">
        <w:trPr>
          <w:trHeight w:val="227"/>
        </w:trPr>
        <w:tc>
          <w:tcPr>
            <w:tcW w:w="4409" w:type="dxa"/>
            <w:tcBorders>
              <w:top w:val="nil"/>
              <w:left w:val="single" w:sz="4" w:space="0" w:color="auto"/>
              <w:bottom w:val="single" w:sz="4" w:space="0" w:color="auto"/>
            </w:tcBorders>
            <w:shd w:val="clear" w:color="auto" w:fill="auto"/>
            <w:vAlign w:val="bottom"/>
            <w:hideMark/>
          </w:tcPr>
          <w:p w:rsidR="003D7F5F" w:rsidRPr="00B87D47" w:rsidRDefault="003D7F5F" w:rsidP="00E56793">
            <w:pPr>
              <w:tabs>
                <w:tab w:val="left" w:pos="314"/>
              </w:tabs>
              <w:jc w:val="both"/>
              <w:rPr>
                <w:rFonts w:ascii="Arial Narrow" w:hAnsi="Arial Narrow"/>
                <w:b/>
                <w:bCs/>
                <w:color w:val="000000"/>
                <w:sz w:val="16"/>
                <w:szCs w:val="16"/>
              </w:rPr>
            </w:pPr>
            <w:r>
              <w:rPr>
                <w:rFonts w:ascii="Arial Narrow" w:hAnsi="Arial Narrow"/>
                <w:color w:val="000000"/>
                <w:sz w:val="16"/>
                <w:szCs w:val="16"/>
              </w:rPr>
              <w:t>Εκκρεμείς επιστροφές φ</w:t>
            </w:r>
            <w:r w:rsidRPr="00B87D47">
              <w:rPr>
                <w:rFonts w:ascii="Arial Narrow" w:hAnsi="Arial Narrow"/>
                <w:color w:val="000000"/>
                <w:sz w:val="16"/>
                <w:szCs w:val="16"/>
              </w:rPr>
              <w:t>όρων κάτω των 90 ημερών (μη ληξιπρόθεσμες επιστροφές) από την ημερομηνία έκδοσης του ΑΦΕΚ</w:t>
            </w:r>
          </w:p>
        </w:tc>
        <w:tc>
          <w:tcPr>
            <w:tcW w:w="1051" w:type="dxa"/>
            <w:tcBorders>
              <w:top w:val="nil"/>
              <w:bottom w:val="single" w:sz="4" w:space="0" w:color="auto"/>
            </w:tcBorders>
            <w:shd w:val="clear" w:color="auto" w:fill="auto"/>
            <w:vAlign w:val="center"/>
            <w:hideMark/>
          </w:tcPr>
          <w:p w:rsidR="003D7F5F" w:rsidRPr="003D7F5F" w:rsidRDefault="003D7F5F" w:rsidP="003E05B9">
            <w:pPr>
              <w:ind w:right="284"/>
              <w:jc w:val="right"/>
              <w:rPr>
                <w:rFonts w:ascii="Arial Narrow" w:hAnsi="Arial Narrow"/>
                <w:i/>
                <w:iCs/>
                <w:color w:val="000000"/>
                <w:sz w:val="16"/>
                <w:szCs w:val="16"/>
              </w:rPr>
            </w:pPr>
            <w:r w:rsidRPr="003D7F5F">
              <w:rPr>
                <w:rFonts w:ascii="Arial Narrow" w:hAnsi="Arial Narrow"/>
                <w:i/>
                <w:iCs/>
                <w:color w:val="000000"/>
                <w:sz w:val="16"/>
                <w:szCs w:val="16"/>
              </w:rPr>
              <w:t>166</w:t>
            </w:r>
          </w:p>
        </w:tc>
        <w:tc>
          <w:tcPr>
            <w:tcW w:w="909" w:type="dxa"/>
            <w:tcBorders>
              <w:top w:val="nil"/>
              <w:bottom w:val="single" w:sz="4" w:space="0" w:color="auto"/>
            </w:tcBorders>
            <w:vAlign w:val="center"/>
          </w:tcPr>
          <w:p w:rsidR="003D7F5F" w:rsidRPr="003D7F5F" w:rsidRDefault="003D7F5F" w:rsidP="003E05B9">
            <w:pPr>
              <w:ind w:right="284"/>
              <w:jc w:val="right"/>
              <w:rPr>
                <w:rFonts w:ascii="Arial Narrow" w:hAnsi="Arial Narrow"/>
                <w:i/>
                <w:iCs/>
                <w:color w:val="000000"/>
                <w:sz w:val="16"/>
                <w:szCs w:val="16"/>
              </w:rPr>
            </w:pPr>
            <w:r w:rsidRPr="003D7F5F">
              <w:rPr>
                <w:rFonts w:ascii="Arial Narrow" w:hAnsi="Arial Narrow"/>
                <w:i/>
                <w:iCs/>
                <w:color w:val="000000"/>
                <w:sz w:val="16"/>
                <w:szCs w:val="16"/>
              </w:rPr>
              <w:t>296</w:t>
            </w:r>
          </w:p>
        </w:tc>
        <w:tc>
          <w:tcPr>
            <w:tcW w:w="907" w:type="dxa"/>
            <w:tcBorders>
              <w:top w:val="nil"/>
              <w:bottom w:val="single" w:sz="4" w:space="0" w:color="auto"/>
            </w:tcBorders>
            <w:shd w:val="clear" w:color="auto" w:fill="auto"/>
            <w:vAlign w:val="center"/>
            <w:hideMark/>
          </w:tcPr>
          <w:p w:rsidR="003D7F5F" w:rsidRPr="003D7F5F" w:rsidRDefault="003D7F5F" w:rsidP="003E05B9">
            <w:pPr>
              <w:ind w:right="284"/>
              <w:jc w:val="right"/>
              <w:rPr>
                <w:rFonts w:ascii="Arial Narrow" w:hAnsi="Arial Narrow"/>
                <w:i/>
                <w:iCs/>
                <w:color w:val="000000"/>
                <w:sz w:val="16"/>
                <w:szCs w:val="16"/>
              </w:rPr>
            </w:pPr>
            <w:r w:rsidRPr="003D7F5F">
              <w:rPr>
                <w:rFonts w:ascii="Arial Narrow" w:hAnsi="Arial Narrow"/>
                <w:i/>
                <w:iCs/>
                <w:color w:val="000000"/>
                <w:sz w:val="16"/>
                <w:szCs w:val="16"/>
              </w:rPr>
              <w:t>177</w:t>
            </w:r>
          </w:p>
        </w:tc>
        <w:tc>
          <w:tcPr>
            <w:tcW w:w="906" w:type="dxa"/>
            <w:tcBorders>
              <w:top w:val="nil"/>
              <w:bottom w:val="single" w:sz="4" w:space="0" w:color="auto"/>
            </w:tcBorders>
            <w:shd w:val="clear" w:color="auto" w:fill="auto"/>
            <w:vAlign w:val="center"/>
            <w:hideMark/>
          </w:tcPr>
          <w:p w:rsidR="003D7F5F" w:rsidRPr="003D7F5F" w:rsidRDefault="003D7F5F" w:rsidP="003E05B9">
            <w:pPr>
              <w:ind w:right="284"/>
              <w:jc w:val="right"/>
              <w:rPr>
                <w:rFonts w:ascii="Arial Narrow" w:hAnsi="Arial Narrow"/>
                <w:i/>
                <w:iCs/>
                <w:color w:val="000000"/>
                <w:sz w:val="16"/>
                <w:szCs w:val="16"/>
              </w:rPr>
            </w:pPr>
            <w:r w:rsidRPr="003D7F5F">
              <w:rPr>
                <w:rFonts w:ascii="Arial Narrow" w:hAnsi="Arial Narrow"/>
                <w:i/>
                <w:iCs/>
                <w:color w:val="000000"/>
                <w:sz w:val="16"/>
                <w:szCs w:val="16"/>
              </w:rPr>
              <w:t>323</w:t>
            </w:r>
          </w:p>
        </w:tc>
        <w:tc>
          <w:tcPr>
            <w:tcW w:w="907" w:type="dxa"/>
            <w:tcBorders>
              <w:top w:val="nil"/>
              <w:bottom w:val="single" w:sz="4" w:space="0" w:color="auto"/>
              <w:right w:val="single" w:sz="4" w:space="0" w:color="auto"/>
            </w:tcBorders>
            <w:shd w:val="clear" w:color="auto" w:fill="auto"/>
            <w:vAlign w:val="center"/>
            <w:hideMark/>
          </w:tcPr>
          <w:p w:rsidR="003D7F5F" w:rsidRPr="003D7F5F" w:rsidRDefault="003D7F5F" w:rsidP="003E05B9">
            <w:pPr>
              <w:ind w:right="284"/>
              <w:jc w:val="right"/>
              <w:rPr>
                <w:rFonts w:ascii="Arial Narrow" w:hAnsi="Arial Narrow"/>
                <w:color w:val="000000"/>
                <w:sz w:val="16"/>
                <w:szCs w:val="16"/>
              </w:rPr>
            </w:pPr>
            <w:r w:rsidRPr="003D7F5F">
              <w:rPr>
                <w:rFonts w:ascii="Arial Narrow" w:hAnsi="Arial Narrow"/>
                <w:color w:val="000000"/>
                <w:sz w:val="16"/>
                <w:szCs w:val="16"/>
              </w:rPr>
              <w:t>695</w:t>
            </w:r>
          </w:p>
        </w:tc>
      </w:tr>
    </w:tbl>
    <w:p w:rsidR="004F7305" w:rsidRDefault="004F7305" w:rsidP="00871F74">
      <w:pPr>
        <w:tabs>
          <w:tab w:val="left" w:pos="284"/>
        </w:tabs>
        <w:contextualSpacing/>
        <w:jc w:val="both"/>
        <w:rPr>
          <w:rFonts w:ascii="Arial Narrow" w:hAnsi="Arial Narrow"/>
          <w:bCs/>
          <w:sz w:val="18"/>
          <w:szCs w:val="18"/>
        </w:rPr>
      </w:pPr>
    </w:p>
    <w:p w:rsidR="000C42CD" w:rsidRDefault="000C42CD">
      <w:pPr>
        <w:rPr>
          <w:rFonts w:ascii="Arial Narrow" w:hAnsi="Arial Narrow"/>
          <w:bCs/>
          <w:sz w:val="18"/>
          <w:szCs w:val="18"/>
        </w:rPr>
      </w:pPr>
      <w:r>
        <w:rPr>
          <w:rFonts w:ascii="Arial Narrow" w:hAnsi="Arial Narrow"/>
          <w:bCs/>
          <w:sz w:val="18"/>
          <w:szCs w:val="18"/>
        </w:rPr>
        <w:br w:type="page"/>
      </w:r>
    </w:p>
    <w:p w:rsidR="000C42CD" w:rsidRPr="00E741C4" w:rsidRDefault="000C42CD" w:rsidP="000C42CD">
      <w:pPr>
        <w:shd w:val="clear" w:color="auto" w:fill="595959"/>
        <w:jc w:val="both"/>
        <w:rPr>
          <w:rFonts w:ascii="Arial Narrow" w:hAnsi="Arial Narrow"/>
          <w:b/>
          <w:color w:val="FFFFFF"/>
          <w:sz w:val="26"/>
          <w:szCs w:val="22"/>
        </w:rPr>
      </w:pPr>
      <w:r>
        <w:rPr>
          <w:rFonts w:ascii="Arial Narrow" w:hAnsi="Arial Narrow"/>
          <w:b/>
          <w:color w:val="FFFFFF"/>
          <w:sz w:val="26"/>
          <w:szCs w:val="22"/>
        </w:rPr>
        <w:lastRenderedPageBreak/>
        <w:t>9</w:t>
      </w:r>
      <w:r w:rsidRPr="00E741C4">
        <w:rPr>
          <w:rFonts w:ascii="Arial Narrow" w:hAnsi="Arial Narrow"/>
          <w:b/>
          <w:color w:val="FFFFFF"/>
          <w:sz w:val="26"/>
          <w:szCs w:val="22"/>
        </w:rPr>
        <w:t>.</w:t>
      </w:r>
      <w:r w:rsidRPr="00E741C4">
        <w:rPr>
          <w:rFonts w:ascii="Arial Narrow" w:hAnsi="Arial Narrow"/>
          <w:b/>
          <w:color w:val="FFFFFF"/>
          <w:sz w:val="26"/>
          <w:szCs w:val="22"/>
        </w:rPr>
        <w:tab/>
      </w:r>
      <w:r>
        <w:rPr>
          <w:rFonts w:ascii="Arial Narrow" w:hAnsi="Arial Narrow"/>
          <w:b/>
          <w:color w:val="FFFFFF"/>
          <w:sz w:val="26"/>
          <w:szCs w:val="22"/>
        </w:rPr>
        <w:t>Δημοσιονομικές παρεμβάσεις 2020-2021</w:t>
      </w:r>
    </w:p>
    <w:p w:rsidR="000C42CD" w:rsidRPr="000C42CD" w:rsidRDefault="000C42CD" w:rsidP="00871F74">
      <w:pPr>
        <w:tabs>
          <w:tab w:val="left" w:pos="284"/>
        </w:tabs>
        <w:contextualSpacing/>
        <w:jc w:val="both"/>
        <w:rPr>
          <w:bCs/>
          <w:sz w:val="22"/>
          <w:szCs w:val="22"/>
        </w:rPr>
      </w:pPr>
    </w:p>
    <w:p w:rsidR="000C42CD" w:rsidRDefault="000C42CD" w:rsidP="00871F74">
      <w:pPr>
        <w:tabs>
          <w:tab w:val="left" w:pos="284"/>
        </w:tabs>
        <w:contextualSpacing/>
        <w:jc w:val="both"/>
        <w:rPr>
          <w:bCs/>
          <w:sz w:val="22"/>
          <w:szCs w:val="22"/>
        </w:rPr>
      </w:pPr>
    </w:p>
    <w:p w:rsidR="002304F8" w:rsidRPr="002304F8" w:rsidRDefault="002304F8" w:rsidP="002304F8">
      <w:pPr>
        <w:jc w:val="both"/>
        <w:rPr>
          <w:sz w:val="22"/>
        </w:rPr>
      </w:pPr>
      <w:r w:rsidRPr="002304F8">
        <w:rPr>
          <w:sz w:val="22"/>
        </w:rPr>
        <w:t xml:space="preserve">Η Ελληνική πολιτεία κλήθηκε να αντιμετωπίσει εντός του 2020, σε όρους δημοσιονομικής πολιτικής, μία από τις μεγαλύτερες προκλήσεις στη σύγχρονη ιστορία του τόπου. Η πανδημία </w:t>
      </w:r>
      <w:r w:rsidRPr="002304F8">
        <w:rPr>
          <w:sz w:val="22"/>
          <w:lang w:val="en-US"/>
        </w:rPr>
        <w:t>Covid</w:t>
      </w:r>
      <w:r w:rsidRPr="002304F8">
        <w:rPr>
          <w:sz w:val="22"/>
        </w:rPr>
        <w:t>-19 επιφέρει σε παγκόσμιο επίπεδο, αλλά και στη χώρα μας, δυσμενείς οικονομικές συνέπειες οι οποίες ξεπερνούν σε ένταση και εύρος τις οικονομικές συνέπειες οποιουδήποτε άλλου γεγονότος μετά τον Δεύτερο Π</w:t>
      </w:r>
      <w:r w:rsidRPr="002304F8">
        <w:rPr>
          <w:sz w:val="22"/>
        </w:rPr>
        <w:t>α</w:t>
      </w:r>
      <w:r w:rsidRPr="002304F8">
        <w:rPr>
          <w:sz w:val="22"/>
        </w:rPr>
        <w:t xml:space="preserve">γκόσμιο Πόλεμο. </w:t>
      </w:r>
    </w:p>
    <w:p w:rsidR="002304F8" w:rsidRDefault="002304F8" w:rsidP="002304F8">
      <w:pPr>
        <w:jc w:val="both"/>
        <w:rPr>
          <w:sz w:val="22"/>
        </w:rPr>
      </w:pPr>
    </w:p>
    <w:p w:rsidR="002304F8" w:rsidRPr="002304F8" w:rsidRDefault="002304F8" w:rsidP="002304F8">
      <w:pPr>
        <w:jc w:val="both"/>
        <w:rPr>
          <w:sz w:val="22"/>
        </w:rPr>
      </w:pPr>
      <w:r w:rsidRPr="002304F8">
        <w:rPr>
          <w:sz w:val="22"/>
        </w:rPr>
        <w:t>Παρόλο που η αντιμετώπιση των οικονομικών συνεπειών της πανδημίας υπήρξε η μεγαλύτερη πρ</w:t>
      </w:r>
      <w:r w:rsidRPr="002304F8">
        <w:rPr>
          <w:sz w:val="22"/>
        </w:rPr>
        <w:t>ό</w:t>
      </w:r>
      <w:r w:rsidRPr="002304F8">
        <w:rPr>
          <w:sz w:val="22"/>
        </w:rPr>
        <w:t xml:space="preserve">κληση για το τρέχον έτος, η οικονομική και δημοσιονομική διαχείριση των εθνικών θεμάτων, μέσω της ενίσχυσης της Εθνικής Άμυνας και των δαπανών για τη διαχείριση των μεταναστευτικών ροών, οδήγησαν σε πρόσθετες έκτακτες παρεμβάσεις, οι οποίες επιβαρύνουν το δημοσιονομικό αποτέλεσμα του τρέχοντος και των επόμενων ετών. </w:t>
      </w:r>
    </w:p>
    <w:p w:rsidR="002304F8" w:rsidRDefault="002304F8" w:rsidP="002304F8">
      <w:pPr>
        <w:jc w:val="both"/>
        <w:rPr>
          <w:sz w:val="22"/>
        </w:rPr>
      </w:pPr>
    </w:p>
    <w:p w:rsidR="002304F8" w:rsidRPr="002304F8" w:rsidRDefault="002304F8" w:rsidP="002304F8">
      <w:pPr>
        <w:jc w:val="both"/>
        <w:rPr>
          <w:sz w:val="22"/>
        </w:rPr>
      </w:pPr>
      <w:r w:rsidRPr="002304F8">
        <w:rPr>
          <w:sz w:val="22"/>
        </w:rPr>
        <w:t>Επιπλέον, εντός του 2020 παρουσιάζονται αυξημένες δαπάνες για αποκατάσταση των ζημιών από φυσικές καταστροφές (αποζημιώσεις και έργα υποδομών για πλημμύρες στην Περιφερειακή Ενότητα Ευβοίας</w:t>
      </w:r>
      <w:r w:rsidR="00242DCD">
        <w:rPr>
          <w:sz w:val="22"/>
        </w:rPr>
        <w:t>,</w:t>
      </w:r>
      <w:r w:rsidRPr="002304F8">
        <w:rPr>
          <w:sz w:val="22"/>
        </w:rPr>
        <w:t xml:space="preserve"> σε πολλές περιοχές της χώρας από τον Μεσογειακό Κυκλώνα «Ιανό»</w:t>
      </w:r>
      <w:r w:rsidR="00242DCD">
        <w:rPr>
          <w:sz w:val="22"/>
        </w:rPr>
        <w:t xml:space="preserve"> και την πρόσφατη σε</w:t>
      </w:r>
      <w:r w:rsidR="00242DCD">
        <w:rPr>
          <w:sz w:val="22"/>
        </w:rPr>
        <w:t>ι</w:t>
      </w:r>
      <w:r w:rsidR="00242DCD">
        <w:rPr>
          <w:sz w:val="22"/>
        </w:rPr>
        <w:t>σμικ</w:t>
      </w:r>
      <w:r w:rsidR="004C1F7F">
        <w:rPr>
          <w:sz w:val="22"/>
        </w:rPr>
        <w:t>ή δραστηριότητα στην Περιφερειακή Ε</w:t>
      </w:r>
      <w:r w:rsidR="00242DCD">
        <w:rPr>
          <w:sz w:val="22"/>
        </w:rPr>
        <w:t>νότητα Σάμου</w:t>
      </w:r>
      <w:r w:rsidRPr="002304F8">
        <w:rPr>
          <w:sz w:val="22"/>
        </w:rPr>
        <w:t>). Παράλληλα, εντός του 2020 διατίθενται και τα απαραίτητα κονδύλια για την καταβολή αναδρομικών ποσών στους συνταξιούχους του δημ</w:t>
      </w:r>
      <w:r w:rsidRPr="002304F8">
        <w:rPr>
          <w:sz w:val="22"/>
        </w:rPr>
        <w:t>ο</w:t>
      </w:r>
      <w:r w:rsidRPr="002304F8">
        <w:rPr>
          <w:sz w:val="22"/>
        </w:rPr>
        <w:t>σίου και του ιδιωτικού τομέα.</w:t>
      </w:r>
    </w:p>
    <w:p w:rsidR="002E766E" w:rsidRDefault="002E766E" w:rsidP="00871F74">
      <w:pPr>
        <w:tabs>
          <w:tab w:val="left" w:pos="284"/>
        </w:tabs>
        <w:contextualSpacing/>
        <w:jc w:val="both"/>
        <w:rPr>
          <w:bCs/>
          <w:sz w:val="22"/>
          <w:szCs w:val="22"/>
        </w:rPr>
      </w:pPr>
    </w:p>
    <w:p w:rsidR="00F37E5C" w:rsidRPr="00833515" w:rsidRDefault="00F37E5C" w:rsidP="00F37E5C">
      <w:pPr>
        <w:jc w:val="both"/>
        <w:rPr>
          <w:rFonts w:ascii="Arial Narrow" w:hAnsi="Arial Narrow"/>
          <w:b/>
          <w:bCs/>
          <w:color w:val="000080"/>
          <w:sz w:val="22"/>
          <w:szCs w:val="22"/>
        </w:rPr>
      </w:pPr>
      <w:r w:rsidRPr="00833515">
        <w:rPr>
          <w:rFonts w:ascii="Arial Narrow" w:hAnsi="Arial Narrow"/>
          <w:b/>
          <w:bCs/>
          <w:color w:val="000080"/>
          <w:sz w:val="22"/>
          <w:szCs w:val="22"/>
        </w:rPr>
        <w:t>Δημοσιονομικές παρεμβάσεις αντιμετώπισης των οικονομικών συνεπειών της πανδημίας</w:t>
      </w:r>
    </w:p>
    <w:p w:rsidR="00F37E5C" w:rsidRDefault="00F37E5C" w:rsidP="00871F74">
      <w:pPr>
        <w:tabs>
          <w:tab w:val="left" w:pos="284"/>
        </w:tabs>
        <w:contextualSpacing/>
        <w:jc w:val="both"/>
        <w:rPr>
          <w:bCs/>
          <w:sz w:val="22"/>
          <w:szCs w:val="22"/>
        </w:rPr>
      </w:pPr>
    </w:p>
    <w:p w:rsidR="00C11BC9" w:rsidRPr="00833515" w:rsidRDefault="00C11BC9" w:rsidP="00C11BC9">
      <w:pPr>
        <w:jc w:val="both"/>
        <w:rPr>
          <w:sz w:val="22"/>
        </w:rPr>
      </w:pPr>
      <w:r w:rsidRPr="00833515">
        <w:rPr>
          <w:sz w:val="22"/>
        </w:rPr>
        <w:t>Με την εμφάνιση της πανδημίας Covid-19 κατά το 1</w:t>
      </w:r>
      <w:r w:rsidRPr="00833515">
        <w:rPr>
          <w:sz w:val="22"/>
          <w:vertAlign w:val="superscript"/>
        </w:rPr>
        <w:t>ο</w:t>
      </w:r>
      <w:r w:rsidRPr="00833515">
        <w:rPr>
          <w:sz w:val="22"/>
        </w:rPr>
        <w:t xml:space="preserve"> εξάμηνο του 2020, η πολιτεία έθεσε σε άμεση εφαρμογή μία σειρά παρεμβάσεων με στόχο την αναχαίτιση της εξάπλωσης του ιού και την οικονομ</w:t>
      </w:r>
      <w:r w:rsidRPr="00833515">
        <w:rPr>
          <w:sz w:val="22"/>
        </w:rPr>
        <w:t>ι</w:t>
      </w:r>
      <w:r w:rsidRPr="00833515">
        <w:rPr>
          <w:sz w:val="22"/>
        </w:rPr>
        <w:t xml:space="preserve">κή ενίσχυση των πληττόμενων κλάδων της οικονομίας. Οι παρεμβάσεις αυτές χωρίζονται </w:t>
      </w:r>
      <w:r w:rsidRPr="009761B3">
        <w:rPr>
          <w:sz w:val="22"/>
        </w:rPr>
        <w:t>σε 62 κατ</w:t>
      </w:r>
      <w:r w:rsidRPr="009761B3">
        <w:rPr>
          <w:sz w:val="22"/>
        </w:rPr>
        <w:t>η</w:t>
      </w:r>
      <w:r w:rsidRPr="009761B3">
        <w:rPr>
          <w:sz w:val="22"/>
        </w:rPr>
        <w:t>γορίες</w:t>
      </w:r>
      <w:r w:rsidRPr="00833515">
        <w:rPr>
          <w:sz w:val="22"/>
        </w:rPr>
        <w:t xml:space="preserve"> μέτρων (πίνακας </w:t>
      </w:r>
      <w:r w:rsidR="009761B3">
        <w:rPr>
          <w:sz w:val="22"/>
        </w:rPr>
        <w:t xml:space="preserve">3.30) </w:t>
      </w:r>
      <w:r w:rsidRPr="00833515">
        <w:rPr>
          <w:sz w:val="22"/>
        </w:rPr>
        <w:t xml:space="preserve">συνολικής αξίας </w:t>
      </w:r>
      <w:r w:rsidR="00242DCD">
        <w:rPr>
          <w:sz w:val="22"/>
        </w:rPr>
        <w:t>31.437</w:t>
      </w:r>
      <w:r w:rsidRPr="00833515">
        <w:rPr>
          <w:sz w:val="22"/>
        </w:rPr>
        <w:t xml:space="preserve"> </w:t>
      </w:r>
      <w:r w:rsidR="008C7693">
        <w:rPr>
          <w:sz w:val="22"/>
        </w:rPr>
        <w:t>εκατ</w:t>
      </w:r>
      <w:r w:rsidRPr="00833515">
        <w:rPr>
          <w:sz w:val="22"/>
        </w:rPr>
        <w:t xml:space="preserve">. ευρώ, εκ των οποίων </w:t>
      </w:r>
      <w:r w:rsidR="00242DCD">
        <w:rPr>
          <w:sz w:val="22"/>
        </w:rPr>
        <w:t>23.891</w:t>
      </w:r>
      <w:r w:rsidRPr="00833515">
        <w:rPr>
          <w:sz w:val="22"/>
        </w:rPr>
        <w:t xml:space="preserve"> εκατ. ευρώ αφορούν το 2020 και </w:t>
      </w:r>
      <w:r w:rsidR="00242DCD">
        <w:rPr>
          <w:sz w:val="22"/>
        </w:rPr>
        <w:t>7.546</w:t>
      </w:r>
      <w:r w:rsidRPr="00833515">
        <w:rPr>
          <w:sz w:val="22"/>
        </w:rPr>
        <w:t xml:space="preserve"> εκατ. ευρώ αναμένεται να επηρεάσουν το δημοσιονομικό αποτέλεσμα του 2021. </w:t>
      </w:r>
    </w:p>
    <w:p w:rsidR="00C11BC9" w:rsidRPr="00833515" w:rsidRDefault="00C11BC9" w:rsidP="00C11BC9">
      <w:pPr>
        <w:jc w:val="both"/>
        <w:rPr>
          <w:sz w:val="22"/>
        </w:rPr>
      </w:pPr>
    </w:p>
    <w:p w:rsidR="00C11BC9" w:rsidRPr="00833515" w:rsidRDefault="00C11BC9" w:rsidP="00C11BC9">
      <w:pPr>
        <w:jc w:val="both"/>
        <w:rPr>
          <w:sz w:val="22"/>
        </w:rPr>
      </w:pPr>
      <w:r w:rsidRPr="00833515">
        <w:rPr>
          <w:sz w:val="22"/>
        </w:rPr>
        <w:t xml:space="preserve">Τα μέτρα αυτά σχεδιάστηκαν και εφαρμόστηκαν άμεσα, δεδομένου ότι δεν υπήρχε προηγούμενη </w:t>
      </w:r>
      <w:r w:rsidRPr="00833515">
        <w:rPr>
          <w:sz w:val="22"/>
        </w:rPr>
        <w:t>ε</w:t>
      </w:r>
      <w:r w:rsidRPr="00833515">
        <w:rPr>
          <w:sz w:val="22"/>
        </w:rPr>
        <w:t>μπειρία για την αντιμετώπιση παρόμοιου ιστορικού συμβάντος, τουλάχιστον στη μεταπολεμική ιστ</w:t>
      </w:r>
      <w:r w:rsidRPr="00833515">
        <w:rPr>
          <w:sz w:val="22"/>
        </w:rPr>
        <w:t>ο</w:t>
      </w:r>
      <w:r w:rsidRPr="00833515">
        <w:rPr>
          <w:sz w:val="22"/>
        </w:rPr>
        <w:t>ρία, ώστε να έχουν αναπτυχθεί πρότυπες εγχώριες ή διεθνείς πρακτικές. Πολλά από τα μέτρα αυτά υ</w:t>
      </w:r>
      <w:r w:rsidRPr="00833515">
        <w:rPr>
          <w:sz w:val="22"/>
        </w:rPr>
        <w:t>ι</w:t>
      </w:r>
      <w:r w:rsidRPr="00833515">
        <w:rPr>
          <w:sz w:val="22"/>
        </w:rPr>
        <w:t>οθετήθηκαν σε Ευρωπαϊκό επίπεδο και πλέον αποτελούν εργαλειοθήκη για μελλοντική αντιμετώπιση των οικονομικών συνεπειών ανάλογων επιδημιολογικών φαινομένων. Σε αυτό το πλαίσιο, αξίζει να αναφερθεί η σημαντική συμβολή των Υπηρεσιών του Υπουργείου Οικονομικών, του Υπουργείου Ε</w:t>
      </w:r>
      <w:r w:rsidRPr="00833515">
        <w:rPr>
          <w:sz w:val="22"/>
        </w:rPr>
        <w:t>ρ</w:t>
      </w:r>
      <w:r w:rsidRPr="00833515">
        <w:rPr>
          <w:sz w:val="22"/>
        </w:rPr>
        <w:t>γασίας και Κοινωνικών Υποθέσεων, του Υπουργείου Ανάπτυξης και Επενδύσεων και των συναρμ</w:t>
      </w:r>
      <w:r w:rsidRPr="00833515">
        <w:rPr>
          <w:sz w:val="22"/>
        </w:rPr>
        <w:t>ό</w:t>
      </w:r>
      <w:r w:rsidRPr="00833515">
        <w:rPr>
          <w:sz w:val="22"/>
        </w:rPr>
        <w:t>διων Υπουργείων και φορέων, που εργάστηκαν ακατάπαυστα για την υλοποίηση αυτού του πλήθους πολιτικών σε ασφυκτικά χρονικά περιθώρια.</w:t>
      </w:r>
    </w:p>
    <w:p w:rsidR="00C11BC9" w:rsidRPr="00833515" w:rsidRDefault="00C11BC9" w:rsidP="00C11BC9">
      <w:pPr>
        <w:jc w:val="both"/>
        <w:rPr>
          <w:sz w:val="22"/>
        </w:rPr>
      </w:pPr>
    </w:p>
    <w:p w:rsidR="00C11BC9" w:rsidRDefault="00C11BC9" w:rsidP="00C11BC9">
      <w:pPr>
        <w:jc w:val="both"/>
        <w:rPr>
          <w:sz w:val="22"/>
        </w:rPr>
      </w:pPr>
      <w:r w:rsidRPr="00833515">
        <w:rPr>
          <w:sz w:val="22"/>
        </w:rPr>
        <w:t xml:space="preserve">Οι 62 κατηγορίες μέτρων αποτελούνται από πολλαπλάσια μέτρα και κανονιστικές </w:t>
      </w:r>
      <w:r w:rsidR="00DB59B6">
        <w:rPr>
          <w:sz w:val="22"/>
        </w:rPr>
        <w:t>προσαρμογές, διότι η πλειονότητά</w:t>
      </w:r>
      <w:r w:rsidRPr="00833515">
        <w:rPr>
          <w:sz w:val="22"/>
        </w:rPr>
        <w:t xml:space="preserve"> τους αναπροσαρμόζονταν σε πραγματικό χρόνο, είτε ως προς την περίμετρο των δικα</w:t>
      </w:r>
      <w:r w:rsidRPr="00833515">
        <w:rPr>
          <w:sz w:val="22"/>
        </w:rPr>
        <w:t>ι</w:t>
      </w:r>
      <w:r w:rsidRPr="00833515">
        <w:rPr>
          <w:sz w:val="22"/>
        </w:rPr>
        <w:t>ούχων βάσει των ΚΑΔ ή άλλων κριτηρίων, είτε ως προς τη δομή τους, με αλλαγές στο ύψος της ωφ</w:t>
      </w:r>
      <w:r w:rsidRPr="00833515">
        <w:rPr>
          <w:sz w:val="22"/>
        </w:rPr>
        <w:t>έ</w:t>
      </w:r>
      <w:r w:rsidRPr="00833515">
        <w:rPr>
          <w:sz w:val="22"/>
        </w:rPr>
        <w:t xml:space="preserve">λειας ή τον τρόπο υπολογισμού αυτής, είτε ως προς τη χρονική διάρκεια ή την τεχνική εφαρμογή τους. </w:t>
      </w:r>
      <w:r w:rsidR="00B87DC2">
        <w:rPr>
          <w:sz w:val="22"/>
        </w:rPr>
        <w:t>Είναι ενδεικτικό ότι από τις 25 Φεβρουαρίου 2020 και έως τις 19 Νοεμβρίου 2020 έχουν εκδ</w:t>
      </w:r>
      <w:r w:rsidR="00B87DC2">
        <w:rPr>
          <w:sz w:val="22"/>
        </w:rPr>
        <w:t>ο</w:t>
      </w:r>
      <w:r w:rsidR="00B87DC2">
        <w:rPr>
          <w:sz w:val="22"/>
        </w:rPr>
        <w:t>θεί 978 κανονιστικές πράξεις για την</w:t>
      </w:r>
      <w:r w:rsidR="00F271F2">
        <w:rPr>
          <w:sz w:val="22"/>
        </w:rPr>
        <w:t xml:space="preserve"> </w:t>
      </w:r>
      <w:r w:rsidR="00B87DC2">
        <w:rPr>
          <w:sz w:val="22"/>
        </w:rPr>
        <w:t>αντιμετώπιση των επιδημιολογικών και οικονομικών συνεπειών της πανδημίας.</w:t>
      </w:r>
    </w:p>
    <w:p w:rsidR="00056CA9" w:rsidRPr="00833515" w:rsidRDefault="00056CA9" w:rsidP="00C11BC9">
      <w:pPr>
        <w:jc w:val="both"/>
        <w:rPr>
          <w:sz w:val="22"/>
        </w:rPr>
      </w:pPr>
    </w:p>
    <w:p w:rsidR="00C11BC9" w:rsidRPr="00833515" w:rsidRDefault="00C11BC9" w:rsidP="00C11BC9">
      <w:pPr>
        <w:jc w:val="both"/>
        <w:rPr>
          <w:sz w:val="22"/>
        </w:rPr>
      </w:pPr>
      <w:r w:rsidRPr="00833515">
        <w:rPr>
          <w:sz w:val="22"/>
        </w:rPr>
        <w:t>Οι παρεμβάσεις στοχεύουν στη στήριξη των φυσικών προσώπων και επιχειρήσεων, δηλαδή του ιδι</w:t>
      </w:r>
      <w:r w:rsidRPr="00833515">
        <w:rPr>
          <w:sz w:val="22"/>
        </w:rPr>
        <w:t>ω</w:t>
      </w:r>
      <w:r w:rsidRPr="00833515">
        <w:rPr>
          <w:sz w:val="22"/>
        </w:rPr>
        <w:t xml:space="preserve">τικού τομέα, αλλά και του Εθνικού Συστήματος Υγείας τα οποία και επλήγησαν ιδιαίτερα από την πανδημία </w:t>
      </w:r>
      <w:r w:rsidRPr="00833515">
        <w:rPr>
          <w:sz w:val="22"/>
          <w:lang w:val="en-US"/>
        </w:rPr>
        <w:t>Covid</w:t>
      </w:r>
      <w:r w:rsidRPr="00833515">
        <w:rPr>
          <w:sz w:val="22"/>
        </w:rPr>
        <w:t>-19. Ειδικότερα, οι παρεμβάσεις εστιάζουν στη στήριξη:</w:t>
      </w:r>
    </w:p>
    <w:p w:rsidR="00C11BC9" w:rsidRPr="00833515" w:rsidRDefault="00C11BC9" w:rsidP="00C11BC9">
      <w:pPr>
        <w:jc w:val="both"/>
        <w:rPr>
          <w:sz w:val="22"/>
        </w:rPr>
      </w:pPr>
    </w:p>
    <w:p w:rsidR="00C11BC9" w:rsidRPr="00833515" w:rsidRDefault="00C11BC9" w:rsidP="00C11BC9">
      <w:pPr>
        <w:pStyle w:val="af2"/>
        <w:numPr>
          <w:ilvl w:val="0"/>
          <w:numId w:val="39"/>
        </w:numPr>
        <w:spacing w:after="0" w:line="240" w:lineRule="auto"/>
        <w:ind w:left="284" w:hanging="284"/>
        <w:contextualSpacing w:val="0"/>
        <w:jc w:val="both"/>
        <w:rPr>
          <w:rFonts w:ascii="Times New Roman" w:hAnsi="Times New Roman"/>
          <w:szCs w:val="24"/>
        </w:rPr>
      </w:pPr>
      <w:r w:rsidRPr="00833515">
        <w:rPr>
          <w:rFonts w:ascii="Times New Roman" w:hAnsi="Times New Roman"/>
          <w:szCs w:val="24"/>
        </w:rPr>
        <w:t>των επιχειρήσεων που παρουσιάζουν μείωση εσόδων λόγω της πανδημίας,</w:t>
      </w:r>
    </w:p>
    <w:p w:rsidR="00C11BC9" w:rsidRPr="00833515" w:rsidRDefault="00C11BC9" w:rsidP="00C11BC9">
      <w:pPr>
        <w:pStyle w:val="af2"/>
        <w:numPr>
          <w:ilvl w:val="0"/>
          <w:numId w:val="39"/>
        </w:numPr>
        <w:spacing w:after="0" w:line="240" w:lineRule="auto"/>
        <w:ind w:left="284" w:hanging="284"/>
        <w:contextualSpacing w:val="0"/>
        <w:jc w:val="both"/>
        <w:rPr>
          <w:rFonts w:ascii="Times New Roman" w:hAnsi="Times New Roman"/>
          <w:szCs w:val="24"/>
        </w:rPr>
      </w:pPr>
      <w:r w:rsidRPr="00833515">
        <w:rPr>
          <w:rFonts w:ascii="Times New Roman" w:hAnsi="Times New Roman"/>
          <w:szCs w:val="24"/>
        </w:rPr>
        <w:lastRenderedPageBreak/>
        <w:t>των εργαζομένων των πληττόμενων κλάδων, με ειδική μέριμνα για τους εποχικά εργαζόμενους και τους απασχολούμενους στους κλάδους του τουρισμού, του πολιτισμού, του αθλητισμού, της ψυχ</w:t>
      </w:r>
      <w:r w:rsidRPr="00833515">
        <w:rPr>
          <w:rFonts w:ascii="Times New Roman" w:hAnsi="Times New Roman"/>
          <w:szCs w:val="24"/>
        </w:rPr>
        <w:t>α</w:t>
      </w:r>
      <w:r w:rsidRPr="00833515">
        <w:rPr>
          <w:rFonts w:ascii="Times New Roman" w:hAnsi="Times New Roman"/>
          <w:szCs w:val="24"/>
        </w:rPr>
        <w:t>γωγίας και του επισιτισμού,</w:t>
      </w:r>
    </w:p>
    <w:p w:rsidR="00C11BC9" w:rsidRPr="00833515" w:rsidRDefault="00C11BC9" w:rsidP="00C11BC9">
      <w:pPr>
        <w:pStyle w:val="af2"/>
        <w:numPr>
          <w:ilvl w:val="0"/>
          <w:numId w:val="39"/>
        </w:numPr>
        <w:spacing w:after="0" w:line="240" w:lineRule="auto"/>
        <w:ind w:left="284" w:hanging="284"/>
        <w:contextualSpacing w:val="0"/>
        <w:jc w:val="both"/>
        <w:rPr>
          <w:rFonts w:ascii="Times New Roman" w:hAnsi="Times New Roman"/>
          <w:szCs w:val="24"/>
        </w:rPr>
      </w:pPr>
      <w:r w:rsidRPr="00833515">
        <w:rPr>
          <w:rFonts w:ascii="Times New Roman" w:hAnsi="Times New Roman"/>
          <w:szCs w:val="24"/>
        </w:rPr>
        <w:t>των ελευθέρων επαγγελματιών και αυτοαπασχολούμενων,</w:t>
      </w:r>
    </w:p>
    <w:p w:rsidR="00C11BC9" w:rsidRPr="00833515" w:rsidRDefault="00C11BC9" w:rsidP="00C11BC9">
      <w:pPr>
        <w:pStyle w:val="af2"/>
        <w:numPr>
          <w:ilvl w:val="0"/>
          <w:numId w:val="39"/>
        </w:numPr>
        <w:spacing w:after="0" w:line="240" w:lineRule="auto"/>
        <w:ind w:left="284" w:hanging="284"/>
        <w:contextualSpacing w:val="0"/>
        <w:jc w:val="both"/>
        <w:rPr>
          <w:rFonts w:ascii="Times New Roman" w:hAnsi="Times New Roman"/>
          <w:szCs w:val="24"/>
        </w:rPr>
      </w:pPr>
      <w:r w:rsidRPr="00833515">
        <w:rPr>
          <w:rFonts w:ascii="Times New Roman" w:hAnsi="Times New Roman"/>
          <w:szCs w:val="24"/>
        </w:rPr>
        <w:t>των ανέργων,</w:t>
      </w:r>
    </w:p>
    <w:p w:rsidR="00C11BC9" w:rsidRPr="00833515" w:rsidRDefault="00C11BC9" w:rsidP="00C11BC9">
      <w:pPr>
        <w:pStyle w:val="af2"/>
        <w:numPr>
          <w:ilvl w:val="0"/>
          <w:numId w:val="39"/>
        </w:numPr>
        <w:spacing w:after="0" w:line="240" w:lineRule="auto"/>
        <w:ind w:left="284" w:hanging="284"/>
        <w:contextualSpacing w:val="0"/>
        <w:jc w:val="both"/>
        <w:rPr>
          <w:rFonts w:ascii="Times New Roman" w:hAnsi="Times New Roman"/>
          <w:szCs w:val="24"/>
        </w:rPr>
      </w:pPr>
      <w:r w:rsidRPr="00833515">
        <w:rPr>
          <w:rFonts w:ascii="Times New Roman" w:hAnsi="Times New Roman"/>
          <w:szCs w:val="24"/>
        </w:rPr>
        <w:t>των αγροτών,</w:t>
      </w:r>
    </w:p>
    <w:p w:rsidR="00C11BC9" w:rsidRPr="00833515" w:rsidRDefault="00C11BC9" w:rsidP="00C11BC9">
      <w:pPr>
        <w:pStyle w:val="af2"/>
        <w:numPr>
          <w:ilvl w:val="0"/>
          <w:numId w:val="39"/>
        </w:numPr>
        <w:spacing w:after="0" w:line="240" w:lineRule="auto"/>
        <w:ind w:left="284" w:hanging="284"/>
        <w:contextualSpacing w:val="0"/>
        <w:jc w:val="both"/>
        <w:rPr>
          <w:rFonts w:ascii="Times New Roman" w:hAnsi="Times New Roman"/>
          <w:szCs w:val="24"/>
        </w:rPr>
      </w:pPr>
      <w:r w:rsidRPr="00833515">
        <w:rPr>
          <w:rFonts w:ascii="Times New Roman" w:hAnsi="Times New Roman"/>
          <w:szCs w:val="24"/>
        </w:rPr>
        <w:t>των ιδιοκτητών ακινήτων,</w:t>
      </w:r>
    </w:p>
    <w:p w:rsidR="00C11BC9" w:rsidRPr="00833515" w:rsidRDefault="00C11BC9" w:rsidP="00C11BC9">
      <w:pPr>
        <w:pStyle w:val="af2"/>
        <w:numPr>
          <w:ilvl w:val="0"/>
          <w:numId w:val="39"/>
        </w:numPr>
        <w:spacing w:after="0" w:line="240" w:lineRule="auto"/>
        <w:ind w:left="284" w:hanging="284"/>
        <w:contextualSpacing w:val="0"/>
        <w:jc w:val="both"/>
        <w:rPr>
          <w:rFonts w:ascii="Times New Roman" w:hAnsi="Times New Roman"/>
          <w:szCs w:val="24"/>
        </w:rPr>
      </w:pPr>
      <w:r w:rsidRPr="00833515">
        <w:rPr>
          <w:rFonts w:ascii="Times New Roman" w:hAnsi="Times New Roman"/>
          <w:szCs w:val="24"/>
        </w:rPr>
        <w:t>των δανειοληπτών,</w:t>
      </w:r>
    </w:p>
    <w:p w:rsidR="00C11BC9" w:rsidRPr="00833515" w:rsidRDefault="00C11BC9" w:rsidP="00C11BC9">
      <w:pPr>
        <w:pStyle w:val="af2"/>
        <w:numPr>
          <w:ilvl w:val="0"/>
          <w:numId w:val="39"/>
        </w:numPr>
        <w:spacing w:after="0" w:line="240" w:lineRule="auto"/>
        <w:ind w:left="284" w:hanging="284"/>
        <w:contextualSpacing w:val="0"/>
        <w:jc w:val="both"/>
        <w:rPr>
          <w:rFonts w:ascii="Times New Roman" w:hAnsi="Times New Roman"/>
          <w:szCs w:val="24"/>
        </w:rPr>
      </w:pPr>
      <w:r w:rsidRPr="00833515">
        <w:rPr>
          <w:rFonts w:ascii="Times New Roman" w:hAnsi="Times New Roman"/>
          <w:szCs w:val="24"/>
        </w:rPr>
        <w:t>του Εθνικού Συστήματος Υγείας με την προμήθεια εξοπλισμού, υγειονομικού υλικού και την εν</w:t>
      </w:r>
      <w:r w:rsidRPr="00833515">
        <w:rPr>
          <w:rFonts w:ascii="Times New Roman" w:hAnsi="Times New Roman"/>
          <w:szCs w:val="24"/>
        </w:rPr>
        <w:t>ί</w:t>
      </w:r>
      <w:r w:rsidRPr="00833515">
        <w:rPr>
          <w:rFonts w:ascii="Times New Roman" w:hAnsi="Times New Roman"/>
          <w:szCs w:val="24"/>
        </w:rPr>
        <w:t>σχυση του προσωπικού,</w:t>
      </w:r>
    </w:p>
    <w:p w:rsidR="00C11BC9" w:rsidRPr="00833515" w:rsidRDefault="00C11BC9" w:rsidP="00C11BC9">
      <w:pPr>
        <w:pStyle w:val="af2"/>
        <w:numPr>
          <w:ilvl w:val="0"/>
          <w:numId w:val="39"/>
        </w:numPr>
        <w:spacing w:after="0" w:line="240" w:lineRule="auto"/>
        <w:ind w:left="284" w:hanging="284"/>
        <w:contextualSpacing w:val="0"/>
        <w:jc w:val="both"/>
        <w:rPr>
          <w:rFonts w:ascii="Times New Roman" w:hAnsi="Times New Roman"/>
          <w:szCs w:val="24"/>
        </w:rPr>
      </w:pPr>
      <w:r w:rsidRPr="00833515">
        <w:rPr>
          <w:rFonts w:ascii="Times New Roman" w:hAnsi="Times New Roman"/>
          <w:szCs w:val="24"/>
        </w:rPr>
        <w:t>των μεταφορών με ειδική πρόνοια για τις αεροπορικές μεταφορές, την ακτοπλοΐα, τις χερσαίες μ</w:t>
      </w:r>
      <w:r w:rsidRPr="00833515">
        <w:rPr>
          <w:rFonts w:ascii="Times New Roman" w:hAnsi="Times New Roman"/>
          <w:szCs w:val="24"/>
        </w:rPr>
        <w:t>ε</w:t>
      </w:r>
      <w:r w:rsidRPr="00833515">
        <w:rPr>
          <w:rFonts w:ascii="Times New Roman" w:hAnsi="Times New Roman"/>
          <w:szCs w:val="24"/>
        </w:rPr>
        <w:t xml:space="preserve">ταφορές και την ενίσχυση των </w:t>
      </w:r>
      <w:r w:rsidR="00632114">
        <w:rPr>
          <w:rFonts w:ascii="Times New Roman" w:hAnsi="Times New Roman"/>
          <w:szCs w:val="24"/>
        </w:rPr>
        <w:t>συγκοινωνιακών φορέων και</w:t>
      </w:r>
    </w:p>
    <w:p w:rsidR="00C11BC9" w:rsidRPr="00833515" w:rsidRDefault="00C11BC9" w:rsidP="00C11BC9">
      <w:pPr>
        <w:pStyle w:val="af2"/>
        <w:numPr>
          <w:ilvl w:val="0"/>
          <w:numId w:val="39"/>
        </w:numPr>
        <w:spacing w:after="0" w:line="240" w:lineRule="auto"/>
        <w:ind w:left="284" w:hanging="284"/>
        <w:contextualSpacing w:val="0"/>
        <w:jc w:val="both"/>
        <w:rPr>
          <w:rFonts w:ascii="Times New Roman" w:hAnsi="Times New Roman"/>
          <w:szCs w:val="24"/>
        </w:rPr>
      </w:pPr>
      <w:r w:rsidRPr="00833515">
        <w:rPr>
          <w:rFonts w:ascii="Times New Roman" w:hAnsi="Times New Roman"/>
          <w:szCs w:val="24"/>
        </w:rPr>
        <w:t xml:space="preserve">των κλάδων του τουρισμού, του πολιτισμού και του αθλητισμού. </w:t>
      </w:r>
    </w:p>
    <w:p w:rsidR="00C11BC9" w:rsidRPr="00833515" w:rsidRDefault="00C11BC9" w:rsidP="00C11BC9">
      <w:pPr>
        <w:jc w:val="both"/>
        <w:rPr>
          <w:sz w:val="22"/>
        </w:rPr>
      </w:pPr>
    </w:p>
    <w:p w:rsidR="00C11BC9" w:rsidRPr="00833515" w:rsidRDefault="00C11BC9" w:rsidP="00C11BC9">
      <w:pPr>
        <w:jc w:val="both"/>
        <w:rPr>
          <w:sz w:val="22"/>
        </w:rPr>
      </w:pPr>
      <w:r w:rsidRPr="00833515">
        <w:rPr>
          <w:sz w:val="22"/>
        </w:rPr>
        <w:t>Οι 62 κατηγορίες μέτρων, χωρίζονται σε:</w:t>
      </w:r>
    </w:p>
    <w:p w:rsidR="00C11BC9" w:rsidRPr="00833515" w:rsidRDefault="00C11BC9" w:rsidP="00C11BC9">
      <w:pPr>
        <w:jc w:val="both"/>
        <w:rPr>
          <w:sz w:val="22"/>
        </w:rPr>
      </w:pPr>
    </w:p>
    <w:p w:rsidR="00C11BC9" w:rsidRPr="00833515" w:rsidRDefault="00C11BC9" w:rsidP="00C11BC9">
      <w:pPr>
        <w:pStyle w:val="af2"/>
        <w:numPr>
          <w:ilvl w:val="0"/>
          <w:numId w:val="40"/>
        </w:numPr>
        <w:spacing w:after="0" w:line="240" w:lineRule="auto"/>
        <w:ind w:left="284" w:hanging="284"/>
        <w:contextualSpacing w:val="0"/>
        <w:jc w:val="both"/>
        <w:rPr>
          <w:rFonts w:ascii="Times New Roman" w:hAnsi="Times New Roman"/>
          <w:szCs w:val="24"/>
        </w:rPr>
      </w:pPr>
      <w:r w:rsidRPr="00833515">
        <w:rPr>
          <w:rFonts w:ascii="Times New Roman" w:hAnsi="Times New Roman"/>
          <w:szCs w:val="24"/>
        </w:rPr>
        <w:t>22 παρεμβάσεις που αφορούν στη μείωση των εσόδων της Γενικής Κυβέρνησης με κόστος 4.920 εκατ. ευρώ το 2020 και 1.783 εκατ. ευρώ το 2021. Σημειώνεται ότι το ύψος των παρεμβάσεων για το 2021 ανέρχεται σε 2.</w:t>
      </w:r>
      <w:r w:rsidR="00292074">
        <w:rPr>
          <w:rFonts w:ascii="Times New Roman" w:hAnsi="Times New Roman"/>
          <w:szCs w:val="24"/>
        </w:rPr>
        <w:t>239</w:t>
      </w:r>
      <w:r w:rsidRPr="00833515">
        <w:rPr>
          <w:rFonts w:ascii="Times New Roman" w:hAnsi="Times New Roman"/>
          <w:szCs w:val="24"/>
        </w:rPr>
        <w:t xml:space="preserve"> εκατ. ευρώ, ωστόσο 223 εκατ. ευρώ αναμένεται να επιστραφούν από αναστολές φορολογικών και ασφαλιστικών υποχρεώσεων του 2020, από τον Μάιο του 2021 και έπειτα, στο πλαίσιο των 12 ή 24 δόσεων</w:t>
      </w:r>
      <w:r w:rsidR="00632114">
        <w:rPr>
          <w:rFonts w:ascii="Times New Roman" w:hAnsi="Times New Roman"/>
          <w:szCs w:val="24"/>
        </w:rPr>
        <w:t xml:space="preserve"> (παρεμβάσεις Α, πίνακας </w:t>
      </w:r>
      <w:r w:rsidR="009761B3">
        <w:rPr>
          <w:rFonts w:ascii="Times New Roman" w:hAnsi="Times New Roman"/>
          <w:szCs w:val="24"/>
        </w:rPr>
        <w:t>3.30),</w:t>
      </w:r>
    </w:p>
    <w:p w:rsidR="00C11BC9" w:rsidRPr="00833515" w:rsidRDefault="00C11BC9" w:rsidP="00C11BC9">
      <w:pPr>
        <w:pStyle w:val="af2"/>
        <w:numPr>
          <w:ilvl w:val="0"/>
          <w:numId w:val="40"/>
        </w:numPr>
        <w:spacing w:after="0" w:line="240" w:lineRule="auto"/>
        <w:ind w:left="284" w:hanging="284"/>
        <w:contextualSpacing w:val="0"/>
        <w:jc w:val="both"/>
        <w:rPr>
          <w:rFonts w:ascii="Times New Roman" w:hAnsi="Times New Roman"/>
          <w:szCs w:val="24"/>
        </w:rPr>
      </w:pPr>
      <w:r w:rsidRPr="00833515">
        <w:rPr>
          <w:rFonts w:ascii="Times New Roman" w:hAnsi="Times New Roman"/>
          <w:szCs w:val="24"/>
        </w:rPr>
        <w:t>34 παρεμβάσεις που αφορούν αύξηση δαπανών Γενικής Κυβέρνησης, με κόστος 10.730 εκατ. ε</w:t>
      </w:r>
      <w:r w:rsidRPr="00833515">
        <w:rPr>
          <w:rFonts w:ascii="Times New Roman" w:hAnsi="Times New Roman"/>
          <w:szCs w:val="24"/>
        </w:rPr>
        <w:t>υ</w:t>
      </w:r>
      <w:r w:rsidRPr="00833515">
        <w:rPr>
          <w:rFonts w:ascii="Times New Roman" w:hAnsi="Times New Roman"/>
          <w:szCs w:val="24"/>
        </w:rPr>
        <w:t>ρώ το 2020 και 5.5</w:t>
      </w:r>
      <w:r w:rsidR="00292074">
        <w:rPr>
          <w:rFonts w:ascii="Times New Roman" w:hAnsi="Times New Roman"/>
          <w:szCs w:val="24"/>
        </w:rPr>
        <w:t>39</w:t>
      </w:r>
      <w:r w:rsidRPr="00833515">
        <w:rPr>
          <w:rFonts w:ascii="Times New Roman" w:hAnsi="Times New Roman"/>
          <w:szCs w:val="24"/>
        </w:rPr>
        <w:t xml:space="preserve"> εκατ. ευρώ το 2021. Από αυτές, δαπάνες ύψους </w:t>
      </w:r>
      <w:r w:rsidR="007E2CDE">
        <w:rPr>
          <w:rFonts w:ascii="Times New Roman" w:hAnsi="Times New Roman"/>
          <w:szCs w:val="24"/>
        </w:rPr>
        <w:t>1.749</w:t>
      </w:r>
      <w:r w:rsidRPr="00833515">
        <w:rPr>
          <w:rFonts w:ascii="Times New Roman" w:hAnsi="Times New Roman"/>
          <w:szCs w:val="24"/>
        </w:rPr>
        <w:t xml:space="preserve"> εκατ. ευρώ το 2020 και 880 εκατ. ευρώ το 2021 </w:t>
      </w:r>
      <w:r w:rsidR="001816DC">
        <w:rPr>
          <w:rFonts w:ascii="Times New Roman" w:hAnsi="Times New Roman"/>
          <w:szCs w:val="24"/>
        </w:rPr>
        <w:t>συγ</w:t>
      </w:r>
      <w:r w:rsidRPr="00833515">
        <w:rPr>
          <w:rFonts w:ascii="Times New Roman" w:hAnsi="Times New Roman"/>
          <w:szCs w:val="24"/>
        </w:rPr>
        <w:t>χρηματοδοτούνται από το ΠΔΕ</w:t>
      </w:r>
      <w:r w:rsidR="00632114">
        <w:rPr>
          <w:rFonts w:ascii="Times New Roman" w:hAnsi="Times New Roman"/>
          <w:szCs w:val="24"/>
        </w:rPr>
        <w:t xml:space="preserve"> (παρεμβάσεις Β και Ε, πίνακας </w:t>
      </w:r>
      <w:r w:rsidR="009761B3">
        <w:rPr>
          <w:rFonts w:ascii="Times New Roman" w:hAnsi="Times New Roman"/>
          <w:szCs w:val="24"/>
        </w:rPr>
        <w:t>3.30),</w:t>
      </w:r>
    </w:p>
    <w:p w:rsidR="00C11BC9" w:rsidRPr="00833515" w:rsidRDefault="00C11BC9" w:rsidP="00C11BC9">
      <w:pPr>
        <w:pStyle w:val="af2"/>
        <w:numPr>
          <w:ilvl w:val="0"/>
          <w:numId w:val="40"/>
        </w:numPr>
        <w:spacing w:after="0" w:line="240" w:lineRule="auto"/>
        <w:ind w:left="284" w:hanging="284"/>
        <w:contextualSpacing w:val="0"/>
        <w:jc w:val="both"/>
        <w:rPr>
          <w:rFonts w:ascii="Times New Roman" w:hAnsi="Times New Roman"/>
          <w:szCs w:val="24"/>
        </w:rPr>
      </w:pPr>
      <w:r w:rsidRPr="00833515">
        <w:rPr>
          <w:rFonts w:ascii="Times New Roman" w:hAnsi="Times New Roman"/>
          <w:szCs w:val="24"/>
        </w:rPr>
        <w:t>4 παρεμβάσεις δημοσιονομικά ουδέτερες, που ωστόσο ήταν σημαντικές για τη λειτουργία της ιδ</w:t>
      </w:r>
      <w:r w:rsidRPr="00833515">
        <w:rPr>
          <w:rFonts w:ascii="Times New Roman" w:hAnsi="Times New Roman"/>
          <w:szCs w:val="24"/>
        </w:rPr>
        <w:t>ι</w:t>
      </w:r>
      <w:r w:rsidRPr="00833515">
        <w:rPr>
          <w:rFonts w:ascii="Times New Roman" w:hAnsi="Times New Roman"/>
          <w:szCs w:val="24"/>
        </w:rPr>
        <w:t>ωτικής οικονομίας τη συγκεκριμένη χρονική περίοδο και τη σχέση αυτής με το Τραπεζικό σύστ</w:t>
      </w:r>
      <w:r w:rsidRPr="00833515">
        <w:rPr>
          <w:rFonts w:ascii="Times New Roman" w:hAnsi="Times New Roman"/>
          <w:szCs w:val="24"/>
        </w:rPr>
        <w:t>η</w:t>
      </w:r>
      <w:r w:rsidRPr="00833515">
        <w:rPr>
          <w:rFonts w:ascii="Times New Roman" w:hAnsi="Times New Roman"/>
          <w:szCs w:val="24"/>
        </w:rPr>
        <w:t xml:space="preserve">μα </w:t>
      </w:r>
      <w:r w:rsidR="00632114">
        <w:rPr>
          <w:rFonts w:ascii="Times New Roman" w:hAnsi="Times New Roman"/>
          <w:szCs w:val="24"/>
        </w:rPr>
        <w:t xml:space="preserve">(παρεμβάσεις Γ, πίνακας </w:t>
      </w:r>
      <w:r w:rsidR="009761B3">
        <w:rPr>
          <w:rFonts w:ascii="Times New Roman" w:hAnsi="Times New Roman"/>
          <w:szCs w:val="24"/>
        </w:rPr>
        <w:t xml:space="preserve">3.30) </w:t>
      </w:r>
      <w:r w:rsidRPr="00833515">
        <w:rPr>
          <w:rFonts w:ascii="Times New Roman" w:hAnsi="Times New Roman"/>
          <w:szCs w:val="24"/>
        </w:rPr>
        <w:t xml:space="preserve">και </w:t>
      </w:r>
    </w:p>
    <w:p w:rsidR="00C11BC9" w:rsidRPr="00833515" w:rsidRDefault="00C11BC9" w:rsidP="00C11BC9">
      <w:pPr>
        <w:pStyle w:val="af2"/>
        <w:numPr>
          <w:ilvl w:val="0"/>
          <w:numId w:val="40"/>
        </w:numPr>
        <w:spacing w:after="0" w:line="240" w:lineRule="auto"/>
        <w:ind w:left="284" w:hanging="284"/>
        <w:contextualSpacing w:val="0"/>
        <w:jc w:val="both"/>
        <w:rPr>
          <w:rFonts w:ascii="Times New Roman" w:hAnsi="Times New Roman"/>
          <w:szCs w:val="24"/>
        </w:rPr>
      </w:pPr>
      <w:r w:rsidRPr="00833515">
        <w:rPr>
          <w:rFonts w:ascii="Times New Roman" w:hAnsi="Times New Roman"/>
          <w:szCs w:val="24"/>
        </w:rPr>
        <w:t xml:space="preserve">2 παρεμβάσεις παροχής ρευστότητας, </w:t>
      </w:r>
      <w:r w:rsidR="001816DC">
        <w:rPr>
          <w:rFonts w:ascii="Times New Roman" w:hAnsi="Times New Roman"/>
          <w:szCs w:val="24"/>
        </w:rPr>
        <w:t>συγ</w:t>
      </w:r>
      <w:r w:rsidRPr="00833515">
        <w:rPr>
          <w:rFonts w:ascii="Times New Roman" w:hAnsi="Times New Roman"/>
          <w:szCs w:val="24"/>
        </w:rPr>
        <w:t>χρηματοδοτούμενες από το ΠΔΕ, που έχουν ταμειακή επιβάρυνση 2.548 εκατ. ευρώ για το 2020, οι οποίες με τη μόχλευση των ποσών που διατίθενται από το τραπεζικό σύστημα αντιστοιχούν σε παροχή ρευστότητας στον ιδιωτικό τομέα της Ελλην</w:t>
      </w:r>
      <w:r w:rsidRPr="00833515">
        <w:rPr>
          <w:rFonts w:ascii="Times New Roman" w:hAnsi="Times New Roman"/>
          <w:szCs w:val="24"/>
        </w:rPr>
        <w:t>ι</w:t>
      </w:r>
      <w:r w:rsidRPr="00833515">
        <w:rPr>
          <w:rFonts w:ascii="Times New Roman" w:hAnsi="Times New Roman"/>
          <w:szCs w:val="24"/>
        </w:rPr>
        <w:t>κή οικονομίας ύψους 8.241 εκατ. ευρώ</w:t>
      </w:r>
      <w:r w:rsidR="00632114">
        <w:rPr>
          <w:rFonts w:ascii="Times New Roman" w:hAnsi="Times New Roman"/>
          <w:szCs w:val="24"/>
        </w:rPr>
        <w:t xml:space="preserve"> (παρεμβάσεις Δ, πίνακα </w:t>
      </w:r>
      <w:r w:rsidR="009761B3">
        <w:rPr>
          <w:rFonts w:ascii="Times New Roman" w:hAnsi="Times New Roman"/>
          <w:szCs w:val="24"/>
        </w:rPr>
        <w:t>3.30)</w:t>
      </w:r>
      <w:r w:rsidRPr="00833515">
        <w:rPr>
          <w:rFonts w:ascii="Times New Roman" w:hAnsi="Times New Roman"/>
          <w:szCs w:val="24"/>
        </w:rPr>
        <w:t>.</w:t>
      </w:r>
    </w:p>
    <w:p w:rsidR="00C11BC9" w:rsidRPr="00833515" w:rsidRDefault="00C11BC9" w:rsidP="00C11BC9">
      <w:pPr>
        <w:jc w:val="both"/>
        <w:rPr>
          <w:sz w:val="22"/>
        </w:rPr>
      </w:pPr>
    </w:p>
    <w:p w:rsidR="00011C2D" w:rsidRDefault="00011C2D" w:rsidP="00C11BC9">
      <w:pPr>
        <w:jc w:val="both"/>
        <w:rPr>
          <w:sz w:val="22"/>
        </w:rPr>
      </w:pPr>
      <w:r>
        <w:rPr>
          <w:sz w:val="22"/>
        </w:rPr>
        <w:t>Επιπλέον, έχει προβλεφθε</w:t>
      </w:r>
      <w:r w:rsidR="00AC7FFD">
        <w:rPr>
          <w:sz w:val="22"/>
        </w:rPr>
        <w:t>ί πόσο 3 δισ</w:t>
      </w:r>
      <w:r>
        <w:rPr>
          <w:sz w:val="22"/>
        </w:rPr>
        <w:t>. ευρώ ως ειδικό αποθεματικό για την αντιμετώπιση των οικ</w:t>
      </w:r>
      <w:r>
        <w:rPr>
          <w:sz w:val="22"/>
        </w:rPr>
        <w:t>ο</w:t>
      </w:r>
      <w:r>
        <w:rPr>
          <w:sz w:val="22"/>
        </w:rPr>
        <w:t>νομικών συνεπειών του κορωνοϊού το 2021, υπό τη μορφή πιστώσεων υπό κατανομή στις γενικές κρατικές δαπάνες.</w:t>
      </w:r>
    </w:p>
    <w:p w:rsidR="00011C2D" w:rsidRDefault="00011C2D" w:rsidP="00C11BC9">
      <w:pPr>
        <w:jc w:val="both"/>
        <w:rPr>
          <w:sz w:val="22"/>
        </w:rPr>
      </w:pPr>
    </w:p>
    <w:p w:rsidR="00C11BC9" w:rsidRPr="00D06578" w:rsidRDefault="00C11BC9" w:rsidP="00C11BC9">
      <w:pPr>
        <w:jc w:val="both"/>
        <w:rPr>
          <w:sz w:val="22"/>
        </w:rPr>
      </w:pPr>
      <w:r w:rsidRPr="00833515">
        <w:rPr>
          <w:sz w:val="22"/>
        </w:rPr>
        <w:t>Οι 62 παρεμβάσεις</w:t>
      </w:r>
      <w:r w:rsidR="00011C2D">
        <w:rPr>
          <w:sz w:val="22"/>
        </w:rPr>
        <w:t xml:space="preserve">, </w:t>
      </w:r>
      <w:r w:rsidR="00D3780B">
        <w:rPr>
          <w:sz w:val="22"/>
        </w:rPr>
        <w:t>συμπεριλαμβανομένου</w:t>
      </w:r>
      <w:r w:rsidR="00011C2D">
        <w:rPr>
          <w:sz w:val="22"/>
        </w:rPr>
        <w:t xml:space="preserve"> του ειδικού αποθεματικού,</w:t>
      </w:r>
      <w:r w:rsidRPr="00833515">
        <w:rPr>
          <w:sz w:val="22"/>
        </w:rPr>
        <w:t xml:space="preserve"> έχουν συνολικό ύψος </w:t>
      </w:r>
      <w:r w:rsidR="0077603E">
        <w:rPr>
          <w:sz w:val="22"/>
        </w:rPr>
        <w:t>31.437</w:t>
      </w:r>
      <w:r w:rsidRPr="00833515">
        <w:rPr>
          <w:sz w:val="22"/>
        </w:rPr>
        <w:t xml:space="preserve"> εκατ. ευρώ, εκ των οποίων 23.891 εκατ. ευρώ αφορούν το 2020 (συμπεριλαμβάνοντας τη μόχλευση των χρηματοοικονομικών εργαλείων ύψους 5.693 εκατ. ευρώ). Το ταμειακό κόστος για το 2020 ανέ</w:t>
      </w:r>
      <w:r w:rsidRPr="00833515">
        <w:rPr>
          <w:sz w:val="22"/>
        </w:rPr>
        <w:t>ρ</w:t>
      </w:r>
      <w:r w:rsidRPr="00833515">
        <w:rPr>
          <w:sz w:val="22"/>
        </w:rPr>
        <w:t xml:space="preserve">χεται σε </w:t>
      </w:r>
      <w:r w:rsidR="00C06FE8">
        <w:rPr>
          <w:sz w:val="22"/>
        </w:rPr>
        <w:t>18.198</w:t>
      </w:r>
      <w:r w:rsidRPr="00833515">
        <w:rPr>
          <w:sz w:val="22"/>
        </w:rPr>
        <w:t xml:space="preserve"> εκατ. ευρώ. Το μεγαλύτερο μέρος, ήτοι ποσό 11.625 εκατ. ευρώ </w:t>
      </w:r>
      <w:r w:rsidR="008E1314">
        <w:rPr>
          <w:sz w:val="22"/>
        </w:rPr>
        <w:t>επιφέρει άμεσο δ</w:t>
      </w:r>
      <w:r w:rsidR="008E1314">
        <w:rPr>
          <w:sz w:val="22"/>
        </w:rPr>
        <w:t>η</w:t>
      </w:r>
      <w:r w:rsidR="008E1314">
        <w:rPr>
          <w:sz w:val="22"/>
        </w:rPr>
        <w:t>μοσιονομικό κόστος</w:t>
      </w:r>
      <w:r w:rsidRPr="00833515">
        <w:rPr>
          <w:sz w:val="22"/>
        </w:rPr>
        <w:t>, ποσό 1.567 εκατ. ευρώ αφορά αναστολές φορολογικών και ασφαλιστικών υπ</w:t>
      </w:r>
      <w:r w:rsidRPr="00833515">
        <w:rPr>
          <w:sz w:val="22"/>
        </w:rPr>
        <w:t>ο</w:t>
      </w:r>
      <w:r w:rsidRPr="00833515">
        <w:rPr>
          <w:sz w:val="22"/>
        </w:rPr>
        <w:t xml:space="preserve">χρεώσεων και ποσό </w:t>
      </w:r>
      <w:r w:rsidR="00C06FE8">
        <w:rPr>
          <w:sz w:val="22"/>
        </w:rPr>
        <w:t>5.006</w:t>
      </w:r>
      <w:r w:rsidRPr="00833515">
        <w:rPr>
          <w:sz w:val="22"/>
        </w:rPr>
        <w:t xml:space="preserve"> </w:t>
      </w:r>
      <w:r w:rsidR="00C06FE8">
        <w:rPr>
          <w:sz w:val="22"/>
        </w:rPr>
        <w:t>εκατ</w:t>
      </w:r>
      <w:r w:rsidRPr="00833515">
        <w:rPr>
          <w:sz w:val="22"/>
        </w:rPr>
        <w:t>. ευρώ αφορά παρεμβάσεις παροχής ρευστότητας. Το ύψος των π</w:t>
      </w:r>
      <w:r w:rsidRPr="00833515">
        <w:rPr>
          <w:sz w:val="22"/>
        </w:rPr>
        <w:t>α</w:t>
      </w:r>
      <w:r w:rsidRPr="00833515">
        <w:rPr>
          <w:sz w:val="22"/>
        </w:rPr>
        <w:t>ρεμβάσεων για το 2021 ανέρχεται στο ποσό των 7.</w:t>
      </w:r>
      <w:r w:rsidR="00C06FE8">
        <w:rPr>
          <w:sz w:val="22"/>
        </w:rPr>
        <w:t>546</w:t>
      </w:r>
      <w:r w:rsidR="00C06FE8" w:rsidRPr="00833515">
        <w:rPr>
          <w:sz w:val="22"/>
        </w:rPr>
        <w:t xml:space="preserve"> </w:t>
      </w:r>
      <w:r w:rsidRPr="00833515">
        <w:rPr>
          <w:sz w:val="22"/>
        </w:rPr>
        <w:t>εκατ. ευρώ</w:t>
      </w:r>
      <w:r w:rsidR="00C51BD5">
        <w:rPr>
          <w:sz w:val="22"/>
        </w:rPr>
        <w:t>, εκ των οποίων 6.936 εκατ. προκ</w:t>
      </w:r>
      <w:r w:rsidR="00C51BD5">
        <w:rPr>
          <w:sz w:val="22"/>
        </w:rPr>
        <w:t>α</w:t>
      </w:r>
      <w:r w:rsidR="00C51BD5">
        <w:rPr>
          <w:sz w:val="22"/>
        </w:rPr>
        <w:t>λούν δημοσιονομική επίπτωση και 610 εκατ. εκτιμάται ότι θα δαπανηθούν σε παρεμβάσεις παροχής ρευστότητας που προκαλούν ταμειακή επίπτωση</w:t>
      </w:r>
      <w:r w:rsidR="00C06FE8">
        <w:rPr>
          <w:sz w:val="22"/>
        </w:rPr>
        <w:t>.</w:t>
      </w:r>
    </w:p>
    <w:p w:rsidR="00C11BC9" w:rsidRPr="00833515" w:rsidRDefault="00C11BC9" w:rsidP="00C11BC9">
      <w:pPr>
        <w:jc w:val="both"/>
        <w:rPr>
          <w:sz w:val="22"/>
        </w:rPr>
      </w:pPr>
    </w:p>
    <w:p w:rsidR="00C11BC9" w:rsidRPr="00833515" w:rsidRDefault="00C11BC9" w:rsidP="00C11BC9">
      <w:pPr>
        <w:jc w:val="both"/>
        <w:rPr>
          <w:sz w:val="22"/>
        </w:rPr>
      </w:pPr>
      <w:r w:rsidRPr="00833515">
        <w:rPr>
          <w:sz w:val="22"/>
        </w:rPr>
        <w:t>Ειδικά για το 2021 οι παρεμβάσεις που επηρεάζουν το δημοσιονομικό αποτέλεσμα αφορούν:</w:t>
      </w:r>
    </w:p>
    <w:p w:rsidR="00C11BC9" w:rsidRPr="00833515" w:rsidRDefault="00C11BC9" w:rsidP="00C11BC9">
      <w:pPr>
        <w:jc w:val="both"/>
        <w:rPr>
          <w:sz w:val="22"/>
        </w:rPr>
      </w:pPr>
    </w:p>
    <w:p w:rsidR="00C11BC9" w:rsidRPr="00833515" w:rsidRDefault="00C11BC9" w:rsidP="00C11BC9">
      <w:pPr>
        <w:pStyle w:val="af2"/>
        <w:numPr>
          <w:ilvl w:val="0"/>
          <w:numId w:val="41"/>
        </w:numPr>
        <w:spacing w:after="0" w:line="240" w:lineRule="auto"/>
        <w:ind w:left="284" w:hanging="284"/>
        <w:contextualSpacing w:val="0"/>
        <w:jc w:val="both"/>
        <w:rPr>
          <w:rFonts w:ascii="Times New Roman" w:eastAsia="Times New Roman" w:hAnsi="Times New Roman"/>
          <w:szCs w:val="24"/>
          <w:lang w:eastAsia="el-GR"/>
        </w:rPr>
      </w:pPr>
      <w:r w:rsidRPr="00833515">
        <w:rPr>
          <w:rFonts w:ascii="Times New Roman" w:eastAsia="Times New Roman" w:hAnsi="Times New Roman"/>
          <w:szCs w:val="24"/>
          <w:lang w:eastAsia="el-GR"/>
        </w:rPr>
        <w:t>τη μείωση κατά τρεις ποσοστιαίες μονάδες των ασφαλιστικών εισφορών των μισθωτών του ιδιωτ</w:t>
      </w:r>
      <w:r w:rsidRPr="00833515">
        <w:rPr>
          <w:rFonts w:ascii="Times New Roman" w:eastAsia="Times New Roman" w:hAnsi="Times New Roman"/>
          <w:szCs w:val="24"/>
          <w:lang w:eastAsia="el-GR"/>
        </w:rPr>
        <w:t>ι</w:t>
      </w:r>
      <w:r w:rsidRPr="00833515">
        <w:rPr>
          <w:rFonts w:ascii="Times New Roman" w:eastAsia="Times New Roman" w:hAnsi="Times New Roman"/>
          <w:szCs w:val="24"/>
          <w:lang w:eastAsia="el-GR"/>
        </w:rPr>
        <w:t>κού τομέα, με κόστος 816 εκατ. ευρώ,</w:t>
      </w:r>
    </w:p>
    <w:p w:rsidR="00C11BC9" w:rsidRPr="00833515" w:rsidRDefault="00C11BC9" w:rsidP="00C11BC9">
      <w:pPr>
        <w:pStyle w:val="af2"/>
        <w:numPr>
          <w:ilvl w:val="0"/>
          <w:numId w:val="41"/>
        </w:numPr>
        <w:spacing w:after="0" w:line="240" w:lineRule="auto"/>
        <w:ind w:left="284" w:hanging="284"/>
        <w:contextualSpacing w:val="0"/>
        <w:jc w:val="both"/>
        <w:rPr>
          <w:rFonts w:ascii="Times New Roman" w:eastAsia="Times New Roman" w:hAnsi="Times New Roman"/>
          <w:szCs w:val="24"/>
          <w:lang w:eastAsia="el-GR"/>
        </w:rPr>
      </w:pPr>
      <w:r w:rsidRPr="00833515">
        <w:rPr>
          <w:rFonts w:ascii="Times New Roman" w:eastAsia="Times New Roman" w:hAnsi="Times New Roman"/>
          <w:szCs w:val="24"/>
          <w:lang w:eastAsia="el-GR"/>
        </w:rPr>
        <w:t xml:space="preserve">την αναστολή καταβολής Ειδικής Εισφοράς Αλληλεγγύης στον ιδιωτικό τομέα, με κόστος 767 </w:t>
      </w:r>
      <w:r w:rsidRPr="00833515">
        <w:rPr>
          <w:rFonts w:ascii="Times New Roman" w:eastAsia="Times New Roman" w:hAnsi="Times New Roman"/>
          <w:szCs w:val="24"/>
          <w:lang w:eastAsia="el-GR"/>
        </w:rPr>
        <w:t>ε</w:t>
      </w:r>
      <w:r w:rsidRPr="00833515">
        <w:rPr>
          <w:rFonts w:ascii="Times New Roman" w:eastAsia="Times New Roman" w:hAnsi="Times New Roman"/>
          <w:szCs w:val="24"/>
          <w:lang w:eastAsia="el-GR"/>
        </w:rPr>
        <w:t>κατ. ευρώ,</w:t>
      </w:r>
    </w:p>
    <w:p w:rsidR="00C11BC9" w:rsidRPr="00833515" w:rsidRDefault="00C11BC9" w:rsidP="00C11BC9">
      <w:pPr>
        <w:pStyle w:val="af2"/>
        <w:numPr>
          <w:ilvl w:val="0"/>
          <w:numId w:val="41"/>
        </w:numPr>
        <w:spacing w:after="0" w:line="240" w:lineRule="auto"/>
        <w:ind w:left="284" w:hanging="284"/>
        <w:contextualSpacing w:val="0"/>
        <w:jc w:val="both"/>
        <w:rPr>
          <w:rFonts w:ascii="Times New Roman" w:eastAsia="Times New Roman" w:hAnsi="Times New Roman"/>
          <w:szCs w:val="24"/>
          <w:lang w:eastAsia="el-GR"/>
        </w:rPr>
      </w:pPr>
      <w:r w:rsidRPr="00833515">
        <w:rPr>
          <w:rFonts w:ascii="Times New Roman" w:eastAsia="Times New Roman" w:hAnsi="Times New Roman"/>
          <w:szCs w:val="24"/>
          <w:lang w:eastAsia="el-GR"/>
        </w:rPr>
        <w:lastRenderedPageBreak/>
        <w:t>την κάλυψη των ασφαλιστικών εισφορών από τον κρατικό προϋπολογισμό και την επιδότηση 200 ευρώ, σε περίπτωση πρόσληψης μακροχρόνια ανέργου, για περίοδο 6 μηνών, στο πλαίσιο του πρ</w:t>
      </w:r>
      <w:r w:rsidRPr="00833515">
        <w:rPr>
          <w:rFonts w:ascii="Times New Roman" w:eastAsia="Times New Roman" w:hAnsi="Times New Roman"/>
          <w:szCs w:val="24"/>
          <w:lang w:eastAsia="el-GR"/>
        </w:rPr>
        <w:t>ο</w:t>
      </w:r>
      <w:r w:rsidRPr="00833515">
        <w:rPr>
          <w:rFonts w:ascii="Times New Roman" w:eastAsia="Times New Roman" w:hAnsi="Times New Roman"/>
          <w:szCs w:val="24"/>
          <w:lang w:eastAsia="el-GR"/>
        </w:rPr>
        <w:t>γράμματος για τη δημιουργία 100.000 νέ</w:t>
      </w:r>
      <w:r w:rsidR="00632114">
        <w:rPr>
          <w:rFonts w:ascii="Times New Roman" w:eastAsia="Times New Roman" w:hAnsi="Times New Roman"/>
          <w:szCs w:val="24"/>
          <w:lang w:eastAsia="el-GR"/>
        </w:rPr>
        <w:t>ων θέσεων εργασίας, με κόστος 32</w:t>
      </w:r>
      <w:r w:rsidRPr="00833515">
        <w:rPr>
          <w:rFonts w:ascii="Times New Roman" w:eastAsia="Times New Roman" w:hAnsi="Times New Roman"/>
          <w:szCs w:val="24"/>
          <w:lang w:eastAsia="el-GR"/>
        </w:rPr>
        <w:t>2 εκατ. ευρώ για το 2021,</w:t>
      </w:r>
    </w:p>
    <w:p w:rsidR="00C11BC9" w:rsidRPr="00833515" w:rsidRDefault="00C11BC9" w:rsidP="00C11BC9">
      <w:pPr>
        <w:pStyle w:val="af2"/>
        <w:numPr>
          <w:ilvl w:val="0"/>
          <w:numId w:val="41"/>
        </w:numPr>
        <w:spacing w:after="0" w:line="240" w:lineRule="auto"/>
        <w:ind w:left="284" w:hanging="284"/>
        <w:contextualSpacing w:val="0"/>
        <w:jc w:val="both"/>
        <w:rPr>
          <w:rFonts w:ascii="Times New Roman" w:eastAsia="Times New Roman" w:hAnsi="Times New Roman"/>
          <w:szCs w:val="24"/>
          <w:lang w:eastAsia="el-GR"/>
        </w:rPr>
      </w:pPr>
      <w:r w:rsidRPr="00833515">
        <w:rPr>
          <w:rFonts w:ascii="Times New Roman" w:eastAsia="Times New Roman" w:hAnsi="Times New Roman"/>
          <w:szCs w:val="24"/>
          <w:lang w:eastAsia="el-GR"/>
        </w:rPr>
        <w:t xml:space="preserve">το πρόγραμμα </w:t>
      </w:r>
      <w:r w:rsidR="0034634E">
        <w:rPr>
          <w:rFonts w:ascii="Times New Roman" w:eastAsia="Times New Roman" w:hAnsi="Times New Roman"/>
          <w:szCs w:val="24"/>
          <w:lang w:eastAsia="el-GR"/>
        </w:rPr>
        <w:t>«</w:t>
      </w:r>
      <w:r w:rsidRPr="00833515">
        <w:rPr>
          <w:rFonts w:ascii="Times New Roman" w:eastAsia="Times New Roman" w:hAnsi="Times New Roman"/>
          <w:szCs w:val="24"/>
          <w:lang w:eastAsia="el-GR"/>
        </w:rPr>
        <w:t>ΓΕΦΥΡΑ</w:t>
      </w:r>
      <w:r w:rsidR="0034634E">
        <w:rPr>
          <w:rFonts w:ascii="Times New Roman" w:eastAsia="Times New Roman" w:hAnsi="Times New Roman"/>
          <w:szCs w:val="24"/>
          <w:lang w:eastAsia="el-GR"/>
        </w:rPr>
        <w:t>»</w:t>
      </w:r>
      <w:r w:rsidRPr="00833515">
        <w:rPr>
          <w:rFonts w:ascii="Times New Roman" w:eastAsia="Times New Roman" w:hAnsi="Times New Roman"/>
          <w:szCs w:val="24"/>
          <w:lang w:eastAsia="el-GR"/>
        </w:rPr>
        <w:t>, που αφορά στην επιδότηση της πρώτης κατοικίας για δανειολήπτες που επλήγησαν από την πανδημία Covid-19, με κόστος 280 εκατ. ευρώ για το 2021,</w:t>
      </w:r>
    </w:p>
    <w:p w:rsidR="00C11BC9" w:rsidRPr="00833515" w:rsidRDefault="00C11BC9" w:rsidP="00C11BC9">
      <w:pPr>
        <w:pStyle w:val="af2"/>
        <w:numPr>
          <w:ilvl w:val="0"/>
          <w:numId w:val="41"/>
        </w:numPr>
        <w:spacing w:after="0" w:line="240" w:lineRule="auto"/>
        <w:ind w:left="284" w:hanging="284"/>
        <w:contextualSpacing w:val="0"/>
        <w:jc w:val="both"/>
        <w:rPr>
          <w:rFonts w:ascii="Times New Roman" w:eastAsia="Times New Roman" w:hAnsi="Times New Roman"/>
          <w:szCs w:val="24"/>
          <w:lang w:eastAsia="el-GR"/>
        </w:rPr>
      </w:pPr>
      <w:r w:rsidRPr="00833515">
        <w:rPr>
          <w:rFonts w:ascii="Times New Roman" w:eastAsia="Times New Roman" w:hAnsi="Times New Roman"/>
          <w:szCs w:val="24"/>
          <w:lang w:eastAsia="el-GR"/>
        </w:rPr>
        <w:t xml:space="preserve">την επέκταση της μείωσης του ΦΠΑ </w:t>
      </w:r>
      <w:r w:rsidR="008E1314">
        <w:rPr>
          <w:rFonts w:ascii="Times New Roman" w:eastAsia="Times New Roman" w:hAnsi="Times New Roman"/>
          <w:szCs w:val="24"/>
          <w:lang w:eastAsia="el-GR"/>
        </w:rPr>
        <w:t xml:space="preserve">και αναστολές τελών </w:t>
      </w:r>
      <w:r w:rsidRPr="00833515">
        <w:rPr>
          <w:rFonts w:ascii="Times New Roman" w:eastAsia="Times New Roman" w:hAnsi="Times New Roman"/>
          <w:szCs w:val="24"/>
          <w:lang w:eastAsia="el-GR"/>
        </w:rPr>
        <w:t xml:space="preserve">σε διάφορες κατηγορίες αγαθών και </w:t>
      </w:r>
      <w:r w:rsidRPr="00833515">
        <w:rPr>
          <w:rFonts w:ascii="Times New Roman" w:eastAsia="Times New Roman" w:hAnsi="Times New Roman"/>
          <w:szCs w:val="24"/>
          <w:lang w:eastAsia="el-GR"/>
        </w:rPr>
        <w:t>υ</w:t>
      </w:r>
      <w:r w:rsidRPr="00833515">
        <w:rPr>
          <w:rFonts w:ascii="Times New Roman" w:eastAsia="Times New Roman" w:hAnsi="Times New Roman"/>
          <w:szCs w:val="24"/>
          <w:lang w:eastAsia="el-GR"/>
        </w:rPr>
        <w:t>πηρεσιών κλάδων που πλήττονται από την πανδημία έως τον Απρίλιο του 2021, με συνολικό κ</w:t>
      </w:r>
      <w:r w:rsidRPr="00833515">
        <w:rPr>
          <w:rFonts w:ascii="Times New Roman" w:eastAsia="Times New Roman" w:hAnsi="Times New Roman"/>
          <w:szCs w:val="24"/>
          <w:lang w:eastAsia="el-GR"/>
        </w:rPr>
        <w:t>ό</w:t>
      </w:r>
      <w:r w:rsidRPr="00833515">
        <w:rPr>
          <w:rFonts w:ascii="Times New Roman" w:eastAsia="Times New Roman" w:hAnsi="Times New Roman"/>
          <w:szCs w:val="24"/>
          <w:lang w:eastAsia="el-GR"/>
        </w:rPr>
        <w:t>στος 113 εκατ. ευρώ για το 2021.</w:t>
      </w:r>
    </w:p>
    <w:p w:rsidR="00C11BC9" w:rsidRPr="00833515" w:rsidRDefault="00C11BC9" w:rsidP="00C11BC9">
      <w:pPr>
        <w:jc w:val="both"/>
        <w:rPr>
          <w:sz w:val="22"/>
        </w:rPr>
      </w:pPr>
    </w:p>
    <w:p w:rsidR="00C11BC9" w:rsidRPr="00833515" w:rsidRDefault="00C11BC9" w:rsidP="00C11BC9">
      <w:pPr>
        <w:jc w:val="both"/>
        <w:rPr>
          <w:sz w:val="22"/>
        </w:rPr>
      </w:pPr>
      <w:r w:rsidRPr="00833515">
        <w:rPr>
          <w:sz w:val="22"/>
        </w:rPr>
        <w:t xml:space="preserve">Παράλληλα, η καταβολή αποζημιώσεων ειδικού σκοπού σε απασχολούμενους ή επιχειρήσεις που βρίσκονται, είτε σε προσωρινή αναστολή εργασιών, είτε συμμετέχουν στο Πρόγραμμα </w:t>
      </w:r>
      <w:r w:rsidR="00FC77EF">
        <w:rPr>
          <w:sz w:val="22"/>
        </w:rPr>
        <w:t>«ΣΥΝΕΡΓΑΣΙΑ»</w:t>
      </w:r>
      <w:r w:rsidRPr="00833515">
        <w:rPr>
          <w:sz w:val="22"/>
        </w:rPr>
        <w:t xml:space="preserve"> κατά τα τέλη του 2020, αναμένεται να λάβει χώρα τον Ιανουάριο του 2021 και σ</w:t>
      </w:r>
      <w:r w:rsidRPr="00833515">
        <w:rPr>
          <w:sz w:val="22"/>
        </w:rPr>
        <w:t>υ</w:t>
      </w:r>
      <w:r w:rsidRPr="00833515">
        <w:rPr>
          <w:sz w:val="22"/>
        </w:rPr>
        <w:t>νεπώς να επηρεάσει το δημοσιονομικό αποτέλεσμα του εν λόγω έτους.</w:t>
      </w:r>
    </w:p>
    <w:p w:rsidR="00C11BC9" w:rsidRPr="00833515" w:rsidRDefault="00C11BC9" w:rsidP="00C11BC9">
      <w:pPr>
        <w:jc w:val="both"/>
        <w:rPr>
          <w:sz w:val="22"/>
        </w:rPr>
      </w:pPr>
    </w:p>
    <w:p w:rsidR="00C11BC9" w:rsidRDefault="00C11BC9" w:rsidP="00C11BC9">
      <w:pPr>
        <w:jc w:val="both"/>
        <w:rPr>
          <w:sz w:val="22"/>
        </w:rPr>
      </w:pPr>
      <w:r w:rsidRPr="00833515">
        <w:rPr>
          <w:sz w:val="22"/>
        </w:rPr>
        <w:t xml:space="preserve">Επιπλέον, το δημοσιονομικό αποτέλεσμα του 2021 επηρεάζεται από την κάλυψη της μισθοδοσίας του έκτακτου υγειονομικού προσωπικού που προσλήφθηκε εντός του 2020 και του προσωπικού που προσλαμβάνεται για την κάλυψη των αναγκών των Μέσων Μαζικής Μεταφοράς. </w:t>
      </w:r>
    </w:p>
    <w:p w:rsidR="00CC3A3B" w:rsidRDefault="00CC3A3B" w:rsidP="00C11BC9">
      <w:pPr>
        <w:jc w:val="both"/>
        <w:rPr>
          <w:sz w:val="22"/>
        </w:rPr>
      </w:pPr>
    </w:p>
    <w:p w:rsidR="00CC3A3B" w:rsidRPr="009B3761" w:rsidRDefault="00CC3A3B" w:rsidP="00C11BC9">
      <w:pPr>
        <w:jc w:val="both"/>
        <w:rPr>
          <w:sz w:val="22"/>
        </w:rPr>
      </w:pPr>
      <w:r>
        <w:rPr>
          <w:sz w:val="22"/>
        </w:rPr>
        <w:t xml:space="preserve">Το </w:t>
      </w:r>
      <w:r w:rsidR="001B54DC">
        <w:rPr>
          <w:sz w:val="22"/>
        </w:rPr>
        <w:t>ειδικό απ</w:t>
      </w:r>
      <w:r w:rsidRPr="00CC3A3B">
        <w:rPr>
          <w:sz w:val="22"/>
        </w:rPr>
        <w:t>οθεματικό για την αντιμετώπιση των οικονομικών συνεπειών του κορωνοϊού το 2021</w:t>
      </w:r>
      <w:r w:rsidR="00655CC9">
        <w:rPr>
          <w:sz w:val="22"/>
        </w:rPr>
        <w:t xml:space="preserve"> ύψους 3 δισ</w:t>
      </w:r>
      <w:r>
        <w:rPr>
          <w:sz w:val="22"/>
        </w:rPr>
        <w:t xml:space="preserve">. ευρώ, έχει </w:t>
      </w:r>
      <w:r w:rsidR="00D31FDB">
        <w:rPr>
          <w:sz w:val="22"/>
        </w:rPr>
        <w:t>προβλεφτεί</w:t>
      </w:r>
      <w:r>
        <w:rPr>
          <w:sz w:val="22"/>
        </w:rPr>
        <w:t xml:space="preserve"> ώστε να καλύψει αναμενόμενες δαπάνες από την επ</w:t>
      </w:r>
      <w:r w:rsidR="00A44453">
        <w:rPr>
          <w:sz w:val="22"/>
        </w:rPr>
        <w:t>έκταση του μέ</w:t>
      </w:r>
      <w:r>
        <w:rPr>
          <w:sz w:val="22"/>
        </w:rPr>
        <w:t>τρου της επιστρεπτέας προκαταβολής,</w:t>
      </w:r>
      <w:r w:rsidR="009238C1" w:rsidRPr="009B3761">
        <w:rPr>
          <w:sz w:val="22"/>
        </w:rPr>
        <w:t xml:space="preserve"> </w:t>
      </w:r>
      <w:r w:rsidR="00D31FDB">
        <w:rPr>
          <w:sz w:val="22"/>
        </w:rPr>
        <w:t>την επέκταση μέτρων στήριξης της απασχόλησης και του ε</w:t>
      </w:r>
      <w:r w:rsidR="00D31FDB">
        <w:rPr>
          <w:sz w:val="22"/>
        </w:rPr>
        <w:t>ι</w:t>
      </w:r>
      <w:r w:rsidR="00D31FDB">
        <w:rPr>
          <w:sz w:val="22"/>
        </w:rPr>
        <w:t xml:space="preserve">σοδήματος και επιπλέον δαπάνες Υγείας τους πρώτους μήνες του 2021. Η κατανομή μεταξύ των </w:t>
      </w:r>
      <w:r w:rsidR="00B33750">
        <w:rPr>
          <w:sz w:val="22"/>
        </w:rPr>
        <w:t>μ</w:t>
      </w:r>
      <w:r w:rsidR="00B33750">
        <w:rPr>
          <w:sz w:val="22"/>
        </w:rPr>
        <w:t>έ</w:t>
      </w:r>
      <w:r w:rsidR="00B33750">
        <w:rPr>
          <w:sz w:val="22"/>
        </w:rPr>
        <w:t>τρων στήριξης</w:t>
      </w:r>
      <w:r w:rsidR="00D31FDB">
        <w:rPr>
          <w:sz w:val="22"/>
        </w:rPr>
        <w:t xml:space="preserve"> θα εξαρτηθεί από αντικειμενικά γεγονότα, όπως οι οικονομικές συνέπειες του δεύτ</w:t>
      </w:r>
      <w:r w:rsidR="00D31FDB">
        <w:rPr>
          <w:sz w:val="22"/>
        </w:rPr>
        <w:t>ε</w:t>
      </w:r>
      <w:r w:rsidR="00D31FDB">
        <w:rPr>
          <w:sz w:val="22"/>
        </w:rPr>
        <w:t>ρου κύματος της πανδημίας σε συγκεκριμένους κλάδους της οικονομίας και τον αριθμό των δικαιο</w:t>
      </w:r>
      <w:r w:rsidR="00D31FDB">
        <w:rPr>
          <w:sz w:val="22"/>
        </w:rPr>
        <w:t>ύ</w:t>
      </w:r>
      <w:r w:rsidR="00D31FDB">
        <w:rPr>
          <w:sz w:val="22"/>
        </w:rPr>
        <w:t>χων.</w:t>
      </w:r>
    </w:p>
    <w:p w:rsidR="002304F8" w:rsidRDefault="002304F8" w:rsidP="00871F74">
      <w:pPr>
        <w:tabs>
          <w:tab w:val="left" w:pos="284"/>
        </w:tabs>
        <w:contextualSpacing/>
        <w:jc w:val="both"/>
        <w:rPr>
          <w:bCs/>
          <w:sz w:val="22"/>
          <w:szCs w:val="22"/>
        </w:rPr>
      </w:pPr>
    </w:p>
    <w:p w:rsidR="002E766E" w:rsidRDefault="002E766E" w:rsidP="00871F74">
      <w:pPr>
        <w:tabs>
          <w:tab w:val="left" w:pos="284"/>
        </w:tabs>
        <w:contextualSpacing/>
        <w:jc w:val="both"/>
        <w:rPr>
          <w:bCs/>
          <w:sz w:val="22"/>
          <w:szCs w:val="22"/>
        </w:rPr>
      </w:pPr>
    </w:p>
    <w:p w:rsidR="00655CC9" w:rsidRDefault="00655CC9" w:rsidP="00871F74">
      <w:pPr>
        <w:tabs>
          <w:tab w:val="left" w:pos="284"/>
        </w:tabs>
        <w:contextualSpacing/>
        <w:jc w:val="both"/>
        <w:rPr>
          <w:bCs/>
          <w:sz w:val="22"/>
          <w:szCs w:val="22"/>
        </w:rPr>
      </w:pPr>
    </w:p>
    <w:tbl>
      <w:tblPr>
        <w:tblStyle w:val="a7"/>
        <w:tblW w:w="5000" w:type="pct"/>
        <w:tblLook w:val="04A0"/>
      </w:tblPr>
      <w:tblGrid>
        <w:gridCol w:w="615"/>
        <w:gridCol w:w="6956"/>
        <w:gridCol w:w="908"/>
        <w:gridCol w:w="808"/>
      </w:tblGrid>
      <w:tr w:rsidR="002E766E" w:rsidRPr="002E766E" w:rsidTr="00F77B07">
        <w:trPr>
          <w:trHeight w:val="170"/>
          <w:tblHeader/>
        </w:trPr>
        <w:tc>
          <w:tcPr>
            <w:tcW w:w="5000" w:type="pct"/>
            <w:gridSpan w:val="4"/>
            <w:tcBorders>
              <w:bottom w:val="single" w:sz="4" w:space="0" w:color="auto"/>
            </w:tcBorders>
            <w:shd w:val="clear" w:color="auto" w:fill="404040" w:themeFill="text1" w:themeFillTint="BF"/>
            <w:noWrap/>
          </w:tcPr>
          <w:p w:rsidR="002E766E" w:rsidRPr="002E766E" w:rsidRDefault="00655CC9" w:rsidP="002E766E">
            <w:pPr>
              <w:jc w:val="center"/>
              <w:rPr>
                <w:rFonts w:ascii="Arial Narrow" w:hAnsi="Arial Narrow" w:cstheme="minorHAnsi"/>
                <w:b/>
                <w:bCs/>
                <w:color w:val="FFFFFF" w:themeColor="background1"/>
                <w:szCs w:val="18"/>
              </w:rPr>
            </w:pPr>
            <w:r>
              <w:rPr>
                <w:rFonts w:ascii="Arial Narrow" w:hAnsi="Arial Narrow" w:cstheme="minorHAnsi"/>
                <w:b/>
                <w:bCs/>
                <w:color w:val="FFFFFF" w:themeColor="background1"/>
                <w:szCs w:val="18"/>
              </w:rPr>
              <w:t>Πίνακας 3.30</w:t>
            </w:r>
            <w:r w:rsidR="002E766E" w:rsidRPr="002E766E">
              <w:rPr>
                <w:rFonts w:ascii="Arial Narrow" w:hAnsi="Arial Narrow" w:cstheme="minorHAnsi"/>
                <w:b/>
                <w:bCs/>
                <w:color w:val="FFFFFF" w:themeColor="background1"/>
                <w:szCs w:val="18"/>
              </w:rPr>
              <w:t xml:space="preserve"> Παρεμβάσεις για την αντιμετώπιση των συνεπειών της πανδημίας Covid-19</w:t>
            </w:r>
            <w:r w:rsidR="002E766E" w:rsidRPr="002E766E">
              <w:rPr>
                <w:rFonts w:ascii="Arial Narrow" w:hAnsi="Arial Narrow" w:cstheme="minorHAnsi"/>
                <w:b/>
                <w:bCs/>
                <w:color w:val="FFFFFF" w:themeColor="background1"/>
                <w:szCs w:val="18"/>
              </w:rPr>
              <w:br/>
              <w:t>στην ελληνική οικονομία την περίοδο 2020-2021</w:t>
            </w:r>
            <w:r w:rsidR="002E766E" w:rsidRPr="002E766E">
              <w:rPr>
                <w:rFonts w:ascii="Arial Narrow" w:hAnsi="Arial Narrow" w:cstheme="minorHAnsi"/>
                <w:b/>
                <w:bCs/>
                <w:color w:val="FFFFFF" w:themeColor="background1"/>
                <w:szCs w:val="18"/>
              </w:rPr>
              <w:br/>
              <w:t>(σε εκατ. ευρώ)</w:t>
            </w:r>
          </w:p>
        </w:tc>
      </w:tr>
      <w:tr w:rsidR="002E766E" w:rsidRPr="00FB7023" w:rsidTr="00F77B07">
        <w:trPr>
          <w:trHeight w:val="170"/>
          <w:tblHeader/>
        </w:trPr>
        <w:tc>
          <w:tcPr>
            <w:tcW w:w="331" w:type="pct"/>
            <w:tcBorders>
              <w:right w:val="nil"/>
            </w:tcBorders>
            <w:noWrap/>
            <w:hideMark/>
          </w:tcPr>
          <w:p w:rsidR="002E766E" w:rsidRPr="00FB7023" w:rsidRDefault="002E766E" w:rsidP="003C79F3">
            <w:pPr>
              <w:jc w:val="center"/>
              <w:rPr>
                <w:rFonts w:asciiTheme="majorHAnsi" w:hAnsiTheme="majorHAnsi" w:cstheme="minorHAnsi"/>
                <w:b/>
                <w:bCs/>
                <w:sz w:val="14"/>
                <w:szCs w:val="18"/>
              </w:rPr>
            </w:pPr>
          </w:p>
        </w:tc>
        <w:tc>
          <w:tcPr>
            <w:tcW w:w="3745" w:type="pct"/>
            <w:tcBorders>
              <w:left w:val="nil"/>
              <w:right w:val="nil"/>
            </w:tcBorders>
            <w:noWrap/>
            <w:hideMark/>
          </w:tcPr>
          <w:p w:rsidR="002E766E" w:rsidRPr="00FB7023" w:rsidRDefault="002E766E" w:rsidP="003C79F3">
            <w:pPr>
              <w:jc w:val="center"/>
              <w:rPr>
                <w:rFonts w:asciiTheme="majorHAnsi" w:hAnsiTheme="majorHAnsi" w:cstheme="minorHAnsi"/>
                <w:b/>
                <w:bCs/>
                <w:sz w:val="14"/>
                <w:szCs w:val="18"/>
              </w:rPr>
            </w:pPr>
          </w:p>
        </w:tc>
        <w:tc>
          <w:tcPr>
            <w:tcW w:w="489" w:type="pct"/>
            <w:tcBorders>
              <w:left w:val="nil"/>
              <w:right w:val="nil"/>
            </w:tcBorders>
            <w:noWrap/>
            <w:hideMark/>
          </w:tcPr>
          <w:p w:rsidR="002E766E" w:rsidRPr="00FB7023" w:rsidRDefault="002E766E" w:rsidP="003C79F3">
            <w:pPr>
              <w:jc w:val="center"/>
              <w:rPr>
                <w:rFonts w:asciiTheme="majorHAnsi" w:hAnsiTheme="majorHAnsi" w:cstheme="minorHAnsi"/>
                <w:b/>
                <w:bCs/>
                <w:sz w:val="14"/>
                <w:szCs w:val="18"/>
              </w:rPr>
            </w:pPr>
          </w:p>
        </w:tc>
        <w:tc>
          <w:tcPr>
            <w:tcW w:w="435" w:type="pct"/>
            <w:tcBorders>
              <w:left w:val="nil"/>
            </w:tcBorders>
            <w:noWrap/>
            <w:hideMark/>
          </w:tcPr>
          <w:p w:rsidR="002E766E" w:rsidRPr="00FB7023" w:rsidRDefault="002E766E" w:rsidP="003C79F3">
            <w:pPr>
              <w:jc w:val="center"/>
              <w:rPr>
                <w:rFonts w:asciiTheme="majorHAnsi" w:hAnsiTheme="majorHAnsi" w:cstheme="minorHAnsi"/>
                <w:b/>
                <w:bCs/>
                <w:sz w:val="14"/>
                <w:szCs w:val="18"/>
              </w:rPr>
            </w:pPr>
          </w:p>
        </w:tc>
      </w:tr>
      <w:tr w:rsidR="002E766E" w:rsidRPr="00C55348" w:rsidTr="00F77B07">
        <w:trPr>
          <w:trHeight w:val="170"/>
          <w:tblHeader/>
        </w:trPr>
        <w:tc>
          <w:tcPr>
            <w:tcW w:w="331" w:type="pct"/>
            <w:noWrap/>
            <w:hideMark/>
          </w:tcPr>
          <w:p w:rsidR="002E766E" w:rsidRPr="002E766E" w:rsidRDefault="002E766E" w:rsidP="00FB7023">
            <w:pPr>
              <w:spacing w:before="60" w:after="60"/>
              <w:jc w:val="center"/>
              <w:rPr>
                <w:rFonts w:ascii="Arial Narrow" w:hAnsi="Arial Narrow" w:cstheme="minorHAnsi"/>
                <w:b/>
                <w:bCs/>
                <w:sz w:val="16"/>
                <w:szCs w:val="16"/>
              </w:rPr>
            </w:pPr>
            <w:r w:rsidRPr="002E766E">
              <w:rPr>
                <w:rFonts w:ascii="Arial Narrow" w:hAnsi="Arial Narrow" w:cstheme="minorHAnsi"/>
                <w:b/>
                <w:bCs/>
                <w:sz w:val="16"/>
                <w:szCs w:val="16"/>
              </w:rPr>
              <w:t>α/α</w:t>
            </w:r>
          </w:p>
        </w:tc>
        <w:tc>
          <w:tcPr>
            <w:tcW w:w="3745" w:type="pct"/>
            <w:noWrap/>
            <w:hideMark/>
          </w:tcPr>
          <w:p w:rsidR="002E766E" w:rsidRPr="002E766E" w:rsidRDefault="002E766E" w:rsidP="00FB7023">
            <w:pPr>
              <w:spacing w:before="60" w:after="60"/>
              <w:jc w:val="center"/>
              <w:rPr>
                <w:rFonts w:ascii="Arial Narrow" w:hAnsi="Arial Narrow" w:cstheme="minorHAnsi"/>
                <w:b/>
                <w:bCs/>
                <w:sz w:val="16"/>
                <w:szCs w:val="16"/>
              </w:rPr>
            </w:pPr>
            <w:r w:rsidRPr="002E766E">
              <w:rPr>
                <w:rFonts w:ascii="Arial Narrow" w:hAnsi="Arial Narrow" w:cstheme="minorHAnsi"/>
                <w:b/>
                <w:bCs/>
                <w:sz w:val="16"/>
                <w:szCs w:val="16"/>
              </w:rPr>
              <w:t>Περιγραφή</w:t>
            </w:r>
          </w:p>
        </w:tc>
        <w:tc>
          <w:tcPr>
            <w:tcW w:w="489" w:type="pct"/>
            <w:noWrap/>
            <w:hideMark/>
          </w:tcPr>
          <w:p w:rsidR="002E766E" w:rsidRPr="002E766E" w:rsidRDefault="002E766E" w:rsidP="00FB7023">
            <w:pPr>
              <w:spacing w:before="60" w:after="60"/>
              <w:jc w:val="center"/>
              <w:rPr>
                <w:rFonts w:ascii="Arial Narrow" w:hAnsi="Arial Narrow" w:cstheme="minorHAnsi"/>
                <w:b/>
                <w:bCs/>
                <w:sz w:val="16"/>
                <w:szCs w:val="16"/>
              </w:rPr>
            </w:pPr>
            <w:r w:rsidRPr="002E766E">
              <w:rPr>
                <w:rFonts w:ascii="Arial Narrow" w:hAnsi="Arial Narrow" w:cstheme="minorHAnsi"/>
                <w:b/>
                <w:bCs/>
                <w:sz w:val="16"/>
                <w:szCs w:val="16"/>
              </w:rPr>
              <w:t>2020</w:t>
            </w:r>
          </w:p>
        </w:tc>
        <w:tc>
          <w:tcPr>
            <w:tcW w:w="435" w:type="pct"/>
            <w:noWrap/>
            <w:hideMark/>
          </w:tcPr>
          <w:p w:rsidR="002E766E" w:rsidRPr="002E766E" w:rsidRDefault="002E766E" w:rsidP="00FB7023">
            <w:pPr>
              <w:spacing w:before="60" w:after="60"/>
              <w:jc w:val="center"/>
              <w:rPr>
                <w:rFonts w:ascii="Arial Narrow" w:hAnsi="Arial Narrow" w:cstheme="minorHAnsi"/>
                <w:b/>
                <w:bCs/>
                <w:sz w:val="16"/>
                <w:szCs w:val="16"/>
              </w:rPr>
            </w:pPr>
            <w:r w:rsidRPr="002E766E">
              <w:rPr>
                <w:rFonts w:ascii="Arial Narrow" w:hAnsi="Arial Narrow" w:cstheme="minorHAnsi"/>
                <w:b/>
                <w:bCs/>
                <w:sz w:val="16"/>
                <w:szCs w:val="16"/>
              </w:rPr>
              <w:t>2021</w:t>
            </w:r>
          </w:p>
        </w:tc>
      </w:tr>
      <w:tr w:rsidR="002E766E" w:rsidRPr="00C55348" w:rsidTr="002E766E">
        <w:trPr>
          <w:trHeight w:val="170"/>
        </w:trPr>
        <w:tc>
          <w:tcPr>
            <w:tcW w:w="331" w:type="pct"/>
            <w:shd w:val="clear" w:color="auto" w:fill="D9D9D9" w:themeFill="background1" w:themeFillShade="D9"/>
            <w:noWrap/>
            <w:hideMark/>
          </w:tcPr>
          <w:p w:rsidR="002E766E" w:rsidRPr="002E766E" w:rsidRDefault="002E766E" w:rsidP="003C79F3">
            <w:pPr>
              <w:jc w:val="center"/>
              <w:rPr>
                <w:rFonts w:ascii="Arial Narrow" w:hAnsi="Arial Narrow" w:cstheme="minorHAnsi"/>
                <w:b/>
                <w:bCs/>
                <w:sz w:val="16"/>
                <w:szCs w:val="16"/>
              </w:rPr>
            </w:pPr>
            <w:r w:rsidRPr="002E766E">
              <w:rPr>
                <w:rFonts w:ascii="Arial Narrow" w:hAnsi="Arial Narrow" w:cstheme="minorHAnsi"/>
                <w:b/>
                <w:bCs/>
                <w:sz w:val="16"/>
                <w:szCs w:val="16"/>
              </w:rPr>
              <w:t>Α</w:t>
            </w:r>
          </w:p>
        </w:tc>
        <w:tc>
          <w:tcPr>
            <w:tcW w:w="3745" w:type="pct"/>
            <w:shd w:val="clear" w:color="auto" w:fill="D9D9D9" w:themeFill="background1" w:themeFillShade="D9"/>
            <w:noWrap/>
            <w:hideMark/>
          </w:tcPr>
          <w:p w:rsidR="002E766E" w:rsidRPr="002E766E" w:rsidRDefault="002E766E" w:rsidP="003C79F3">
            <w:pPr>
              <w:rPr>
                <w:rFonts w:ascii="Arial Narrow" w:hAnsi="Arial Narrow" w:cstheme="minorHAnsi"/>
                <w:b/>
                <w:bCs/>
                <w:sz w:val="16"/>
                <w:szCs w:val="16"/>
              </w:rPr>
            </w:pPr>
            <w:r w:rsidRPr="002E766E">
              <w:rPr>
                <w:rFonts w:ascii="Arial Narrow" w:hAnsi="Arial Narrow" w:cstheme="minorHAnsi"/>
                <w:b/>
                <w:bCs/>
                <w:sz w:val="16"/>
                <w:szCs w:val="16"/>
              </w:rPr>
              <w:t>Παρεμβάσεις στο σκέλος των εσόδων της Γενικής Κυβέρνησης</w:t>
            </w:r>
          </w:p>
        </w:tc>
        <w:tc>
          <w:tcPr>
            <w:tcW w:w="489" w:type="pct"/>
            <w:shd w:val="clear" w:color="auto" w:fill="D9D9D9" w:themeFill="background1" w:themeFillShade="D9"/>
            <w:noWrap/>
            <w:hideMark/>
          </w:tcPr>
          <w:p w:rsidR="002E766E" w:rsidRPr="002E766E" w:rsidRDefault="002E766E" w:rsidP="002E766E">
            <w:pPr>
              <w:jc w:val="right"/>
              <w:rPr>
                <w:rFonts w:ascii="Arial Narrow" w:hAnsi="Arial Narrow" w:cstheme="minorHAnsi"/>
                <w:b/>
                <w:bCs/>
                <w:sz w:val="16"/>
                <w:szCs w:val="16"/>
              </w:rPr>
            </w:pPr>
            <w:r w:rsidRPr="002E766E">
              <w:rPr>
                <w:rFonts w:ascii="Arial Narrow" w:hAnsi="Arial Narrow" w:cstheme="minorHAnsi"/>
                <w:b/>
                <w:bCs/>
                <w:sz w:val="16"/>
                <w:szCs w:val="16"/>
              </w:rPr>
              <w:t>-4.920</w:t>
            </w:r>
          </w:p>
        </w:tc>
        <w:tc>
          <w:tcPr>
            <w:tcW w:w="435" w:type="pct"/>
            <w:shd w:val="clear" w:color="auto" w:fill="D9D9D9" w:themeFill="background1" w:themeFillShade="D9"/>
            <w:noWrap/>
            <w:hideMark/>
          </w:tcPr>
          <w:p w:rsidR="002E766E" w:rsidRPr="002E766E" w:rsidRDefault="002E766E" w:rsidP="002E766E">
            <w:pPr>
              <w:jc w:val="right"/>
              <w:rPr>
                <w:rFonts w:ascii="Arial Narrow" w:hAnsi="Arial Narrow" w:cstheme="minorHAnsi"/>
                <w:b/>
                <w:bCs/>
                <w:sz w:val="16"/>
                <w:szCs w:val="16"/>
              </w:rPr>
            </w:pPr>
            <w:r w:rsidRPr="002E766E">
              <w:rPr>
                <w:rFonts w:ascii="Arial Narrow" w:hAnsi="Arial Narrow" w:cstheme="minorHAnsi"/>
                <w:b/>
                <w:bCs/>
                <w:sz w:val="16"/>
                <w:szCs w:val="16"/>
              </w:rPr>
              <w:t>-1.783</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1</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Μείωση κατά τρεις ποσοστιαίες μονάδες των ασφαλιστικών εισφορών των μισθωτών του ιδιωτικού τομέα</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-816</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2</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Αναστολή καταβολής Ειδικής Εισφοράς Αλληλεγγύης στον ιδιωτικό τομέα</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-767</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3</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Μείωση προκαταβολής φόρου εισοδήματος φυσικών και νομικών προσώπων σε ελεύθερους επαγγελματίες και επιχειρήσεις που επλήγησαν από την πανδημία Covid-19</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-1.600</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4</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Κάλυψη από τον κρατικό προϋπολογισμό των ασφαλιστικών εισφορών επί του ονομαστικού μισθού, των εργαζ</w:t>
            </w:r>
            <w:r w:rsidRPr="002E766E">
              <w:rPr>
                <w:rFonts w:ascii="Arial Narrow" w:hAnsi="Arial Narrow" w:cstheme="minorHAnsi"/>
                <w:sz w:val="16"/>
                <w:szCs w:val="16"/>
              </w:rPr>
              <w:t>ο</w:t>
            </w:r>
            <w:r w:rsidRPr="002E766E">
              <w:rPr>
                <w:rFonts w:ascii="Arial Narrow" w:hAnsi="Arial Narrow" w:cstheme="minorHAnsi"/>
                <w:sz w:val="16"/>
                <w:szCs w:val="16"/>
              </w:rPr>
              <w:t>μένων των οποίων οι συμβάσεις εργασίας τίθενται σε προσωρινή αναστολή</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-838</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-246</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5</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Κάλυψη από τον κρατικό προϋπολογισμό των εργοδοτικών ασφαλιστικών εισφορών των υπαλλήλων των εποχ</w:t>
            </w:r>
            <w:r w:rsidRPr="002E766E">
              <w:rPr>
                <w:rFonts w:ascii="Arial Narrow" w:hAnsi="Arial Narrow" w:cstheme="minorHAnsi"/>
                <w:sz w:val="16"/>
                <w:szCs w:val="16"/>
              </w:rPr>
              <w:t>ι</w:t>
            </w:r>
            <w:r w:rsidRPr="002E766E">
              <w:rPr>
                <w:rFonts w:ascii="Arial Narrow" w:hAnsi="Arial Narrow" w:cstheme="minorHAnsi"/>
                <w:sz w:val="16"/>
                <w:szCs w:val="16"/>
              </w:rPr>
              <w:t>κών επιχειρήσεων</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-240</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6</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Αναστολή πληρωμών ΦΠΑ σε επιχειρήσεις, αυτοαπασχολούμενους και ελεύθερους επαγγελματίες</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-744</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174</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7</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Αναστολή πληρωμών των τρεχουσών ασφαλιστικών εισφορών για επιχειρήσεις, αυτοαπασχολούμενους και ελε</w:t>
            </w:r>
            <w:r w:rsidRPr="002E766E">
              <w:rPr>
                <w:rFonts w:ascii="Arial Narrow" w:hAnsi="Arial Narrow" w:cstheme="minorHAnsi"/>
                <w:sz w:val="16"/>
                <w:szCs w:val="16"/>
              </w:rPr>
              <w:t>ύ</w:t>
            </w:r>
            <w:r w:rsidRPr="002E766E">
              <w:rPr>
                <w:rFonts w:ascii="Arial Narrow" w:hAnsi="Arial Narrow" w:cstheme="minorHAnsi"/>
                <w:sz w:val="16"/>
                <w:szCs w:val="16"/>
              </w:rPr>
              <w:t>θερους επαγγελματίες</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-315</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46</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8</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Αναστολή πληρωμών βεβαιωμένων οφειλών και δόσεων ρυθμίσεων φορολογικών υποχρεώσεων για επιχειρήσεις, αυτοαπασχολούμενους, εργαζόμενους και ελεύθερους επαγγελματίες</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-251</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9</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Αναστολή πληρωμών δόσεων ρυθμίσεων οφειλών προς τα ασφαλιστικά ταμεία για επιχειρήσεις, αυτοαπασχ</w:t>
            </w:r>
            <w:r w:rsidRPr="002E766E">
              <w:rPr>
                <w:rFonts w:ascii="Arial Narrow" w:hAnsi="Arial Narrow" w:cstheme="minorHAnsi"/>
                <w:sz w:val="16"/>
                <w:szCs w:val="16"/>
              </w:rPr>
              <w:t>ο</w:t>
            </w:r>
            <w:r w:rsidRPr="002E766E">
              <w:rPr>
                <w:rFonts w:ascii="Arial Narrow" w:hAnsi="Arial Narrow" w:cstheme="minorHAnsi"/>
                <w:sz w:val="16"/>
                <w:szCs w:val="16"/>
              </w:rPr>
              <w:t>λούμενους και ελεύθερους επαγγελματίες</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-247</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10</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Αναστολή πληρωμής φορολογικών υποχρεώσεων για τους ιδιοκτήτες ακινήτων που έλαβαν μειωμένο ενοίκιο</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-10</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4</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11</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Συμψηφισμός κατά 25% με μελλοντικές φορολογικές υποχρεώσεις της εμπρόθεσμης καταβολής ΦΠΑ</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-154</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12</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Έκπτωση κατά 25% στις ρυθμισμένες φορολογικές και ασφαλιστικές οφειλές που πληρώθηκαν εμπρόθεσμα, από εργαζόμενους εταιρειών που επλήγησαν από την πανδημία καθώς και από επιχειρήσεις, ελεύθερους επαγγελματ</w:t>
            </w:r>
            <w:r w:rsidRPr="002E766E">
              <w:rPr>
                <w:rFonts w:ascii="Arial Narrow" w:hAnsi="Arial Narrow" w:cstheme="minorHAnsi"/>
                <w:sz w:val="16"/>
                <w:szCs w:val="16"/>
              </w:rPr>
              <w:t>ί</w:t>
            </w:r>
            <w:r w:rsidRPr="002E766E">
              <w:rPr>
                <w:rFonts w:ascii="Arial Narrow" w:hAnsi="Arial Narrow" w:cstheme="minorHAnsi"/>
                <w:sz w:val="16"/>
                <w:szCs w:val="16"/>
              </w:rPr>
              <w:t>ες και  αυτοαπασχολούμενους</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-101</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13</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Μη καταβολή δημοτικών τελών για επιχειρήσεις των οποίων η λειτουργία ανεστάλη με κρατική εντολή λόγω της πανδημίας Covid-19</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-160</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14</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Μείωση συντελεστή ΦΠΑ στις υπηρεσίες μεταφοράς προσώπων και των αποσκευών τους</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-94</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-54</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15</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Μείωση συντελεστή ΦΠΑ σε μη αλκοολούχα ποτά και σε υπηρεσίες διάθεσης μη αλκοολούχων ποτών και ροφ</w:t>
            </w:r>
            <w:r w:rsidRPr="002E766E">
              <w:rPr>
                <w:rFonts w:ascii="Arial Narrow" w:hAnsi="Arial Narrow" w:cstheme="minorHAnsi"/>
                <w:sz w:val="16"/>
                <w:szCs w:val="16"/>
              </w:rPr>
              <w:t>η</w:t>
            </w:r>
            <w:r w:rsidRPr="002E766E">
              <w:rPr>
                <w:rFonts w:ascii="Arial Narrow" w:hAnsi="Arial Narrow" w:cstheme="minorHAnsi"/>
                <w:sz w:val="16"/>
                <w:szCs w:val="16"/>
              </w:rPr>
              <w:t>μάτων</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-67</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-38</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16</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Μείωση συντελεστή ΦΠΑ στα εισιτήρια κινηματογράφων, θεατρικών παραστάσεων και συναυλιών</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-11</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-6</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lastRenderedPageBreak/>
              <w:t>17</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Μείωση συντελεστή ΦΠΑ στο τουριστικό πακέτο από 80/20 σε 90/10</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-1</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-1</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18</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Μείωση συντελεστή ΦΠΑ από 24% σε 6%, για προϊόντα και παρασκευάσματα ατομικής υγιεινής (μάσκες, γάντια κλπ.)</w:t>
            </w:r>
          </w:p>
        </w:tc>
        <w:tc>
          <w:tcPr>
            <w:tcW w:w="489" w:type="pct"/>
            <w:noWrap/>
            <w:hideMark/>
          </w:tcPr>
          <w:p w:rsidR="002E766E" w:rsidRPr="002E766E" w:rsidRDefault="00D2319F" w:rsidP="002E766E">
            <w:pPr>
              <w:jc w:val="right"/>
              <w:rPr>
                <w:rFonts w:ascii="Arial Narrow" w:hAnsi="Arial Narrow" w:cstheme="minorHAnsi"/>
                <w:sz w:val="16"/>
                <w:szCs w:val="16"/>
              </w:rPr>
            </w:pPr>
            <w:r>
              <w:rPr>
                <w:rFonts w:ascii="Arial Narrow" w:hAnsi="Arial Narrow" w:cstheme="minorHAnsi"/>
                <w:sz w:val="16"/>
                <w:szCs w:val="16"/>
              </w:rPr>
              <w:t>-0,4</w:t>
            </w:r>
          </w:p>
        </w:tc>
        <w:tc>
          <w:tcPr>
            <w:tcW w:w="435" w:type="pct"/>
            <w:noWrap/>
            <w:hideMark/>
          </w:tcPr>
          <w:p w:rsidR="002E766E" w:rsidRPr="002E766E" w:rsidRDefault="00D2319F" w:rsidP="002E766E">
            <w:pPr>
              <w:jc w:val="right"/>
              <w:rPr>
                <w:rFonts w:ascii="Arial Narrow" w:hAnsi="Arial Narrow" w:cstheme="minorHAnsi"/>
                <w:sz w:val="16"/>
                <w:szCs w:val="16"/>
              </w:rPr>
            </w:pPr>
            <w:r>
              <w:rPr>
                <w:rFonts w:ascii="Arial Narrow" w:hAnsi="Arial Narrow" w:cstheme="minorHAnsi"/>
                <w:sz w:val="16"/>
                <w:szCs w:val="16"/>
              </w:rPr>
              <w:t>-0,3</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19</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Αναστολή πληρωμής τέλους συνδρομητικής τηλεόρασης</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-5</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-14</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20</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Έκπτωση φόρου, για εκμισθωτές ακινήτων που έλαβαν μειωμένο μίσθωμα λόγω της πανδημίας</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-69</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21</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 xml:space="preserve">Απώλεια εσόδων ΕΤΑΔ και ΟΤΑ από την μείωση κατά 40% για επαγγελματικές μισθώσεις επιχειρήσεων που </w:t>
            </w:r>
            <w:r w:rsidRPr="002E766E">
              <w:rPr>
                <w:rFonts w:ascii="Arial Narrow" w:hAnsi="Arial Narrow" w:cstheme="minorHAnsi"/>
                <w:sz w:val="16"/>
                <w:szCs w:val="16"/>
              </w:rPr>
              <w:t>ε</w:t>
            </w:r>
            <w:r w:rsidRPr="002E766E">
              <w:rPr>
                <w:rFonts w:ascii="Arial Narrow" w:hAnsi="Arial Narrow" w:cstheme="minorHAnsi"/>
                <w:sz w:val="16"/>
                <w:szCs w:val="16"/>
              </w:rPr>
              <w:t>πλήγησαν από την πανδημία Covid-19</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-13</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-1</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22</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Απώλεια φορολογικών εσόδων από την μείωση 40% στις μισθώσεις κύριας κατοικίας εργαζομένων των οποίων η σύμβαση εργασίας είναι σε αναστολή, στις μισθώσεις για την κάλυψη στεγαστικών αναγκών φοιτητών που είναι τέκνα/εξαρτημένα μέλη των ως άνω, καθώς και στις επαγγελματικές μισθώσεις επιχειρήσεων</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-63</w:t>
            </w:r>
          </w:p>
        </w:tc>
      </w:tr>
      <w:tr w:rsidR="002E766E" w:rsidRPr="00C55348" w:rsidTr="002E766E">
        <w:trPr>
          <w:trHeight w:val="170"/>
        </w:trPr>
        <w:tc>
          <w:tcPr>
            <w:tcW w:w="331" w:type="pct"/>
            <w:shd w:val="clear" w:color="auto" w:fill="D9D9D9" w:themeFill="background1" w:themeFillShade="D9"/>
            <w:noWrap/>
            <w:hideMark/>
          </w:tcPr>
          <w:p w:rsidR="002E766E" w:rsidRPr="002E766E" w:rsidRDefault="002E766E" w:rsidP="003C79F3">
            <w:pPr>
              <w:jc w:val="center"/>
              <w:rPr>
                <w:rFonts w:ascii="Arial Narrow" w:hAnsi="Arial Narrow" w:cstheme="minorHAnsi"/>
                <w:b/>
                <w:bCs/>
                <w:sz w:val="16"/>
                <w:szCs w:val="16"/>
              </w:rPr>
            </w:pPr>
            <w:r w:rsidRPr="002E766E">
              <w:rPr>
                <w:rFonts w:ascii="Arial Narrow" w:hAnsi="Arial Narrow" w:cstheme="minorHAnsi"/>
                <w:b/>
                <w:bCs/>
                <w:sz w:val="16"/>
                <w:szCs w:val="16"/>
              </w:rPr>
              <w:t>Β</w:t>
            </w:r>
          </w:p>
        </w:tc>
        <w:tc>
          <w:tcPr>
            <w:tcW w:w="3745" w:type="pct"/>
            <w:shd w:val="clear" w:color="auto" w:fill="D9D9D9" w:themeFill="background1" w:themeFillShade="D9"/>
            <w:noWrap/>
            <w:hideMark/>
          </w:tcPr>
          <w:p w:rsidR="002E766E" w:rsidRPr="002E766E" w:rsidRDefault="002E766E" w:rsidP="003C79F3">
            <w:pPr>
              <w:rPr>
                <w:rFonts w:ascii="Arial Narrow" w:hAnsi="Arial Narrow" w:cstheme="minorHAnsi"/>
                <w:b/>
                <w:bCs/>
                <w:sz w:val="16"/>
                <w:szCs w:val="16"/>
              </w:rPr>
            </w:pPr>
            <w:r w:rsidRPr="002E766E">
              <w:rPr>
                <w:rFonts w:ascii="Arial Narrow" w:hAnsi="Arial Narrow" w:cstheme="minorHAnsi"/>
                <w:b/>
                <w:bCs/>
                <w:sz w:val="16"/>
                <w:szCs w:val="16"/>
              </w:rPr>
              <w:t>Παρεμβάσεις στο σκέλος των δαπανών της Γενικής Κυβέρνησης</w:t>
            </w:r>
          </w:p>
        </w:tc>
        <w:tc>
          <w:tcPr>
            <w:tcW w:w="489" w:type="pct"/>
            <w:shd w:val="clear" w:color="auto" w:fill="D9D9D9" w:themeFill="background1" w:themeFillShade="D9"/>
            <w:noWrap/>
            <w:hideMark/>
          </w:tcPr>
          <w:p w:rsidR="002E766E" w:rsidRPr="002E766E" w:rsidRDefault="002E766E" w:rsidP="002E766E">
            <w:pPr>
              <w:jc w:val="right"/>
              <w:rPr>
                <w:rFonts w:ascii="Arial Narrow" w:hAnsi="Arial Narrow" w:cstheme="minorHAnsi"/>
                <w:b/>
                <w:bCs/>
                <w:sz w:val="16"/>
                <w:szCs w:val="16"/>
              </w:rPr>
            </w:pPr>
            <w:r w:rsidRPr="002E766E">
              <w:rPr>
                <w:rFonts w:ascii="Arial Narrow" w:hAnsi="Arial Narrow" w:cstheme="minorHAnsi"/>
                <w:b/>
                <w:bCs/>
                <w:sz w:val="16"/>
                <w:szCs w:val="16"/>
              </w:rPr>
              <w:t>-10.730</w:t>
            </w:r>
          </w:p>
        </w:tc>
        <w:tc>
          <w:tcPr>
            <w:tcW w:w="435" w:type="pct"/>
            <w:shd w:val="clear" w:color="auto" w:fill="D9D9D9" w:themeFill="background1" w:themeFillShade="D9"/>
            <w:noWrap/>
            <w:hideMark/>
          </w:tcPr>
          <w:p w:rsidR="002E766E" w:rsidRPr="002E766E" w:rsidRDefault="002E766E" w:rsidP="002E766E">
            <w:pPr>
              <w:jc w:val="right"/>
              <w:rPr>
                <w:rFonts w:ascii="Arial Narrow" w:hAnsi="Arial Narrow" w:cstheme="minorHAnsi"/>
                <w:b/>
                <w:bCs/>
                <w:sz w:val="16"/>
                <w:szCs w:val="16"/>
              </w:rPr>
            </w:pPr>
            <w:r w:rsidRPr="002E766E">
              <w:rPr>
                <w:rFonts w:ascii="Arial Narrow" w:hAnsi="Arial Narrow" w:cstheme="minorHAnsi"/>
                <w:b/>
                <w:bCs/>
                <w:sz w:val="16"/>
                <w:szCs w:val="16"/>
              </w:rPr>
              <w:t>-2.539</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1</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Χρηματοδότηση επιχειρήσεων με τη μορφή επιστρεπτέας προκαταβολής</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-5.368</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2</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Κάλυψη των ασφαλιστικών εισφορών από τον κρατικό προϋπολογισμό και επιδότηση 200 ευρώ σε περίπτωση πρόσληψης μακροχρόνια ανέργου, για περίοδο 6 μηνών, στο πλαίσιο του προγράμματος για τη δημιουργία 100.000 νέων θέσεων εργασίας</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-26</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-322</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3</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 xml:space="preserve">Πρόγραμμα </w:t>
            </w:r>
            <w:r w:rsidR="00FC77EF">
              <w:rPr>
                <w:rFonts w:ascii="Arial Narrow" w:hAnsi="Arial Narrow" w:cstheme="minorHAnsi"/>
                <w:sz w:val="16"/>
                <w:szCs w:val="16"/>
              </w:rPr>
              <w:t>«ΓΕΦΥΡΑ»</w:t>
            </w:r>
            <w:r w:rsidRPr="002E766E">
              <w:rPr>
                <w:rFonts w:ascii="Arial Narrow" w:hAnsi="Arial Narrow" w:cstheme="minorHAnsi"/>
                <w:sz w:val="16"/>
                <w:szCs w:val="16"/>
              </w:rPr>
              <w:t xml:space="preserve"> που αφορά στην επιδότηση της πρώτης κατοικίας για δανειολήπτες που επλήγησαν από την πανδημία Covid-19</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-108</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-280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4</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Αποζημίωση ειδικού σκοπού ύψους 534 ευρώ σε μηναία βάση των εργαζομένων των οποίων οι συμβάσεις εργ</w:t>
            </w:r>
            <w:r w:rsidRPr="002E766E">
              <w:rPr>
                <w:rFonts w:ascii="Arial Narrow" w:hAnsi="Arial Narrow" w:cstheme="minorHAnsi"/>
                <w:sz w:val="16"/>
                <w:szCs w:val="16"/>
              </w:rPr>
              <w:t>α</w:t>
            </w:r>
            <w:r w:rsidRPr="002E766E">
              <w:rPr>
                <w:rFonts w:ascii="Arial Narrow" w:hAnsi="Arial Narrow" w:cstheme="minorHAnsi"/>
                <w:sz w:val="16"/>
                <w:szCs w:val="16"/>
              </w:rPr>
              <w:t>σίας έχουν τεθεί σε προσωρινή αναστολή</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-1.624</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-439</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5</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Κάλυψη από τον κρατικό προϋπολογισμό του μέρους του δώρου Πάσχα που αναλογεί στη χρονική περίοδο της προσωρινής αναστολής της σύμβασης εργασίας</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-130</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6</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Κάλυψη από τον κρατικό προϋπολογισμό των εργοδοτικών ασφαλιστικών εισφορών και του επιδόματος αδείας των εργαζομένων σε ξενοδοχεία δωδεκάμηνης λειτουργίας</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-23</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7</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Προσαύξηση αποζημίωσης ειδικού σκοπού για τον μήνα Νοέμβριο 2020 και κάλυψη του πρόσθετου κόστους του δώρου Χριστουγέννων των υπαλλήλων που λαμβάνουν αποζημίωση ειδικού σκοπού λόγω προσωρινής αναστ</w:t>
            </w:r>
            <w:r w:rsidRPr="002E766E">
              <w:rPr>
                <w:rFonts w:ascii="Arial Narrow" w:hAnsi="Arial Narrow" w:cstheme="minorHAnsi"/>
                <w:sz w:val="16"/>
                <w:szCs w:val="16"/>
              </w:rPr>
              <w:t>ο</w:t>
            </w:r>
            <w:r w:rsidRPr="002E766E">
              <w:rPr>
                <w:rFonts w:ascii="Arial Narrow" w:hAnsi="Arial Narrow" w:cstheme="minorHAnsi"/>
                <w:sz w:val="16"/>
                <w:szCs w:val="16"/>
              </w:rPr>
              <w:t>λής της σύμβασης εργασίας</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-215</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-301</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8</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Αποζημίωση ειδικού σκοπού ύψους 534 ευρώ σε μηνιαία βάση στους εποχικά εργαζόμενους του τουριστικού κλ</w:t>
            </w:r>
            <w:r w:rsidRPr="002E766E">
              <w:rPr>
                <w:rFonts w:ascii="Arial Narrow" w:hAnsi="Arial Narrow" w:cstheme="minorHAnsi"/>
                <w:sz w:val="16"/>
                <w:szCs w:val="16"/>
              </w:rPr>
              <w:t>ά</w:t>
            </w:r>
            <w:r w:rsidRPr="002E766E">
              <w:rPr>
                <w:rFonts w:ascii="Arial Narrow" w:hAnsi="Arial Narrow" w:cstheme="minorHAnsi"/>
                <w:sz w:val="16"/>
                <w:szCs w:val="16"/>
              </w:rPr>
              <w:t>δου</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-208</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9</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Αποζημίωση ειδικού σκοπού ύψους 534 ευρώ σε μηναία βάση για αυτοαπασχολούμενους, ιδιοκτήτες μικρών επ</w:t>
            </w:r>
            <w:r w:rsidRPr="002E766E">
              <w:rPr>
                <w:rFonts w:ascii="Arial Narrow" w:hAnsi="Arial Narrow" w:cstheme="minorHAnsi"/>
                <w:sz w:val="16"/>
                <w:szCs w:val="16"/>
              </w:rPr>
              <w:t>ι</w:t>
            </w:r>
            <w:r w:rsidRPr="002E766E">
              <w:rPr>
                <w:rFonts w:ascii="Arial Narrow" w:hAnsi="Arial Narrow" w:cstheme="minorHAnsi"/>
                <w:sz w:val="16"/>
                <w:szCs w:val="16"/>
              </w:rPr>
              <w:t>χειρήσεων (με έως και 20 υπαλλήλους) και ελεύθερους επαγγελματίες που επλήγησαν από την πανδημία  Covid -19, βάση συγκεκριμένων ΚΑΔ</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-495</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10</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Αποζημίωση ειδικού σκοπού ύψους 600 ευρώ σε έξι επιστημονικούς κλάδους (οικονομολόγους/ λογιστές, μηχαν</w:t>
            </w:r>
            <w:r w:rsidRPr="002E766E">
              <w:rPr>
                <w:rFonts w:ascii="Arial Narrow" w:hAnsi="Arial Narrow" w:cstheme="minorHAnsi"/>
                <w:sz w:val="16"/>
                <w:szCs w:val="16"/>
              </w:rPr>
              <w:t>ι</w:t>
            </w:r>
            <w:r w:rsidRPr="002E766E">
              <w:rPr>
                <w:rFonts w:ascii="Arial Narrow" w:hAnsi="Arial Narrow" w:cstheme="minorHAnsi"/>
                <w:sz w:val="16"/>
                <w:szCs w:val="16"/>
              </w:rPr>
              <w:t>κούς, δικηγόρους, ιατρούς, εκπαιδευτικούς και ερευνητές)</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-103</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11</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 xml:space="preserve">Πρόγραμμα βραχυχρόνιας απασχόλησης </w:t>
            </w:r>
            <w:r w:rsidR="00FC77EF">
              <w:rPr>
                <w:rFonts w:ascii="Arial Narrow" w:hAnsi="Arial Narrow" w:cstheme="minorHAnsi"/>
                <w:sz w:val="16"/>
                <w:szCs w:val="16"/>
              </w:rPr>
              <w:t>«ΣΥΝΕΡΓΑΣΙΑ»</w:t>
            </w:r>
            <w:r w:rsidRPr="002E766E">
              <w:rPr>
                <w:rFonts w:ascii="Arial Narrow" w:hAnsi="Arial Narrow" w:cstheme="minorHAnsi"/>
                <w:sz w:val="16"/>
                <w:szCs w:val="16"/>
              </w:rPr>
              <w:t xml:space="preserve"> με κάλυψη 60% του καθαρού μισθού και των ασφαλ</w:t>
            </w:r>
            <w:r w:rsidRPr="002E766E">
              <w:rPr>
                <w:rFonts w:ascii="Arial Narrow" w:hAnsi="Arial Narrow" w:cstheme="minorHAnsi"/>
                <w:sz w:val="16"/>
                <w:szCs w:val="16"/>
              </w:rPr>
              <w:t>ι</w:t>
            </w:r>
            <w:r w:rsidRPr="002E766E">
              <w:rPr>
                <w:rFonts w:ascii="Arial Narrow" w:hAnsi="Arial Narrow" w:cstheme="minorHAnsi"/>
                <w:sz w:val="16"/>
                <w:szCs w:val="16"/>
              </w:rPr>
              <w:t>στικών εισφορών επί του ονομαστικού μισθού για το χρόνο μειωμένης απασχόλησης</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-76</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-24</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12</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 xml:space="preserve">Κάλυψη πρόσθετου κόστους του προγράμματος βραχυχρόνιας απασχόλησης </w:t>
            </w:r>
            <w:r w:rsidR="00FC77EF">
              <w:rPr>
                <w:rFonts w:ascii="Arial Narrow" w:hAnsi="Arial Narrow" w:cstheme="minorHAnsi"/>
                <w:sz w:val="16"/>
                <w:szCs w:val="16"/>
              </w:rPr>
              <w:t>«ΣΥΝΕΡΓΑΣΙΑ»</w:t>
            </w:r>
            <w:r w:rsidRPr="002E766E">
              <w:rPr>
                <w:rFonts w:ascii="Arial Narrow" w:hAnsi="Arial Narrow" w:cstheme="minorHAnsi"/>
                <w:sz w:val="16"/>
                <w:szCs w:val="16"/>
              </w:rPr>
              <w:t xml:space="preserve"> για καταβολή επ</w:t>
            </w:r>
            <w:r w:rsidRPr="002E766E">
              <w:rPr>
                <w:rFonts w:ascii="Arial Narrow" w:hAnsi="Arial Narrow" w:cstheme="minorHAnsi"/>
                <w:sz w:val="16"/>
                <w:szCs w:val="16"/>
              </w:rPr>
              <w:t>ι</w:t>
            </w:r>
            <w:r w:rsidRPr="002E766E">
              <w:rPr>
                <w:rFonts w:ascii="Arial Narrow" w:hAnsi="Arial Narrow" w:cstheme="minorHAnsi"/>
                <w:sz w:val="16"/>
                <w:szCs w:val="16"/>
              </w:rPr>
              <w:t>δόματος αδείας και δώρου Χριστουγέννων</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-18</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13</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Παράταση του τακτικού επιδόματος ανεργίας, καθώς και του επιδόματος μακροχρόνιας ανεργίας κατά δύο μήνες</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-770</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-78</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14</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Έκτακτο επίδομα ανεργίας, ύψους 400 ευρώ, σε φυσικά πρόσωπα που έγιναν μακροχρόνια άνεργοι</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-117</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15</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Επέκταση του επιδόματος ανεργίας στους εποχικούς εργαζόμενους</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-28</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16</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Επιδότηση επιτοκίου των επιχειρηματικών δανείων των επιχειρήσεων οι οποίες ανήκουν σε πληττόμενους κλ</w:t>
            </w:r>
            <w:r w:rsidRPr="002E766E">
              <w:rPr>
                <w:rFonts w:ascii="Arial Narrow" w:hAnsi="Arial Narrow" w:cstheme="minorHAnsi"/>
                <w:sz w:val="16"/>
                <w:szCs w:val="16"/>
              </w:rPr>
              <w:t>ά</w:t>
            </w:r>
            <w:r w:rsidRPr="002E766E">
              <w:rPr>
                <w:rFonts w:ascii="Arial Narrow" w:hAnsi="Arial Narrow" w:cstheme="minorHAnsi"/>
                <w:sz w:val="16"/>
                <w:szCs w:val="16"/>
              </w:rPr>
              <w:t>δους, υπό την προϋπόθεση της διατήρησης των θέσεων εργασίας</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-179</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17</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Κάλυψη δαπανών λόγω της πανδημίας Covid-19 για την ενίσχυση του Εθνικού Συστήματος Υγείας (εξοπλισμός/</w:t>
            </w:r>
            <w:r w:rsidR="00D66598">
              <w:rPr>
                <w:rFonts w:ascii="Arial Narrow" w:hAnsi="Arial Narrow" w:cstheme="minorHAnsi"/>
                <w:sz w:val="16"/>
                <w:szCs w:val="16"/>
              </w:rPr>
              <w:t xml:space="preserve"> </w:t>
            </w:r>
            <w:r w:rsidRPr="002E766E">
              <w:rPr>
                <w:rFonts w:ascii="Arial Narrow" w:hAnsi="Arial Narrow" w:cstheme="minorHAnsi"/>
                <w:sz w:val="16"/>
                <w:szCs w:val="16"/>
              </w:rPr>
              <w:t>υποδομές και αναλώσιμα)</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-367</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18</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Προσλήψεις έκτακτου υγειονομικού προσωπικού</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-85</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-131</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19</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Καταβολή έκτακτης οικονομικής ενίσχυσης το Πάσχα στους εργαζόμενους των νοσοκομείων, του ΕΟΔΥ, του  ΕΚΑΒ, και της Πολιτικής Προστασίας</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-90</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20</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Κάλυψη των έκτακτων δαπανών, λόγω της πανδημίας Covid-19, των φορέων της Κεντρικής Διοίκησης</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-292</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21</w:t>
            </w:r>
          </w:p>
        </w:tc>
        <w:tc>
          <w:tcPr>
            <w:tcW w:w="3745" w:type="pct"/>
            <w:hideMark/>
          </w:tcPr>
          <w:p w:rsidR="002E766E" w:rsidRPr="002E766E" w:rsidRDefault="002E766E" w:rsidP="00C46487">
            <w:pPr>
              <w:rPr>
                <w:rFonts w:ascii="Arial Narrow" w:hAnsi="Arial Narrow" w:cstheme="minorHAnsi"/>
                <w:sz w:val="16"/>
                <w:szCs w:val="16"/>
              </w:rPr>
            </w:pPr>
            <w:r w:rsidRPr="002E766E">
              <w:rPr>
                <w:rFonts w:ascii="Arial Narrow" w:hAnsi="Arial Narrow" w:cstheme="minorHAnsi"/>
                <w:sz w:val="16"/>
                <w:szCs w:val="16"/>
              </w:rPr>
              <w:t>Νέες προσλήψεις στα μέσα μεταφοράς (ΟΣΥ/ΣΤΑΣΥ)</w:t>
            </w:r>
            <w:r w:rsidR="00C46487">
              <w:rPr>
                <w:rFonts w:ascii="Arial Narrow" w:hAnsi="Arial Narrow" w:cstheme="minorHAnsi"/>
                <w:sz w:val="16"/>
                <w:szCs w:val="16"/>
              </w:rPr>
              <w:t>,</w:t>
            </w:r>
            <w:r w:rsidRPr="002E766E">
              <w:rPr>
                <w:rFonts w:ascii="Arial Narrow" w:hAnsi="Arial Narrow" w:cstheme="minorHAnsi"/>
                <w:sz w:val="16"/>
                <w:szCs w:val="16"/>
              </w:rPr>
              <w:t xml:space="preserve"> χρηματοδοτική μίσθωση (leasing) επιπλέον λεωφορείων</w:t>
            </w:r>
            <w:r w:rsidR="00C46487">
              <w:rPr>
                <w:rFonts w:ascii="Arial Narrow" w:hAnsi="Arial Narrow" w:cstheme="minorHAnsi"/>
                <w:sz w:val="16"/>
                <w:szCs w:val="16"/>
              </w:rPr>
              <w:t xml:space="preserve"> και σύμβαση με ΚΤΕΛ</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-4</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-50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22</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Άδεια ειδικού σκοπού για εργαζόμενους με παιδιά που φοιτούν σε σχολεία (για την περίοδο που τα σχολεία είναι  κλειστά λόγω της πανδημίας Covid-19)</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-20</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23</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Ενίσχυση του προγράμματος κοινωνικού τουρισμού του Υπουργείου Τουρισμού</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-20</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-80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24</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Ενίσχυση του προγράμματος κοινωνικού τουρισμού του ΟΑΕΔ</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-17</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-10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25</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Κάλυψη της διαφημιστικής δαπάνης του ΕΟΤ</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-23</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26</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Επιπρόσθετη στήριξη του πρωτογενούς τομέα παραγωγής από το Υπουργείο Αγροτικής Ανάπτυξης και Τροφίμων</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-150</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27</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Επιπλέον επιχορήγηση στο Υπουργείο Πολιτισμού για την ενίσχυση  του κλάδου του πολιτισμού</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-25</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28</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Αποζημίωση σε εταιρείες ΚΤΕΛ και την ΤΡΑΙΝΟΣΕ για τους περιορισμούς που επιβλήθηκαν στις θέσεις επιβατών</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-49</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29</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Αποζημίωση ακτοπλοϊκών γραμμών</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-53</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30</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Αποζημίωση σε ερασιτεχνικούς αθλητικούς συλλόγους</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-12</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31</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Αποζημίωση ανά θέση επιβάτη στις αεροπορικές εταιρείες</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-6</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32</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Καταβολή του 50% του απολεσθέντος μισθώματος στους ιδιοκτήτες ακινήτων που εισπράττουν μειωμένο ενοίκιο κατά 40% λόγω της πανδημίας</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-29</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33</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Ενίσχυση επιχειρήσεων του πολιτισμού λόγω περιορισμού θέσεων σε θέατρα, κινηματογράφους, συναυλιακούς χώρους κλπ.</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-19</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-6</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34</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Μη επιστρεπτέα επιχορήγηση σε μικρές και πολύ μικρές επιχειρήσεις μέσω των Οργανισμών Τοπικής Αυτοδιο</w:t>
            </w:r>
            <w:r w:rsidRPr="002E766E">
              <w:rPr>
                <w:rFonts w:ascii="Arial Narrow" w:hAnsi="Arial Narrow" w:cstheme="minorHAnsi"/>
                <w:sz w:val="16"/>
                <w:szCs w:val="16"/>
              </w:rPr>
              <w:t>ί</w:t>
            </w:r>
            <w:r w:rsidRPr="002E766E">
              <w:rPr>
                <w:rFonts w:ascii="Arial Narrow" w:hAnsi="Arial Narrow" w:cstheme="minorHAnsi"/>
                <w:sz w:val="16"/>
                <w:szCs w:val="16"/>
              </w:rPr>
              <w:lastRenderedPageBreak/>
              <w:t>κησης</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lastRenderedPageBreak/>
              <w:t>0</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-800</w:t>
            </w:r>
          </w:p>
        </w:tc>
      </w:tr>
      <w:tr w:rsidR="002E766E" w:rsidRPr="00C55348" w:rsidTr="002E766E">
        <w:trPr>
          <w:trHeight w:val="170"/>
        </w:trPr>
        <w:tc>
          <w:tcPr>
            <w:tcW w:w="331" w:type="pct"/>
            <w:shd w:val="clear" w:color="auto" w:fill="D9D9D9" w:themeFill="background1" w:themeFillShade="D9"/>
            <w:noWrap/>
            <w:hideMark/>
          </w:tcPr>
          <w:p w:rsidR="002E766E" w:rsidRPr="002E766E" w:rsidRDefault="002E766E" w:rsidP="003C79F3">
            <w:pPr>
              <w:jc w:val="center"/>
              <w:rPr>
                <w:rFonts w:ascii="Arial Narrow" w:hAnsi="Arial Narrow" w:cstheme="minorHAnsi"/>
                <w:b/>
                <w:bCs/>
                <w:sz w:val="16"/>
                <w:szCs w:val="16"/>
              </w:rPr>
            </w:pPr>
            <w:r w:rsidRPr="002E766E">
              <w:rPr>
                <w:rFonts w:ascii="Arial Narrow" w:hAnsi="Arial Narrow" w:cstheme="minorHAnsi"/>
                <w:b/>
                <w:bCs/>
                <w:sz w:val="16"/>
                <w:szCs w:val="16"/>
              </w:rPr>
              <w:lastRenderedPageBreak/>
              <w:t>Γ</w:t>
            </w:r>
          </w:p>
        </w:tc>
        <w:tc>
          <w:tcPr>
            <w:tcW w:w="3745" w:type="pct"/>
            <w:shd w:val="clear" w:color="auto" w:fill="D9D9D9" w:themeFill="background1" w:themeFillShade="D9"/>
            <w:noWrap/>
            <w:hideMark/>
          </w:tcPr>
          <w:p w:rsidR="002E766E" w:rsidRPr="002E766E" w:rsidRDefault="002E766E" w:rsidP="003C79F3">
            <w:pPr>
              <w:rPr>
                <w:rFonts w:ascii="Arial Narrow" w:hAnsi="Arial Narrow" w:cstheme="minorHAnsi"/>
                <w:b/>
                <w:bCs/>
                <w:sz w:val="16"/>
                <w:szCs w:val="16"/>
              </w:rPr>
            </w:pPr>
            <w:r w:rsidRPr="002E766E">
              <w:rPr>
                <w:rFonts w:ascii="Arial Narrow" w:hAnsi="Arial Narrow" w:cstheme="minorHAnsi"/>
                <w:b/>
                <w:bCs/>
                <w:sz w:val="16"/>
                <w:szCs w:val="16"/>
              </w:rPr>
              <w:t>Δημοσιονομικά ουδέτερες παρεμβάσεις</w:t>
            </w:r>
          </w:p>
        </w:tc>
        <w:tc>
          <w:tcPr>
            <w:tcW w:w="489" w:type="pct"/>
            <w:shd w:val="clear" w:color="auto" w:fill="D9D9D9" w:themeFill="background1" w:themeFillShade="D9"/>
            <w:noWrap/>
            <w:hideMark/>
          </w:tcPr>
          <w:p w:rsidR="002E766E" w:rsidRPr="002E766E" w:rsidRDefault="002E766E" w:rsidP="002E766E">
            <w:pPr>
              <w:jc w:val="right"/>
              <w:rPr>
                <w:rFonts w:ascii="Arial Narrow" w:hAnsi="Arial Narrow" w:cstheme="minorHAnsi"/>
                <w:b/>
                <w:bCs/>
                <w:sz w:val="16"/>
                <w:szCs w:val="16"/>
              </w:rPr>
            </w:pPr>
            <w:r w:rsidRPr="002E766E">
              <w:rPr>
                <w:rFonts w:ascii="Arial Narrow" w:hAnsi="Arial Narrow" w:cstheme="minorHAnsi"/>
                <w:b/>
                <w:bCs/>
                <w:sz w:val="16"/>
                <w:szCs w:val="16"/>
              </w:rPr>
              <w:t>0</w:t>
            </w:r>
          </w:p>
        </w:tc>
        <w:tc>
          <w:tcPr>
            <w:tcW w:w="435" w:type="pct"/>
            <w:shd w:val="clear" w:color="auto" w:fill="D9D9D9" w:themeFill="background1" w:themeFillShade="D9"/>
            <w:noWrap/>
            <w:hideMark/>
          </w:tcPr>
          <w:p w:rsidR="002E766E" w:rsidRPr="002E766E" w:rsidRDefault="002E766E" w:rsidP="002E766E">
            <w:pPr>
              <w:jc w:val="right"/>
              <w:rPr>
                <w:rFonts w:ascii="Arial Narrow" w:hAnsi="Arial Narrow" w:cstheme="minorHAnsi"/>
                <w:b/>
                <w:bCs/>
                <w:sz w:val="16"/>
                <w:szCs w:val="16"/>
              </w:rPr>
            </w:pPr>
            <w:r w:rsidRPr="002E766E">
              <w:rPr>
                <w:rFonts w:ascii="Arial Narrow" w:hAnsi="Arial Narrow" w:cstheme="minorHAnsi"/>
                <w:b/>
                <w:bCs/>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1</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Αναστολή αποπληρωμής δόσεων των ενήμερων τραπεζικών δανείων για επιχειρήσεις που πλήττονται από την πανδημία</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2</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Αναστολή πληρωμής επιταγών των επιχειρήσεων που πλήττονται από την πανδημία</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3</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Παροχή δυνατότητας στις επιχειρήσεις που πλήττονται από την πανδημία να θέσουν τους εργαζόμενους τους σε μερική απασχόληση, για δύο εβδομάδες ανά μήνα</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4</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Αποπληρωμή όλων των εκκρεμών επιστροφών φόρων έως και 30.000 ευρώ που βρίσκονται υπό τη διαδικασία ελέγχου από τη φορολογική αρχή</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shd w:val="clear" w:color="auto" w:fill="D9D9D9" w:themeFill="background1" w:themeFillShade="D9"/>
            <w:noWrap/>
            <w:hideMark/>
          </w:tcPr>
          <w:p w:rsidR="002E766E" w:rsidRPr="002E766E" w:rsidRDefault="002E766E" w:rsidP="003C79F3">
            <w:pPr>
              <w:jc w:val="center"/>
              <w:rPr>
                <w:rFonts w:ascii="Arial Narrow" w:hAnsi="Arial Narrow" w:cstheme="minorHAnsi"/>
                <w:b/>
                <w:bCs/>
                <w:sz w:val="16"/>
                <w:szCs w:val="16"/>
              </w:rPr>
            </w:pPr>
            <w:r w:rsidRPr="002E766E">
              <w:rPr>
                <w:rFonts w:ascii="Arial Narrow" w:hAnsi="Arial Narrow" w:cstheme="minorHAnsi"/>
                <w:b/>
                <w:bCs/>
                <w:sz w:val="16"/>
                <w:szCs w:val="16"/>
              </w:rPr>
              <w:t>Δ</w:t>
            </w:r>
          </w:p>
        </w:tc>
        <w:tc>
          <w:tcPr>
            <w:tcW w:w="3745" w:type="pct"/>
            <w:shd w:val="clear" w:color="auto" w:fill="D9D9D9" w:themeFill="background1" w:themeFillShade="D9"/>
            <w:noWrap/>
            <w:hideMark/>
          </w:tcPr>
          <w:p w:rsidR="002E766E" w:rsidRPr="002E766E" w:rsidRDefault="002E766E" w:rsidP="003C79F3">
            <w:pPr>
              <w:rPr>
                <w:rFonts w:ascii="Arial Narrow" w:hAnsi="Arial Narrow" w:cstheme="minorHAnsi"/>
                <w:b/>
                <w:bCs/>
                <w:sz w:val="16"/>
                <w:szCs w:val="16"/>
              </w:rPr>
            </w:pPr>
            <w:r w:rsidRPr="002E766E">
              <w:rPr>
                <w:rFonts w:ascii="Arial Narrow" w:hAnsi="Arial Narrow" w:cstheme="minorHAnsi"/>
                <w:b/>
                <w:bCs/>
                <w:sz w:val="16"/>
                <w:szCs w:val="16"/>
              </w:rPr>
              <w:t>Παρεμβάσεις παροχής ρευστότητας</w:t>
            </w:r>
          </w:p>
        </w:tc>
        <w:tc>
          <w:tcPr>
            <w:tcW w:w="489" w:type="pct"/>
            <w:shd w:val="clear" w:color="auto" w:fill="D9D9D9" w:themeFill="background1" w:themeFillShade="D9"/>
            <w:noWrap/>
            <w:hideMark/>
          </w:tcPr>
          <w:p w:rsidR="002E766E" w:rsidRPr="002E766E" w:rsidRDefault="002E766E" w:rsidP="002E766E">
            <w:pPr>
              <w:jc w:val="right"/>
              <w:rPr>
                <w:rFonts w:ascii="Arial Narrow" w:hAnsi="Arial Narrow" w:cstheme="minorHAnsi"/>
                <w:b/>
                <w:bCs/>
                <w:sz w:val="16"/>
                <w:szCs w:val="16"/>
              </w:rPr>
            </w:pPr>
            <w:r w:rsidRPr="002E766E">
              <w:rPr>
                <w:rFonts w:ascii="Arial Narrow" w:hAnsi="Arial Narrow" w:cstheme="minorHAnsi"/>
                <w:b/>
                <w:bCs/>
                <w:sz w:val="16"/>
                <w:szCs w:val="16"/>
              </w:rPr>
              <w:t>-2.548</w:t>
            </w:r>
          </w:p>
        </w:tc>
        <w:tc>
          <w:tcPr>
            <w:tcW w:w="435" w:type="pct"/>
            <w:shd w:val="clear" w:color="auto" w:fill="D9D9D9" w:themeFill="background1" w:themeFillShade="D9"/>
            <w:noWrap/>
            <w:hideMark/>
          </w:tcPr>
          <w:p w:rsidR="002E766E" w:rsidRPr="002E766E" w:rsidRDefault="002E766E" w:rsidP="002E766E">
            <w:pPr>
              <w:jc w:val="right"/>
              <w:rPr>
                <w:rFonts w:ascii="Arial Narrow" w:hAnsi="Arial Narrow" w:cstheme="minorHAnsi"/>
                <w:b/>
                <w:bCs/>
                <w:sz w:val="16"/>
                <w:szCs w:val="16"/>
              </w:rPr>
            </w:pPr>
            <w:r w:rsidRPr="002E766E">
              <w:rPr>
                <w:rFonts w:ascii="Arial Narrow" w:hAnsi="Arial Narrow" w:cstheme="minorHAnsi"/>
                <w:b/>
                <w:bCs/>
                <w:sz w:val="16"/>
                <w:szCs w:val="16"/>
              </w:rPr>
              <w:t>0</w:t>
            </w:r>
          </w:p>
        </w:tc>
      </w:tr>
      <w:tr w:rsidR="002E766E" w:rsidRPr="00C55348" w:rsidTr="002E766E">
        <w:trPr>
          <w:trHeight w:val="170"/>
        </w:trPr>
        <w:tc>
          <w:tcPr>
            <w:tcW w:w="331" w:type="pct"/>
            <w:noWrap/>
            <w:hideMark/>
          </w:tcPr>
          <w:p w:rsidR="002E766E" w:rsidRPr="002E766E" w:rsidRDefault="002E766E" w:rsidP="003C79F3">
            <w:pPr>
              <w:jc w:val="right"/>
              <w:rPr>
                <w:rFonts w:ascii="Arial Narrow" w:hAnsi="Arial Narrow" w:cstheme="minorHAnsi"/>
                <w:sz w:val="16"/>
                <w:szCs w:val="16"/>
              </w:rPr>
            </w:pPr>
            <w:r w:rsidRPr="002E766E">
              <w:rPr>
                <w:rFonts w:ascii="Arial Narrow" w:hAnsi="Arial Narrow" w:cstheme="minorHAnsi"/>
                <w:sz w:val="16"/>
                <w:szCs w:val="16"/>
              </w:rPr>
              <w:t>1</w:t>
            </w:r>
          </w:p>
        </w:tc>
        <w:tc>
          <w:tcPr>
            <w:tcW w:w="3745" w:type="pct"/>
            <w:hideMark/>
          </w:tcPr>
          <w:p w:rsidR="002E766E" w:rsidRPr="002E766E" w:rsidRDefault="002E766E" w:rsidP="001816DC">
            <w:pPr>
              <w:rPr>
                <w:rFonts w:ascii="Arial Narrow" w:hAnsi="Arial Narrow" w:cstheme="minorHAnsi"/>
                <w:sz w:val="16"/>
                <w:szCs w:val="16"/>
              </w:rPr>
            </w:pPr>
            <w:r w:rsidRPr="002E766E">
              <w:rPr>
                <w:rFonts w:ascii="Arial Narrow" w:hAnsi="Arial Narrow" w:cstheme="minorHAnsi"/>
                <w:sz w:val="16"/>
                <w:szCs w:val="16"/>
              </w:rPr>
              <w:t>Ταμείο Εγγυοδοσίας της Ελληνικής Αναπτυξιακής Τράπεζας</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-1.780</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noWrap/>
            <w:hideMark/>
          </w:tcPr>
          <w:p w:rsidR="002E766E" w:rsidRPr="002E766E" w:rsidRDefault="002E766E" w:rsidP="003C79F3">
            <w:pPr>
              <w:jc w:val="right"/>
              <w:rPr>
                <w:rFonts w:ascii="Arial Narrow" w:hAnsi="Arial Narrow" w:cstheme="minorHAnsi"/>
                <w:sz w:val="16"/>
                <w:szCs w:val="16"/>
              </w:rPr>
            </w:pPr>
            <w:r w:rsidRPr="002E766E">
              <w:rPr>
                <w:rFonts w:ascii="Arial Narrow" w:hAnsi="Arial Narrow" w:cstheme="minorHAnsi"/>
                <w:sz w:val="16"/>
                <w:szCs w:val="16"/>
              </w:rPr>
              <w:t>2</w:t>
            </w:r>
          </w:p>
        </w:tc>
        <w:tc>
          <w:tcPr>
            <w:tcW w:w="3745" w:type="pct"/>
            <w:hideMark/>
          </w:tcPr>
          <w:p w:rsidR="002E766E" w:rsidRPr="002E766E" w:rsidRDefault="002E766E" w:rsidP="001816DC">
            <w:pPr>
              <w:rPr>
                <w:rFonts w:ascii="Arial Narrow" w:hAnsi="Arial Narrow" w:cstheme="minorHAnsi"/>
                <w:sz w:val="16"/>
                <w:szCs w:val="16"/>
              </w:rPr>
            </w:pPr>
            <w:r w:rsidRPr="002E766E">
              <w:rPr>
                <w:rFonts w:ascii="Arial Narrow" w:hAnsi="Arial Narrow" w:cstheme="minorHAnsi"/>
                <w:sz w:val="16"/>
                <w:szCs w:val="16"/>
              </w:rPr>
              <w:t>Κεφάλαιο κίνησης στο πλαίσιο του Ταμείου Επιχειρηματικότητας (ΤΕΠΙΧ ΙΙ)</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-768</w:t>
            </w:r>
          </w:p>
        </w:tc>
        <w:tc>
          <w:tcPr>
            <w:tcW w:w="435"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0</w:t>
            </w:r>
          </w:p>
        </w:tc>
      </w:tr>
      <w:tr w:rsidR="002E766E" w:rsidRPr="00C55348" w:rsidTr="002E766E">
        <w:trPr>
          <w:trHeight w:val="170"/>
        </w:trPr>
        <w:tc>
          <w:tcPr>
            <w:tcW w:w="331" w:type="pct"/>
            <w:shd w:val="clear" w:color="auto" w:fill="D9D9D9" w:themeFill="background1" w:themeFillShade="D9"/>
            <w:noWrap/>
            <w:hideMark/>
          </w:tcPr>
          <w:p w:rsidR="002E766E" w:rsidRPr="002E766E" w:rsidRDefault="002E766E" w:rsidP="003C79F3">
            <w:pPr>
              <w:jc w:val="center"/>
              <w:rPr>
                <w:rFonts w:ascii="Arial Narrow" w:hAnsi="Arial Narrow" w:cstheme="minorHAnsi"/>
                <w:b/>
                <w:bCs/>
                <w:sz w:val="16"/>
                <w:szCs w:val="16"/>
              </w:rPr>
            </w:pPr>
            <w:r w:rsidRPr="002E766E">
              <w:rPr>
                <w:rFonts w:ascii="Arial Narrow" w:hAnsi="Arial Narrow" w:cstheme="minorHAnsi"/>
                <w:b/>
                <w:bCs/>
                <w:sz w:val="16"/>
                <w:szCs w:val="16"/>
              </w:rPr>
              <w:t>Ε</w:t>
            </w:r>
          </w:p>
        </w:tc>
        <w:tc>
          <w:tcPr>
            <w:tcW w:w="3745" w:type="pct"/>
            <w:shd w:val="clear" w:color="auto" w:fill="D9D9D9" w:themeFill="background1" w:themeFillShade="D9"/>
            <w:hideMark/>
          </w:tcPr>
          <w:p w:rsidR="002E766E" w:rsidRPr="002E766E" w:rsidRDefault="002E766E" w:rsidP="003C79F3">
            <w:pPr>
              <w:rPr>
                <w:rFonts w:ascii="Arial Narrow" w:hAnsi="Arial Narrow" w:cstheme="minorHAnsi"/>
                <w:b/>
                <w:bCs/>
                <w:sz w:val="16"/>
                <w:szCs w:val="16"/>
              </w:rPr>
            </w:pPr>
            <w:r w:rsidRPr="002E766E">
              <w:rPr>
                <w:rFonts w:ascii="Arial Narrow" w:hAnsi="Arial Narrow" w:cstheme="minorHAnsi"/>
                <w:b/>
                <w:bCs/>
                <w:sz w:val="16"/>
                <w:szCs w:val="16"/>
              </w:rPr>
              <w:t>Πιστώσεις υπό κατανομή για την αντιμετώπιση των οικονομικών συνεπειών της πανδημίας Covid-19</w:t>
            </w:r>
          </w:p>
        </w:tc>
        <w:tc>
          <w:tcPr>
            <w:tcW w:w="489" w:type="pct"/>
            <w:shd w:val="clear" w:color="auto" w:fill="D9D9D9" w:themeFill="background1" w:themeFillShade="D9"/>
            <w:noWrap/>
            <w:hideMark/>
          </w:tcPr>
          <w:p w:rsidR="002E766E" w:rsidRPr="002E766E" w:rsidRDefault="002E766E" w:rsidP="002E766E">
            <w:pPr>
              <w:jc w:val="right"/>
              <w:rPr>
                <w:rFonts w:ascii="Arial Narrow" w:hAnsi="Arial Narrow" w:cstheme="minorHAnsi"/>
                <w:b/>
                <w:bCs/>
                <w:sz w:val="16"/>
                <w:szCs w:val="16"/>
              </w:rPr>
            </w:pPr>
            <w:r w:rsidRPr="002E766E">
              <w:rPr>
                <w:rFonts w:ascii="Arial Narrow" w:hAnsi="Arial Narrow" w:cstheme="minorHAnsi"/>
                <w:b/>
                <w:bCs/>
                <w:sz w:val="16"/>
                <w:szCs w:val="16"/>
              </w:rPr>
              <w:t> </w:t>
            </w:r>
          </w:p>
        </w:tc>
        <w:tc>
          <w:tcPr>
            <w:tcW w:w="435" w:type="pct"/>
            <w:shd w:val="clear" w:color="auto" w:fill="D9D9D9" w:themeFill="background1" w:themeFillShade="D9"/>
            <w:noWrap/>
            <w:hideMark/>
          </w:tcPr>
          <w:p w:rsidR="002E766E" w:rsidRPr="002E766E" w:rsidRDefault="002E766E" w:rsidP="002E766E">
            <w:pPr>
              <w:jc w:val="right"/>
              <w:rPr>
                <w:rFonts w:ascii="Arial Narrow" w:hAnsi="Arial Narrow" w:cstheme="minorHAnsi"/>
                <w:b/>
                <w:bCs/>
                <w:sz w:val="16"/>
                <w:szCs w:val="16"/>
              </w:rPr>
            </w:pPr>
            <w:r w:rsidRPr="002E766E">
              <w:rPr>
                <w:rFonts w:ascii="Arial Narrow" w:hAnsi="Arial Narrow" w:cstheme="minorHAnsi"/>
                <w:b/>
                <w:bCs/>
                <w:sz w:val="16"/>
                <w:szCs w:val="16"/>
              </w:rPr>
              <w:t>-3.000</w:t>
            </w:r>
          </w:p>
        </w:tc>
      </w:tr>
      <w:tr w:rsidR="002E766E" w:rsidRPr="00C55348" w:rsidTr="002E766E">
        <w:trPr>
          <w:trHeight w:val="170"/>
        </w:trPr>
        <w:tc>
          <w:tcPr>
            <w:tcW w:w="331" w:type="pct"/>
            <w:shd w:val="clear" w:color="auto" w:fill="D9D9D9" w:themeFill="background1" w:themeFillShade="D9"/>
            <w:noWrap/>
            <w:hideMark/>
          </w:tcPr>
          <w:p w:rsidR="002E766E" w:rsidRPr="002E766E" w:rsidRDefault="002E766E" w:rsidP="003C79F3">
            <w:pPr>
              <w:jc w:val="center"/>
              <w:rPr>
                <w:rFonts w:ascii="Arial Narrow" w:hAnsi="Arial Narrow" w:cstheme="minorHAnsi"/>
                <w:b/>
                <w:bCs/>
                <w:sz w:val="16"/>
                <w:szCs w:val="16"/>
              </w:rPr>
            </w:pPr>
            <w:r w:rsidRPr="002E766E">
              <w:rPr>
                <w:rFonts w:ascii="Arial Narrow" w:hAnsi="Arial Narrow" w:cstheme="minorHAnsi"/>
                <w:b/>
                <w:bCs/>
                <w:sz w:val="16"/>
                <w:szCs w:val="16"/>
              </w:rPr>
              <w:t> </w:t>
            </w:r>
          </w:p>
        </w:tc>
        <w:tc>
          <w:tcPr>
            <w:tcW w:w="3745" w:type="pct"/>
            <w:shd w:val="clear" w:color="auto" w:fill="D9D9D9" w:themeFill="background1" w:themeFillShade="D9"/>
            <w:noWrap/>
            <w:hideMark/>
          </w:tcPr>
          <w:p w:rsidR="002E766E" w:rsidRPr="002E766E" w:rsidRDefault="002E766E" w:rsidP="003C79F3">
            <w:pPr>
              <w:rPr>
                <w:rFonts w:ascii="Arial Narrow" w:hAnsi="Arial Narrow" w:cstheme="minorHAnsi"/>
                <w:b/>
                <w:bCs/>
                <w:sz w:val="16"/>
                <w:szCs w:val="16"/>
              </w:rPr>
            </w:pPr>
            <w:r w:rsidRPr="002E766E">
              <w:rPr>
                <w:rFonts w:ascii="Arial Narrow" w:hAnsi="Arial Narrow" w:cstheme="minorHAnsi"/>
                <w:b/>
                <w:bCs/>
                <w:sz w:val="16"/>
                <w:szCs w:val="16"/>
              </w:rPr>
              <w:t>Συνολικό Ταμειακό Κόστος των Παρεμβάσεων ( Α+Β+Γ+Δ+Ε)</w:t>
            </w:r>
          </w:p>
        </w:tc>
        <w:tc>
          <w:tcPr>
            <w:tcW w:w="489" w:type="pct"/>
            <w:shd w:val="clear" w:color="auto" w:fill="D9D9D9" w:themeFill="background1" w:themeFillShade="D9"/>
            <w:noWrap/>
            <w:hideMark/>
          </w:tcPr>
          <w:p w:rsidR="002E766E" w:rsidRPr="002E766E" w:rsidRDefault="002E766E" w:rsidP="002E766E">
            <w:pPr>
              <w:jc w:val="right"/>
              <w:rPr>
                <w:rFonts w:ascii="Arial Narrow" w:hAnsi="Arial Narrow" w:cstheme="minorHAnsi"/>
                <w:b/>
                <w:bCs/>
                <w:sz w:val="16"/>
                <w:szCs w:val="16"/>
              </w:rPr>
            </w:pPr>
            <w:r w:rsidRPr="002E766E">
              <w:rPr>
                <w:rFonts w:ascii="Arial Narrow" w:hAnsi="Arial Narrow" w:cstheme="minorHAnsi"/>
                <w:b/>
                <w:bCs/>
                <w:sz w:val="16"/>
                <w:szCs w:val="16"/>
              </w:rPr>
              <w:t>-18.198</w:t>
            </w:r>
          </w:p>
        </w:tc>
        <w:tc>
          <w:tcPr>
            <w:tcW w:w="435" w:type="pct"/>
            <w:shd w:val="clear" w:color="auto" w:fill="D9D9D9" w:themeFill="background1" w:themeFillShade="D9"/>
            <w:noWrap/>
            <w:hideMark/>
          </w:tcPr>
          <w:p w:rsidR="002E766E" w:rsidRPr="002E766E" w:rsidRDefault="002E766E" w:rsidP="002E766E">
            <w:pPr>
              <w:jc w:val="right"/>
              <w:rPr>
                <w:rFonts w:ascii="Arial Narrow" w:hAnsi="Arial Narrow" w:cstheme="minorHAnsi"/>
                <w:b/>
                <w:bCs/>
                <w:sz w:val="16"/>
                <w:szCs w:val="16"/>
              </w:rPr>
            </w:pPr>
            <w:r w:rsidRPr="002E766E">
              <w:rPr>
                <w:rFonts w:ascii="Arial Narrow" w:hAnsi="Arial Narrow" w:cstheme="minorHAnsi"/>
                <w:b/>
                <w:bCs/>
                <w:sz w:val="16"/>
                <w:szCs w:val="16"/>
              </w:rPr>
              <w:t>-7.323</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b/>
                <w:bCs/>
                <w:sz w:val="16"/>
                <w:szCs w:val="16"/>
              </w:rPr>
            </w:pPr>
          </w:p>
        </w:tc>
        <w:tc>
          <w:tcPr>
            <w:tcW w:w="3745" w:type="pct"/>
            <w:hideMark/>
          </w:tcPr>
          <w:p w:rsidR="002E766E" w:rsidRPr="002E766E" w:rsidRDefault="002E766E" w:rsidP="003C79F3">
            <w:pPr>
              <w:rPr>
                <w:rFonts w:ascii="Arial Narrow" w:hAnsi="Arial Narrow" w:cstheme="minorHAnsi"/>
                <w:i/>
                <w:iCs/>
                <w:sz w:val="16"/>
                <w:szCs w:val="16"/>
              </w:rPr>
            </w:pPr>
            <w:r w:rsidRPr="002E766E">
              <w:rPr>
                <w:rFonts w:ascii="Arial Narrow" w:hAnsi="Arial Narrow" w:cstheme="minorHAnsi"/>
                <w:i/>
                <w:iCs/>
                <w:sz w:val="16"/>
                <w:szCs w:val="16"/>
              </w:rPr>
              <w:t>Εκ των οποίων:</w:t>
            </w:r>
          </w:p>
        </w:tc>
        <w:tc>
          <w:tcPr>
            <w:tcW w:w="489" w:type="pct"/>
            <w:noWrap/>
            <w:hideMark/>
          </w:tcPr>
          <w:p w:rsidR="002E766E" w:rsidRPr="002E766E" w:rsidRDefault="002E766E" w:rsidP="002E766E">
            <w:pPr>
              <w:jc w:val="right"/>
              <w:rPr>
                <w:rFonts w:ascii="Arial Narrow" w:hAnsi="Arial Narrow" w:cstheme="minorHAnsi"/>
                <w:i/>
                <w:iCs/>
                <w:sz w:val="16"/>
                <w:szCs w:val="16"/>
              </w:rPr>
            </w:pPr>
          </w:p>
        </w:tc>
        <w:tc>
          <w:tcPr>
            <w:tcW w:w="435" w:type="pct"/>
            <w:noWrap/>
            <w:hideMark/>
          </w:tcPr>
          <w:p w:rsidR="002E766E" w:rsidRPr="002E766E" w:rsidRDefault="002E766E" w:rsidP="002E766E">
            <w:pPr>
              <w:jc w:val="right"/>
              <w:rPr>
                <w:rFonts w:ascii="Arial Narrow" w:hAnsi="Arial Narrow" w:cstheme="minorHAnsi"/>
                <w:sz w:val="16"/>
                <w:szCs w:val="16"/>
              </w:rPr>
            </w:pP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i/>
                <w:iCs/>
                <w:sz w:val="16"/>
                <w:szCs w:val="16"/>
              </w:rPr>
            </w:pPr>
            <w:r w:rsidRPr="002E766E">
              <w:rPr>
                <w:rFonts w:ascii="Arial Narrow" w:hAnsi="Arial Narrow" w:cstheme="minorHAnsi"/>
                <w:i/>
                <w:iCs/>
                <w:sz w:val="16"/>
                <w:szCs w:val="16"/>
              </w:rPr>
              <w:t>Α.</w:t>
            </w:r>
          </w:p>
        </w:tc>
        <w:tc>
          <w:tcPr>
            <w:tcW w:w="3745" w:type="pct"/>
            <w:noWrap/>
            <w:hideMark/>
          </w:tcPr>
          <w:p w:rsidR="002E766E" w:rsidRPr="002E766E" w:rsidRDefault="002E766E" w:rsidP="003C79F3">
            <w:pPr>
              <w:rPr>
                <w:rFonts w:ascii="Arial Narrow" w:hAnsi="Arial Narrow" w:cstheme="minorHAnsi"/>
                <w:i/>
                <w:iCs/>
                <w:sz w:val="16"/>
                <w:szCs w:val="16"/>
              </w:rPr>
            </w:pPr>
            <w:r w:rsidRPr="002E766E">
              <w:rPr>
                <w:rFonts w:ascii="Arial Narrow" w:hAnsi="Arial Narrow" w:cstheme="minorHAnsi"/>
                <w:i/>
                <w:iCs/>
                <w:sz w:val="16"/>
                <w:szCs w:val="16"/>
              </w:rPr>
              <w:t>Παρεμβάσεις που αφορούν στην αναβολή είσπραξης εσόδων</w:t>
            </w:r>
          </w:p>
        </w:tc>
        <w:tc>
          <w:tcPr>
            <w:tcW w:w="489" w:type="pct"/>
            <w:noWrap/>
            <w:hideMark/>
          </w:tcPr>
          <w:p w:rsidR="002E766E" w:rsidRPr="002E766E" w:rsidRDefault="002E766E" w:rsidP="002E766E">
            <w:pPr>
              <w:jc w:val="right"/>
              <w:rPr>
                <w:rFonts w:ascii="Arial Narrow" w:hAnsi="Arial Narrow" w:cstheme="minorHAnsi"/>
                <w:i/>
                <w:iCs/>
                <w:sz w:val="16"/>
                <w:szCs w:val="16"/>
              </w:rPr>
            </w:pPr>
            <w:r w:rsidRPr="002E766E">
              <w:rPr>
                <w:rFonts w:ascii="Arial Narrow" w:hAnsi="Arial Narrow" w:cstheme="minorHAnsi"/>
                <w:i/>
                <w:iCs/>
                <w:sz w:val="16"/>
                <w:szCs w:val="16"/>
              </w:rPr>
              <w:t>-1.567</w:t>
            </w:r>
          </w:p>
        </w:tc>
        <w:tc>
          <w:tcPr>
            <w:tcW w:w="435" w:type="pct"/>
            <w:noWrap/>
            <w:hideMark/>
          </w:tcPr>
          <w:p w:rsidR="002E766E" w:rsidRPr="002E766E" w:rsidRDefault="002E766E" w:rsidP="002E766E">
            <w:pPr>
              <w:jc w:val="right"/>
              <w:rPr>
                <w:rFonts w:ascii="Arial Narrow" w:hAnsi="Arial Narrow" w:cstheme="minorHAnsi"/>
                <w:i/>
                <w:iCs/>
                <w:sz w:val="16"/>
                <w:szCs w:val="16"/>
              </w:rPr>
            </w:pPr>
            <w:r w:rsidRPr="002E766E">
              <w:rPr>
                <w:rFonts w:ascii="Arial Narrow" w:hAnsi="Arial Narrow" w:cstheme="minorHAnsi"/>
                <w:i/>
                <w:iCs/>
                <w:sz w:val="16"/>
                <w:szCs w:val="16"/>
              </w:rPr>
              <w:t>223</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i/>
                <w:iCs/>
                <w:sz w:val="16"/>
                <w:szCs w:val="16"/>
              </w:rPr>
            </w:pPr>
            <w:r w:rsidRPr="002E766E">
              <w:rPr>
                <w:rFonts w:ascii="Arial Narrow" w:hAnsi="Arial Narrow" w:cstheme="minorHAnsi"/>
                <w:i/>
                <w:iCs/>
                <w:sz w:val="16"/>
                <w:szCs w:val="16"/>
              </w:rPr>
              <w:t>Β.</w:t>
            </w:r>
          </w:p>
        </w:tc>
        <w:tc>
          <w:tcPr>
            <w:tcW w:w="3745" w:type="pct"/>
            <w:noWrap/>
            <w:hideMark/>
          </w:tcPr>
          <w:p w:rsidR="002E766E" w:rsidRPr="002E766E" w:rsidRDefault="002E766E" w:rsidP="003C79F3">
            <w:pPr>
              <w:rPr>
                <w:rFonts w:ascii="Arial Narrow" w:hAnsi="Arial Narrow" w:cstheme="minorHAnsi"/>
                <w:i/>
                <w:iCs/>
                <w:sz w:val="16"/>
                <w:szCs w:val="16"/>
              </w:rPr>
            </w:pPr>
            <w:r w:rsidRPr="002E766E">
              <w:rPr>
                <w:rFonts w:ascii="Arial Narrow" w:hAnsi="Arial Narrow" w:cstheme="minorHAnsi"/>
                <w:i/>
                <w:iCs/>
                <w:sz w:val="16"/>
                <w:szCs w:val="16"/>
              </w:rPr>
              <w:t>Παρεμβάσεις που επιβαρύνουν</w:t>
            </w:r>
            <w:r w:rsidR="009548D5">
              <w:rPr>
                <w:rFonts w:ascii="Arial Narrow" w:hAnsi="Arial Narrow" w:cstheme="minorHAnsi"/>
                <w:i/>
                <w:iCs/>
                <w:sz w:val="16"/>
                <w:szCs w:val="16"/>
              </w:rPr>
              <w:t xml:space="preserve"> άμεσα </w:t>
            </w:r>
            <w:r w:rsidRPr="002E766E">
              <w:rPr>
                <w:rFonts w:ascii="Arial Narrow" w:hAnsi="Arial Narrow" w:cstheme="minorHAnsi"/>
                <w:i/>
                <w:iCs/>
                <w:sz w:val="16"/>
                <w:szCs w:val="16"/>
              </w:rPr>
              <w:t xml:space="preserve"> το δημοσιονομικό αποτέλεσμα </w:t>
            </w:r>
          </w:p>
        </w:tc>
        <w:tc>
          <w:tcPr>
            <w:tcW w:w="489" w:type="pct"/>
            <w:noWrap/>
            <w:hideMark/>
          </w:tcPr>
          <w:p w:rsidR="002E766E" w:rsidRPr="002E766E" w:rsidRDefault="002E766E" w:rsidP="002E766E">
            <w:pPr>
              <w:jc w:val="right"/>
              <w:rPr>
                <w:rFonts w:ascii="Arial Narrow" w:hAnsi="Arial Narrow" w:cstheme="minorHAnsi"/>
                <w:i/>
                <w:iCs/>
                <w:sz w:val="16"/>
                <w:szCs w:val="16"/>
              </w:rPr>
            </w:pPr>
            <w:r w:rsidRPr="002E766E">
              <w:rPr>
                <w:rFonts w:ascii="Arial Narrow" w:hAnsi="Arial Narrow" w:cstheme="minorHAnsi"/>
                <w:i/>
                <w:iCs/>
                <w:sz w:val="16"/>
                <w:szCs w:val="16"/>
              </w:rPr>
              <w:t>-11.625</w:t>
            </w:r>
          </w:p>
        </w:tc>
        <w:tc>
          <w:tcPr>
            <w:tcW w:w="435" w:type="pct"/>
            <w:noWrap/>
            <w:hideMark/>
          </w:tcPr>
          <w:p w:rsidR="002E766E" w:rsidRPr="002E766E" w:rsidRDefault="002E766E" w:rsidP="002E766E">
            <w:pPr>
              <w:jc w:val="right"/>
              <w:rPr>
                <w:rFonts w:ascii="Arial Narrow" w:hAnsi="Arial Narrow" w:cstheme="minorHAnsi"/>
                <w:i/>
                <w:iCs/>
                <w:sz w:val="16"/>
                <w:szCs w:val="16"/>
              </w:rPr>
            </w:pPr>
            <w:r w:rsidRPr="002E766E">
              <w:rPr>
                <w:rFonts w:ascii="Arial Narrow" w:hAnsi="Arial Narrow" w:cstheme="minorHAnsi"/>
                <w:i/>
                <w:iCs/>
                <w:sz w:val="16"/>
                <w:szCs w:val="16"/>
              </w:rPr>
              <w:t>-6.936</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i/>
                <w:iCs/>
                <w:sz w:val="16"/>
                <w:szCs w:val="16"/>
              </w:rPr>
            </w:pPr>
            <w:r w:rsidRPr="002E766E">
              <w:rPr>
                <w:rFonts w:ascii="Arial Narrow" w:hAnsi="Arial Narrow" w:cstheme="minorHAnsi"/>
                <w:i/>
                <w:iCs/>
                <w:sz w:val="16"/>
                <w:szCs w:val="16"/>
              </w:rPr>
              <w:t>Γ.</w:t>
            </w:r>
          </w:p>
        </w:tc>
        <w:tc>
          <w:tcPr>
            <w:tcW w:w="3745" w:type="pct"/>
            <w:noWrap/>
            <w:hideMark/>
          </w:tcPr>
          <w:p w:rsidR="002E766E" w:rsidRPr="002E766E" w:rsidRDefault="002E766E" w:rsidP="003C79F3">
            <w:pPr>
              <w:rPr>
                <w:rFonts w:ascii="Arial Narrow" w:hAnsi="Arial Narrow" w:cstheme="minorHAnsi"/>
                <w:i/>
                <w:iCs/>
                <w:sz w:val="16"/>
                <w:szCs w:val="16"/>
              </w:rPr>
            </w:pPr>
            <w:r w:rsidRPr="002E766E">
              <w:rPr>
                <w:rFonts w:ascii="Arial Narrow" w:hAnsi="Arial Narrow" w:cstheme="minorHAnsi"/>
                <w:i/>
                <w:iCs/>
                <w:sz w:val="16"/>
                <w:szCs w:val="16"/>
              </w:rPr>
              <w:t>Παρεμβάσεις παροχής ρευστότητας (προ μόχλευσης)</w:t>
            </w:r>
          </w:p>
        </w:tc>
        <w:tc>
          <w:tcPr>
            <w:tcW w:w="489" w:type="pct"/>
            <w:noWrap/>
            <w:hideMark/>
          </w:tcPr>
          <w:p w:rsidR="002E766E" w:rsidRPr="002E766E" w:rsidRDefault="002E766E" w:rsidP="002E766E">
            <w:pPr>
              <w:jc w:val="right"/>
              <w:rPr>
                <w:rFonts w:ascii="Arial Narrow" w:hAnsi="Arial Narrow" w:cstheme="minorHAnsi"/>
                <w:i/>
                <w:iCs/>
                <w:sz w:val="16"/>
                <w:szCs w:val="16"/>
              </w:rPr>
            </w:pPr>
            <w:r w:rsidRPr="002E766E">
              <w:rPr>
                <w:rFonts w:ascii="Arial Narrow" w:hAnsi="Arial Narrow" w:cstheme="minorHAnsi"/>
                <w:i/>
                <w:iCs/>
                <w:sz w:val="16"/>
                <w:szCs w:val="16"/>
              </w:rPr>
              <w:t>-5.006</w:t>
            </w:r>
          </w:p>
        </w:tc>
        <w:tc>
          <w:tcPr>
            <w:tcW w:w="435" w:type="pct"/>
            <w:noWrap/>
            <w:hideMark/>
          </w:tcPr>
          <w:p w:rsidR="002E766E" w:rsidRPr="002E766E" w:rsidRDefault="002E766E" w:rsidP="002E766E">
            <w:pPr>
              <w:jc w:val="right"/>
              <w:rPr>
                <w:rFonts w:ascii="Arial Narrow" w:hAnsi="Arial Narrow" w:cstheme="minorHAnsi"/>
                <w:i/>
                <w:iCs/>
                <w:sz w:val="16"/>
                <w:szCs w:val="16"/>
              </w:rPr>
            </w:pPr>
            <w:r w:rsidRPr="002E766E">
              <w:rPr>
                <w:rFonts w:ascii="Arial Narrow" w:hAnsi="Arial Narrow" w:cstheme="minorHAnsi"/>
                <w:i/>
                <w:iCs/>
                <w:sz w:val="16"/>
                <w:szCs w:val="16"/>
              </w:rPr>
              <w:t>-610</w:t>
            </w:r>
          </w:p>
        </w:tc>
      </w:tr>
      <w:tr w:rsidR="002E766E" w:rsidRPr="00C55348" w:rsidTr="002E766E">
        <w:trPr>
          <w:trHeight w:val="170"/>
        </w:trPr>
        <w:tc>
          <w:tcPr>
            <w:tcW w:w="5000" w:type="pct"/>
            <w:gridSpan w:val="4"/>
            <w:noWrap/>
            <w:hideMark/>
          </w:tcPr>
          <w:p w:rsidR="002E766E" w:rsidRPr="002E766E" w:rsidRDefault="002E766E" w:rsidP="002E766E">
            <w:pPr>
              <w:jc w:val="center"/>
              <w:rPr>
                <w:rFonts w:ascii="Arial Narrow" w:hAnsi="Arial Narrow" w:cstheme="minorHAnsi"/>
                <w:b/>
                <w:bCs/>
                <w:sz w:val="16"/>
                <w:szCs w:val="16"/>
              </w:rPr>
            </w:pPr>
            <w:r w:rsidRPr="002E766E">
              <w:rPr>
                <w:rFonts w:ascii="Arial Narrow" w:hAnsi="Arial Narrow" w:cstheme="minorHAnsi"/>
                <w:b/>
                <w:bCs/>
                <w:sz w:val="16"/>
                <w:szCs w:val="16"/>
              </w:rPr>
              <w:t>Παρεμβάσεις ανά κατηγορία και πηγή χρηματοδότησης</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1</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Μείωση εσόδων</w:t>
            </w:r>
          </w:p>
        </w:tc>
        <w:tc>
          <w:tcPr>
            <w:tcW w:w="489" w:type="pct"/>
            <w:noWrap/>
            <w:hideMark/>
          </w:tcPr>
          <w:p w:rsidR="002E766E" w:rsidRPr="002E766E" w:rsidRDefault="002E766E" w:rsidP="002E766E">
            <w:pPr>
              <w:jc w:val="right"/>
              <w:rPr>
                <w:rFonts w:ascii="Arial Narrow" w:hAnsi="Arial Narrow" w:cstheme="minorHAnsi"/>
                <w:sz w:val="16"/>
                <w:szCs w:val="16"/>
              </w:rPr>
            </w:pPr>
            <w:r w:rsidRPr="002E766E">
              <w:rPr>
                <w:rFonts w:ascii="Arial Narrow" w:hAnsi="Arial Narrow" w:cstheme="minorHAnsi"/>
                <w:sz w:val="16"/>
                <w:szCs w:val="16"/>
              </w:rPr>
              <w:t>-4.920</w:t>
            </w:r>
          </w:p>
        </w:tc>
        <w:tc>
          <w:tcPr>
            <w:tcW w:w="435" w:type="pct"/>
            <w:noWrap/>
            <w:hideMark/>
          </w:tcPr>
          <w:p w:rsidR="002E766E" w:rsidRPr="002E766E" w:rsidRDefault="002E766E" w:rsidP="002E766E">
            <w:pPr>
              <w:jc w:val="right"/>
              <w:rPr>
                <w:rFonts w:ascii="Arial Narrow" w:hAnsi="Arial Narrow"/>
                <w:color w:val="000000"/>
                <w:sz w:val="16"/>
                <w:szCs w:val="16"/>
              </w:rPr>
            </w:pPr>
            <w:r w:rsidRPr="002E766E">
              <w:rPr>
                <w:rFonts w:ascii="Arial Narrow" w:hAnsi="Arial Narrow"/>
                <w:color w:val="000000"/>
                <w:sz w:val="16"/>
                <w:szCs w:val="16"/>
              </w:rPr>
              <w:t>-2.</w:t>
            </w:r>
            <w:r w:rsidR="005757FA">
              <w:rPr>
                <w:rFonts w:ascii="Arial Narrow" w:hAnsi="Arial Narrow"/>
                <w:color w:val="000000"/>
                <w:sz w:val="16"/>
                <w:szCs w:val="16"/>
              </w:rPr>
              <w:t>239</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2</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Δημοσιονομικές δαπάνες που χρηματοδοτούνται από τον Τακτικό Προϋπολογισμό</w:t>
            </w:r>
          </w:p>
        </w:tc>
        <w:tc>
          <w:tcPr>
            <w:tcW w:w="489" w:type="pct"/>
            <w:noWrap/>
            <w:hideMark/>
          </w:tcPr>
          <w:p w:rsidR="002E766E" w:rsidRPr="002E766E" w:rsidRDefault="00D6649C" w:rsidP="002E766E">
            <w:pPr>
              <w:jc w:val="right"/>
              <w:rPr>
                <w:rFonts w:ascii="Arial Narrow" w:hAnsi="Arial Narrow" w:cstheme="minorHAnsi"/>
                <w:sz w:val="16"/>
                <w:szCs w:val="16"/>
              </w:rPr>
            </w:pPr>
            <w:r>
              <w:rPr>
                <w:rFonts w:ascii="Arial Narrow" w:hAnsi="Arial Narrow" w:cstheme="minorHAnsi"/>
                <w:sz w:val="16"/>
                <w:szCs w:val="16"/>
              </w:rPr>
              <w:t>-8.981</w:t>
            </w:r>
          </w:p>
        </w:tc>
        <w:tc>
          <w:tcPr>
            <w:tcW w:w="435" w:type="pct"/>
            <w:noWrap/>
            <w:hideMark/>
          </w:tcPr>
          <w:p w:rsidR="002E766E" w:rsidRPr="002E766E" w:rsidRDefault="002E766E" w:rsidP="002E766E">
            <w:pPr>
              <w:jc w:val="right"/>
              <w:rPr>
                <w:rFonts w:ascii="Arial Narrow" w:hAnsi="Arial Narrow"/>
                <w:color w:val="000000"/>
                <w:sz w:val="16"/>
                <w:szCs w:val="16"/>
              </w:rPr>
            </w:pPr>
            <w:r w:rsidRPr="002E766E">
              <w:rPr>
                <w:rFonts w:ascii="Arial Narrow" w:hAnsi="Arial Narrow"/>
                <w:color w:val="000000"/>
                <w:sz w:val="16"/>
                <w:szCs w:val="16"/>
              </w:rPr>
              <w:t>-4.4</w:t>
            </w:r>
            <w:r w:rsidR="005757FA">
              <w:rPr>
                <w:rFonts w:ascii="Arial Narrow" w:hAnsi="Arial Narrow"/>
                <w:color w:val="000000"/>
                <w:sz w:val="16"/>
                <w:szCs w:val="16"/>
              </w:rPr>
              <w:t>27</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3</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 xml:space="preserve">Δημοσιονομικές δαπάνες που </w:t>
            </w:r>
            <w:r w:rsidR="001816DC">
              <w:rPr>
                <w:rFonts w:ascii="Arial Narrow" w:hAnsi="Arial Narrow" w:cstheme="minorHAnsi"/>
                <w:sz w:val="16"/>
                <w:szCs w:val="16"/>
              </w:rPr>
              <w:t>συγ</w:t>
            </w:r>
            <w:r w:rsidRPr="002E766E">
              <w:rPr>
                <w:rFonts w:ascii="Arial Narrow" w:hAnsi="Arial Narrow" w:cstheme="minorHAnsi"/>
                <w:sz w:val="16"/>
                <w:szCs w:val="16"/>
              </w:rPr>
              <w:t>χρηματοδοτούνται από το ΠΔΕ</w:t>
            </w:r>
          </w:p>
        </w:tc>
        <w:tc>
          <w:tcPr>
            <w:tcW w:w="489" w:type="pct"/>
            <w:noWrap/>
            <w:hideMark/>
          </w:tcPr>
          <w:p w:rsidR="002E766E" w:rsidRPr="002E766E" w:rsidRDefault="002E766E" w:rsidP="00244606">
            <w:pPr>
              <w:jc w:val="right"/>
              <w:rPr>
                <w:rFonts w:ascii="Arial Narrow" w:hAnsi="Arial Narrow" w:cstheme="minorHAnsi"/>
                <w:sz w:val="16"/>
                <w:szCs w:val="16"/>
              </w:rPr>
            </w:pPr>
            <w:r w:rsidRPr="002E766E">
              <w:rPr>
                <w:rFonts w:ascii="Arial Narrow" w:hAnsi="Arial Narrow" w:cstheme="minorHAnsi"/>
                <w:sz w:val="16"/>
                <w:szCs w:val="16"/>
              </w:rPr>
              <w:t>-</w:t>
            </w:r>
            <w:r w:rsidR="00244606">
              <w:rPr>
                <w:rFonts w:ascii="Arial Narrow" w:hAnsi="Arial Narrow" w:cstheme="minorHAnsi"/>
                <w:sz w:val="16"/>
                <w:szCs w:val="16"/>
              </w:rPr>
              <w:t>1.7</w:t>
            </w:r>
            <w:r w:rsidR="00D6649C">
              <w:rPr>
                <w:rFonts w:ascii="Arial Narrow" w:hAnsi="Arial Narrow" w:cstheme="minorHAnsi"/>
                <w:sz w:val="16"/>
                <w:szCs w:val="16"/>
              </w:rPr>
              <w:t>49</w:t>
            </w:r>
          </w:p>
        </w:tc>
        <w:tc>
          <w:tcPr>
            <w:tcW w:w="435" w:type="pct"/>
            <w:noWrap/>
            <w:hideMark/>
          </w:tcPr>
          <w:p w:rsidR="002E766E" w:rsidRPr="002E766E" w:rsidRDefault="002E766E" w:rsidP="002E766E">
            <w:pPr>
              <w:jc w:val="right"/>
              <w:rPr>
                <w:rFonts w:ascii="Arial Narrow" w:hAnsi="Arial Narrow"/>
                <w:color w:val="000000"/>
                <w:sz w:val="16"/>
                <w:szCs w:val="16"/>
              </w:rPr>
            </w:pPr>
            <w:r w:rsidRPr="002E766E">
              <w:rPr>
                <w:rFonts w:ascii="Arial Narrow" w:hAnsi="Arial Narrow"/>
                <w:color w:val="000000"/>
                <w:sz w:val="16"/>
                <w:szCs w:val="16"/>
              </w:rPr>
              <w:t>-880</w:t>
            </w: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4</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 xml:space="preserve">Χρηματοδοτικά εργαλεία που </w:t>
            </w:r>
            <w:r w:rsidR="001816DC">
              <w:rPr>
                <w:rFonts w:ascii="Arial Narrow" w:hAnsi="Arial Narrow" w:cstheme="minorHAnsi"/>
                <w:sz w:val="16"/>
                <w:szCs w:val="16"/>
              </w:rPr>
              <w:t>συγ</w:t>
            </w:r>
            <w:r w:rsidRPr="002E766E">
              <w:rPr>
                <w:rFonts w:ascii="Arial Narrow" w:hAnsi="Arial Narrow" w:cstheme="minorHAnsi"/>
                <w:sz w:val="16"/>
                <w:szCs w:val="16"/>
              </w:rPr>
              <w:t>χρηματοδοτούνται από το ΠΔΕ</w:t>
            </w:r>
          </w:p>
        </w:tc>
        <w:tc>
          <w:tcPr>
            <w:tcW w:w="489" w:type="pct"/>
            <w:noWrap/>
            <w:hideMark/>
          </w:tcPr>
          <w:p w:rsidR="002E766E" w:rsidRPr="002E766E" w:rsidRDefault="00244606" w:rsidP="002E766E">
            <w:pPr>
              <w:jc w:val="right"/>
              <w:rPr>
                <w:rFonts w:ascii="Arial Narrow" w:hAnsi="Arial Narrow" w:cstheme="minorHAnsi"/>
                <w:sz w:val="16"/>
                <w:szCs w:val="16"/>
              </w:rPr>
            </w:pPr>
            <w:r>
              <w:rPr>
                <w:rFonts w:ascii="Arial Narrow" w:hAnsi="Arial Narrow" w:cstheme="minorHAnsi"/>
                <w:sz w:val="16"/>
                <w:szCs w:val="16"/>
              </w:rPr>
              <w:t>-2.548</w:t>
            </w:r>
          </w:p>
        </w:tc>
        <w:tc>
          <w:tcPr>
            <w:tcW w:w="435" w:type="pct"/>
            <w:noWrap/>
            <w:hideMark/>
          </w:tcPr>
          <w:p w:rsidR="002E766E" w:rsidRPr="002E766E" w:rsidRDefault="002E766E" w:rsidP="002E766E">
            <w:pPr>
              <w:jc w:val="right"/>
              <w:rPr>
                <w:rFonts w:ascii="Arial Narrow" w:hAnsi="Arial Narrow" w:cstheme="minorHAnsi"/>
                <w:sz w:val="16"/>
                <w:szCs w:val="16"/>
              </w:rPr>
            </w:pPr>
          </w:p>
        </w:tc>
      </w:tr>
      <w:tr w:rsidR="002E766E" w:rsidRPr="00C55348" w:rsidTr="002E766E">
        <w:trPr>
          <w:trHeight w:val="170"/>
        </w:trPr>
        <w:tc>
          <w:tcPr>
            <w:tcW w:w="331" w:type="pct"/>
            <w:noWrap/>
            <w:hideMark/>
          </w:tcPr>
          <w:p w:rsidR="002E766E" w:rsidRPr="002E766E" w:rsidRDefault="002E766E" w:rsidP="003C79F3">
            <w:pPr>
              <w:jc w:val="center"/>
              <w:rPr>
                <w:rFonts w:ascii="Arial Narrow" w:hAnsi="Arial Narrow" w:cstheme="minorHAnsi"/>
                <w:sz w:val="16"/>
                <w:szCs w:val="16"/>
              </w:rPr>
            </w:pPr>
            <w:r w:rsidRPr="002E766E">
              <w:rPr>
                <w:rFonts w:ascii="Arial Narrow" w:hAnsi="Arial Narrow" w:cstheme="minorHAnsi"/>
                <w:sz w:val="16"/>
                <w:szCs w:val="16"/>
              </w:rPr>
              <w:t>5</w:t>
            </w:r>
          </w:p>
        </w:tc>
        <w:tc>
          <w:tcPr>
            <w:tcW w:w="3745" w:type="pct"/>
            <w:hideMark/>
          </w:tcPr>
          <w:p w:rsidR="002E766E" w:rsidRPr="002E766E" w:rsidRDefault="002E766E" w:rsidP="003C79F3">
            <w:pPr>
              <w:rPr>
                <w:rFonts w:ascii="Arial Narrow" w:hAnsi="Arial Narrow" w:cstheme="minorHAnsi"/>
                <w:sz w:val="16"/>
                <w:szCs w:val="16"/>
              </w:rPr>
            </w:pPr>
            <w:r w:rsidRPr="002E766E">
              <w:rPr>
                <w:rFonts w:ascii="Arial Narrow" w:hAnsi="Arial Narrow" w:cstheme="minorHAnsi"/>
                <w:sz w:val="16"/>
                <w:szCs w:val="16"/>
              </w:rPr>
              <w:t xml:space="preserve">Μόχλευση χρηματοδοτικών εργαλείων που </w:t>
            </w:r>
            <w:r w:rsidR="001816DC">
              <w:rPr>
                <w:rFonts w:ascii="Arial Narrow" w:hAnsi="Arial Narrow" w:cstheme="minorHAnsi"/>
                <w:sz w:val="16"/>
                <w:szCs w:val="16"/>
              </w:rPr>
              <w:t>συγ</w:t>
            </w:r>
            <w:r w:rsidRPr="002E766E">
              <w:rPr>
                <w:rFonts w:ascii="Arial Narrow" w:hAnsi="Arial Narrow" w:cstheme="minorHAnsi"/>
                <w:sz w:val="16"/>
                <w:szCs w:val="16"/>
              </w:rPr>
              <w:t xml:space="preserve">χρηματοδοτούνται από το ΠΔΕ  </w:t>
            </w:r>
          </w:p>
        </w:tc>
        <w:tc>
          <w:tcPr>
            <w:tcW w:w="489" w:type="pct"/>
            <w:noWrap/>
            <w:hideMark/>
          </w:tcPr>
          <w:p w:rsidR="002E766E" w:rsidRPr="002E766E" w:rsidRDefault="00244606" w:rsidP="002E766E">
            <w:pPr>
              <w:jc w:val="right"/>
              <w:rPr>
                <w:rFonts w:ascii="Arial Narrow" w:hAnsi="Arial Narrow" w:cstheme="minorHAnsi"/>
                <w:sz w:val="16"/>
                <w:szCs w:val="16"/>
              </w:rPr>
            </w:pPr>
            <w:r>
              <w:rPr>
                <w:rFonts w:ascii="Arial Narrow" w:hAnsi="Arial Narrow" w:cstheme="minorHAnsi"/>
                <w:sz w:val="16"/>
                <w:szCs w:val="16"/>
              </w:rPr>
              <w:t>-5.693</w:t>
            </w:r>
          </w:p>
        </w:tc>
        <w:tc>
          <w:tcPr>
            <w:tcW w:w="435" w:type="pct"/>
            <w:noWrap/>
            <w:hideMark/>
          </w:tcPr>
          <w:p w:rsidR="002E766E" w:rsidRPr="002E766E" w:rsidRDefault="002E766E" w:rsidP="002E766E">
            <w:pPr>
              <w:jc w:val="right"/>
              <w:rPr>
                <w:rFonts w:ascii="Arial Narrow" w:hAnsi="Arial Narrow" w:cstheme="minorHAnsi"/>
                <w:sz w:val="16"/>
                <w:szCs w:val="16"/>
              </w:rPr>
            </w:pPr>
          </w:p>
        </w:tc>
      </w:tr>
      <w:tr w:rsidR="002E766E" w:rsidRPr="00C55348" w:rsidTr="002E766E">
        <w:trPr>
          <w:trHeight w:val="170"/>
        </w:trPr>
        <w:tc>
          <w:tcPr>
            <w:tcW w:w="331" w:type="pct"/>
            <w:shd w:val="clear" w:color="auto" w:fill="D9D9D9" w:themeFill="background1" w:themeFillShade="D9"/>
            <w:noWrap/>
            <w:hideMark/>
          </w:tcPr>
          <w:p w:rsidR="002E766E" w:rsidRPr="002E766E" w:rsidRDefault="002E766E" w:rsidP="003C79F3">
            <w:pPr>
              <w:jc w:val="center"/>
              <w:rPr>
                <w:rFonts w:ascii="Arial Narrow" w:hAnsi="Arial Narrow" w:cstheme="minorHAnsi"/>
                <w:b/>
                <w:bCs/>
                <w:sz w:val="16"/>
                <w:szCs w:val="16"/>
              </w:rPr>
            </w:pPr>
            <w:r w:rsidRPr="002E766E">
              <w:rPr>
                <w:rFonts w:ascii="Arial Narrow" w:hAnsi="Arial Narrow" w:cstheme="minorHAnsi"/>
                <w:b/>
                <w:bCs/>
                <w:sz w:val="16"/>
                <w:szCs w:val="16"/>
              </w:rPr>
              <w:t> </w:t>
            </w:r>
          </w:p>
        </w:tc>
        <w:tc>
          <w:tcPr>
            <w:tcW w:w="3745" w:type="pct"/>
            <w:shd w:val="clear" w:color="auto" w:fill="D9D9D9" w:themeFill="background1" w:themeFillShade="D9"/>
            <w:noWrap/>
            <w:hideMark/>
          </w:tcPr>
          <w:p w:rsidR="002E766E" w:rsidRPr="002E766E" w:rsidRDefault="002E766E" w:rsidP="003C79F3">
            <w:pPr>
              <w:rPr>
                <w:rFonts w:ascii="Arial Narrow" w:hAnsi="Arial Narrow" w:cstheme="minorHAnsi"/>
                <w:b/>
                <w:bCs/>
                <w:sz w:val="16"/>
                <w:szCs w:val="16"/>
              </w:rPr>
            </w:pPr>
            <w:r w:rsidRPr="002E766E">
              <w:rPr>
                <w:rFonts w:ascii="Arial Narrow" w:hAnsi="Arial Narrow" w:cstheme="minorHAnsi"/>
                <w:b/>
                <w:bCs/>
                <w:sz w:val="16"/>
                <w:szCs w:val="16"/>
              </w:rPr>
              <w:t>Συνολική Αξία των Παρεμβάσεων ( 1 + 2 + 3 + 4 + 5)</w:t>
            </w:r>
          </w:p>
        </w:tc>
        <w:tc>
          <w:tcPr>
            <w:tcW w:w="489" w:type="pct"/>
            <w:shd w:val="clear" w:color="auto" w:fill="D9D9D9" w:themeFill="background1" w:themeFillShade="D9"/>
            <w:noWrap/>
            <w:hideMark/>
          </w:tcPr>
          <w:p w:rsidR="002E766E" w:rsidRPr="002E766E" w:rsidRDefault="002E766E" w:rsidP="002E766E">
            <w:pPr>
              <w:jc w:val="right"/>
              <w:rPr>
                <w:rFonts w:ascii="Arial Narrow" w:hAnsi="Arial Narrow" w:cstheme="minorHAnsi"/>
                <w:b/>
                <w:bCs/>
                <w:sz w:val="16"/>
                <w:szCs w:val="16"/>
              </w:rPr>
            </w:pPr>
            <w:r w:rsidRPr="002E766E">
              <w:rPr>
                <w:rFonts w:ascii="Arial Narrow" w:hAnsi="Arial Narrow" w:cstheme="minorHAnsi"/>
                <w:b/>
                <w:bCs/>
                <w:sz w:val="16"/>
                <w:szCs w:val="16"/>
              </w:rPr>
              <w:t> </w:t>
            </w:r>
            <w:r w:rsidR="00244606">
              <w:rPr>
                <w:rFonts w:ascii="Arial Narrow" w:hAnsi="Arial Narrow" w:cstheme="minorHAnsi"/>
                <w:b/>
                <w:bCs/>
                <w:sz w:val="16"/>
                <w:szCs w:val="16"/>
              </w:rPr>
              <w:t>-23.891</w:t>
            </w:r>
          </w:p>
        </w:tc>
        <w:tc>
          <w:tcPr>
            <w:tcW w:w="435" w:type="pct"/>
            <w:shd w:val="clear" w:color="auto" w:fill="D9D9D9" w:themeFill="background1" w:themeFillShade="D9"/>
            <w:noWrap/>
            <w:hideMark/>
          </w:tcPr>
          <w:p w:rsidR="002E766E" w:rsidRPr="002E766E" w:rsidRDefault="00244606" w:rsidP="002E766E">
            <w:pPr>
              <w:jc w:val="right"/>
              <w:rPr>
                <w:rFonts w:ascii="Arial Narrow" w:hAnsi="Arial Narrow" w:cstheme="minorHAnsi"/>
                <w:b/>
                <w:bCs/>
                <w:sz w:val="16"/>
                <w:szCs w:val="16"/>
              </w:rPr>
            </w:pPr>
            <w:r>
              <w:rPr>
                <w:rFonts w:ascii="Arial Narrow" w:hAnsi="Arial Narrow" w:cstheme="minorHAnsi"/>
                <w:b/>
                <w:bCs/>
                <w:sz w:val="16"/>
                <w:szCs w:val="16"/>
              </w:rPr>
              <w:t>-7.</w:t>
            </w:r>
            <w:r w:rsidR="005757FA">
              <w:rPr>
                <w:rFonts w:ascii="Arial Narrow" w:hAnsi="Arial Narrow" w:cstheme="minorHAnsi"/>
                <w:b/>
                <w:bCs/>
                <w:sz w:val="16"/>
                <w:szCs w:val="16"/>
              </w:rPr>
              <w:t>546</w:t>
            </w:r>
          </w:p>
        </w:tc>
      </w:tr>
      <w:tr w:rsidR="002E766E" w:rsidRPr="00C55348" w:rsidTr="002E766E">
        <w:trPr>
          <w:trHeight w:val="170"/>
        </w:trPr>
        <w:tc>
          <w:tcPr>
            <w:tcW w:w="5000" w:type="pct"/>
            <w:gridSpan w:val="4"/>
            <w:noWrap/>
            <w:hideMark/>
          </w:tcPr>
          <w:p w:rsidR="002E766E" w:rsidRPr="002E766E" w:rsidRDefault="002E766E" w:rsidP="003C79F3">
            <w:pPr>
              <w:rPr>
                <w:rFonts w:ascii="Arial Narrow" w:hAnsi="Arial Narrow" w:cstheme="minorHAnsi"/>
                <w:i/>
                <w:iCs/>
                <w:sz w:val="16"/>
                <w:szCs w:val="16"/>
              </w:rPr>
            </w:pPr>
            <w:r w:rsidRPr="002E766E">
              <w:rPr>
                <w:rFonts w:ascii="Arial Narrow" w:hAnsi="Arial Narrow" w:cstheme="minorHAnsi"/>
                <w:i/>
                <w:iCs/>
                <w:sz w:val="16"/>
                <w:szCs w:val="16"/>
              </w:rPr>
              <w:t>Σημείωση: το θετικό πρόσημο (+) δηλώνει αύξηση εσόδου ή μείωση δαπάνης και το αρνητικό πρόσημο (-) δηλώνει μείωση εσόδου ή αύξηση  δαπάνης</w:t>
            </w:r>
          </w:p>
        </w:tc>
      </w:tr>
    </w:tbl>
    <w:p w:rsidR="000C42CD" w:rsidRDefault="000C42CD" w:rsidP="00871F74">
      <w:pPr>
        <w:tabs>
          <w:tab w:val="left" w:pos="284"/>
        </w:tabs>
        <w:contextualSpacing/>
        <w:jc w:val="both"/>
        <w:rPr>
          <w:bCs/>
          <w:sz w:val="22"/>
          <w:szCs w:val="22"/>
        </w:rPr>
      </w:pPr>
    </w:p>
    <w:p w:rsidR="000C42CD" w:rsidRDefault="000C42CD" w:rsidP="00871F74">
      <w:pPr>
        <w:tabs>
          <w:tab w:val="left" w:pos="284"/>
        </w:tabs>
        <w:contextualSpacing/>
        <w:jc w:val="both"/>
        <w:rPr>
          <w:bCs/>
          <w:sz w:val="22"/>
          <w:szCs w:val="22"/>
        </w:rPr>
      </w:pPr>
    </w:p>
    <w:p w:rsidR="00B65E4C" w:rsidRPr="00833515" w:rsidRDefault="00B65E4C" w:rsidP="00B65E4C">
      <w:pPr>
        <w:jc w:val="both"/>
        <w:rPr>
          <w:rFonts w:ascii="Arial Narrow" w:hAnsi="Arial Narrow"/>
          <w:b/>
          <w:bCs/>
          <w:color w:val="000080"/>
          <w:sz w:val="22"/>
          <w:szCs w:val="22"/>
        </w:rPr>
      </w:pPr>
      <w:r w:rsidRPr="00833515">
        <w:rPr>
          <w:rFonts w:ascii="Arial Narrow" w:hAnsi="Arial Narrow"/>
          <w:b/>
          <w:bCs/>
          <w:color w:val="000080"/>
          <w:sz w:val="22"/>
          <w:szCs w:val="22"/>
        </w:rPr>
        <w:t>Λοιπές δημοσιονομικές παρεμβάσεις</w:t>
      </w:r>
    </w:p>
    <w:p w:rsidR="00B65E4C" w:rsidRPr="00833515" w:rsidRDefault="00B65E4C" w:rsidP="00B65E4C">
      <w:pPr>
        <w:jc w:val="both"/>
        <w:rPr>
          <w:sz w:val="22"/>
        </w:rPr>
      </w:pPr>
    </w:p>
    <w:p w:rsidR="00B65E4C" w:rsidRPr="00833515" w:rsidRDefault="00B65E4C" w:rsidP="00B65E4C">
      <w:pPr>
        <w:jc w:val="both"/>
        <w:rPr>
          <w:sz w:val="22"/>
        </w:rPr>
      </w:pPr>
      <w:r w:rsidRPr="00833515">
        <w:rPr>
          <w:sz w:val="22"/>
        </w:rPr>
        <w:t>Εκτός από τις δημοσιονομικές παρεμβάσεις που αναφέρονται στην αντιμετώπιση των οικονομικών συνεπειών της πανδημίας, η δημοσιονομική αποτύπωση των ετών 2020 και 2021 επηρεάζεται από μια σειρά άλλων παρεμβάσεων που αφορούν, είτε αντιμετώπιση έκτακτων υποχρεώσεων του κράτους και ζημίες από φυσικές καταστροφές, είτε νέες αναπτυξιακές παρεμβάσεις. Αυτές περιλαμβάνουν:</w:t>
      </w:r>
    </w:p>
    <w:p w:rsidR="00B65E4C" w:rsidRPr="00833515" w:rsidRDefault="00B65E4C" w:rsidP="00B65E4C">
      <w:pPr>
        <w:jc w:val="both"/>
        <w:rPr>
          <w:sz w:val="22"/>
        </w:rPr>
      </w:pPr>
    </w:p>
    <w:p w:rsidR="00B65E4C" w:rsidRPr="00833515" w:rsidRDefault="00B65E4C" w:rsidP="00B65E4C">
      <w:pPr>
        <w:pStyle w:val="af2"/>
        <w:numPr>
          <w:ilvl w:val="0"/>
          <w:numId w:val="41"/>
        </w:numPr>
        <w:spacing w:after="0" w:line="240" w:lineRule="auto"/>
        <w:ind w:left="284" w:hanging="284"/>
        <w:contextualSpacing w:val="0"/>
        <w:jc w:val="both"/>
        <w:rPr>
          <w:rFonts w:ascii="Times New Roman" w:eastAsia="Times New Roman" w:hAnsi="Times New Roman"/>
          <w:szCs w:val="24"/>
          <w:lang w:eastAsia="el-GR"/>
        </w:rPr>
      </w:pPr>
      <w:r w:rsidRPr="00833515">
        <w:rPr>
          <w:rFonts w:ascii="Times New Roman" w:eastAsia="Times New Roman" w:hAnsi="Times New Roman"/>
          <w:szCs w:val="24"/>
          <w:lang w:eastAsia="el-GR"/>
        </w:rPr>
        <w:t>την καταβολή αναδρομικών ποσών σε συνταξιούχους δημόσιου και ιδιωτικού τομέα, ύψους 1,</w:t>
      </w:r>
      <w:r w:rsidR="0034634E">
        <w:rPr>
          <w:rFonts w:ascii="Times New Roman" w:eastAsia="Times New Roman" w:hAnsi="Times New Roman"/>
          <w:szCs w:val="24"/>
          <w:lang w:eastAsia="el-GR"/>
        </w:rPr>
        <w:t>4</w:t>
      </w:r>
      <w:r w:rsidRPr="00833515">
        <w:rPr>
          <w:rFonts w:ascii="Times New Roman" w:eastAsia="Times New Roman" w:hAnsi="Times New Roman"/>
          <w:szCs w:val="24"/>
          <w:lang w:eastAsia="el-GR"/>
        </w:rPr>
        <w:t xml:space="preserve"> δισ. ευρώ </w:t>
      </w:r>
      <w:r w:rsidR="0034634E">
        <w:rPr>
          <w:rFonts w:ascii="Times New Roman" w:eastAsia="Times New Roman" w:hAnsi="Times New Roman"/>
          <w:szCs w:val="24"/>
          <w:lang w:eastAsia="el-GR"/>
        </w:rPr>
        <w:t xml:space="preserve">περίπου </w:t>
      </w:r>
      <w:r w:rsidRPr="00833515">
        <w:rPr>
          <w:rFonts w:ascii="Times New Roman" w:eastAsia="Times New Roman" w:hAnsi="Times New Roman"/>
          <w:szCs w:val="24"/>
          <w:lang w:eastAsia="el-GR"/>
        </w:rPr>
        <w:t>το 2020,</w:t>
      </w:r>
    </w:p>
    <w:p w:rsidR="00B65E4C" w:rsidRPr="00833515" w:rsidRDefault="00B65E4C" w:rsidP="00B65E4C">
      <w:pPr>
        <w:pStyle w:val="af2"/>
        <w:numPr>
          <w:ilvl w:val="0"/>
          <w:numId w:val="41"/>
        </w:numPr>
        <w:spacing w:after="0" w:line="240" w:lineRule="auto"/>
        <w:ind w:left="284" w:hanging="284"/>
        <w:contextualSpacing w:val="0"/>
        <w:jc w:val="both"/>
        <w:rPr>
          <w:rFonts w:ascii="Times New Roman" w:eastAsia="Times New Roman" w:hAnsi="Times New Roman"/>
          <w:szCs w:val="24"/>
          <w:lang w:eastAsia="el-GR"/>
        </w:rPr>
      </w:pPr>
      <w:r w:rsidRPr="00833515">
        <w:rPr>
          <w:rFonts w:ascii="Times New Roman" w:eastAsia="Times New Roman" w:hAnsi="Times New Roman"/>
          <w:szCs w:val="24"/>
          <w:lang w:eastAsia="el-GR"/>
        </w:rPr>
        <w:t>την αντιμετώπιση των ζημιών από φυσικές καταστροφές</w:t>
      </w:r>
      <w:r w:rsidR="00932A3E">
        <w:rPr>
          <w:rFonts w:ascii="Times New Roman" w:eastAsia="Times New Roman" w:hAnsi="Times New Roman"/>
          <w:szCs w:val="24"/>
          <w:lang w:eastAsia="el-GR"/>
        </w:rPr>
        <w:t>, με κόστος</w:t>
      </w:r>
      <w:r w:rsidRPr="00833515">
        <w:rPr>
          <w:rFonts w:ascii="Times New Roman" w:eastAsia="Times New Roman" w:hAnsi="Times New Roman"/>
          <w:szCs w:val="24"/>
          <w:lang w:eastAsia="el-GR"/>
        </w:rPr>
        <w:t xml:space="preserve"> που αναμένεται να </w:t>
      </w:r>
      <w:r w:rsidR="00932A3E">
        <w:rPr>
          <w:rFonts w:ascii="Times New Roman" w:eastAsia="Times New Roman" w:hAnsi="Times New Roman"/>
          <w:szCs w:val="24"/>
          <w:lang w:eastAsia="el-GR"/>
        </w:rPr>
        <w:t>ξεπεράσει</w:t>
      </w:r>
      <w:r w:rsidR="00932A3E" w:rsidRPr="00833515">
        <w:rPr>
          <w:rFonts w:ascii="Times New Roman" w:eastAsia="Times New Roman" w:hAnsi="Times New Roman"/>
          <w:szCs w:val="24"/>
          <w:lang w:eastAsia="el-GR"/>
        </w:rPr>
        <w:t xml:space="preserve"> </w:t>
      </w:r>
      <w:r w:rsidRPr="00833515">
        <w:rPr>
          <w:rFonts w:ascii="Times New Roman" w:eastAsia="Times New Roman" w:hAnsi="Times New Roman"/>
          <w:szCs w:val="24"/>
          <w:lang w:eastAsia="el-GR"/>
        </w:rPr>
        <w:t>στα 230 εκατ. ευρώ το 2020,</w:t>
      </w:r>
    </w:p>
    <w:p w:rsidR="00B65E4C" w:rsidRDefault="00B65E4C" w:rsidP="00B65E4C">
      <w:pPr>
        <w:pStyle w:val="af2"/>
        <w:numPr>
          <w:ilvl w:val="0"/>
          <w:numId w:val="41"/>
        </w:numPr>
        <w:spacing w:after="0" w:line="240" w:lineRule="auto"/>
        <w:ind w:left="284" w:hanging="284"/>
        <w:contextualSpacing w:val="0"/>
        <w:jc w:val="both"/>
        <w:rPr>
          <w:rFonts w:ascii="Times New Roman" w:eastAsia="Times New Roman" w:hAnsi="Times New Roman"/>
          <w:szCs w:val="24"/>
          <w:lang w:eastAsia="el-GR"/>
        </w:rPr>
      </w:pPr>
      <w:r w:rsidRPr="0034634E">
        <w:rPr>
          <w:rFonts w:ascii="Times New Roman" w:eastAsia="Times New Roman" w:hAnsi="Times New Roman"/>
          <w:szCs w:val="24"/>
          <w:lang w:eastAsia="el-GR"/>
        </w:rPr>
        <w:t>την εξαίρεση της δαπάνης των εμβολίων που εντάσσονται στο πρόγραμμα εθνικού εμβολιασμού, από το όριο της φαρμακευτικής δαπάνης του Ε</w:t>
      </w:r>
      <w:r w:rsidR="0034634E">
        <w:rPr>
          <w:rFonts w:ascii="Times New Roman" w:eastAsia="Times New Roman" w:hAnsi="Times New Roman"/>
          <w:szCs w:val="24"/>
          <w:lang w:eastAsia="el-GR"/>
        </w:rPr>
        <w:t>ΟΠΥΥ, με δημοσιονομικό κόστος 10</w:t>
      </w:r>
      <w:r w:rsidRPr="0034634E">
        <w:rPr>
          <w:rFonts w:ascii="Times New Roman" w:eastAsia="Times New Roman" w:hAnsi="Times New Roman"/>
          <w:szCs w:val="24"/>
          <w:lang w:eastAsia="el-GR"/>
        </w:rPr>
        <w:t>0</w:t>
      </w:r>
      <w:r w:rsidR="0034634E">
        <w:rPr>
          <w:rFonts w:ascii="Times New Roman" w:eastAsia="Times New Roman" w:hAnsi="Times New Roman"/>
          <w:szCs w:val="24"/>
          <w:lang w:eastAsia="el-GR"/>
        </w:rPr>
        <w:t xml:space="preserve"> εκατ. ευρώ για το 2020 και 170</w:t>
      </w:r>
      <w:r w:rsidRPr="0034634E">
        <w:rPr>
          <w:rFonts w:ascii="Times New Roman" w:eastAsia="Times New Roman" w:hAnsi="Times New Roman"/>
          <w:szCs w:val="24"/>
          <w:lang w:eastAsia="el-GR"/>
        </w:rPr>
        <w:t xml:space="preserve"> εκατ. ευρώ για το έτος 2021,</w:t>
      </w:r>
    </w:p>
    <w:p w:rsidR="0087697F" w:rsidRDefault="0087697F" w:rsidP="00B65E4C">
      <w:pPr>
        <w:pStyle w:val="af2"/>
        <w:numPr>
          <w:ilvl w:val="0"/>
          <w:numId w:val="41"/>
        </w:numPr>
        <w:spacing w:after="0" w:line="240" w:lineRule="auto"/>
        <w:ind w:left="284" w:hanging="284"/>
        <w:contextualSpacing w:val="0"/>
        <w:jc w:val="both"/>
        <w:rPr>
          <w:rFonts w:ascii="Times New Roman" w:eastAsia="Times New Roman" w:hAnsi="Times New Roman"/>
          <w:szCs w:val="24"/>
          <w:lang w:eastAsia="el-GR"/>
        </w:rPr>
      </w:pPr>
      <w:r>
        <w:rPr>
          <w:rFonts w:ascii="Times New Roman" w:eastAsia="Times New Roman" w:hAnsi="Times New Roman"/>
          <w:szCs w:val="24"/>
          <w:lang w:eastAsia="el-GR"/>
        </w:rPr>
        <w:t>την αύξηση του ορίου της νοσοκομειακής φαρ</w:t>
      </w:r>
      <w:bookmarkStart w:id="9" w:name="_GoBack"/>
      <w:bookmarkEnd w:id="9"/>
      <w:r>
        <w:rPr>
          <w:rFonts w:ascii="Times New Roman" w:eastAsia="Times New Roman" w:hAnsi="Times New Roman"/>
          <w:szCs w:val="24"/>
          <w:lang w:eastAsia="el-GR"/>
        </w:rPr>
        <w:t>μακευτικής δαπάνης του ΕΟΠΥΥ κατά 30 εκατ. ε</w:t>
      </w:r>
      <w:r>
        <w:rPr>
          <w:rFonts w:ascii="Times New Roman" w:eastAsia="Times New Roman" w:hAnsi="Times New Roman"/>
          <w:szCs w:val="24"/>
          <w:lang w:eastAsia="el-GR"/>
        </w:rPr>
        <w:t>υ</w:t>
      </w:r>
      <w:r>
        <w:rPr>
          <w:rFonts w:ascii="Times New Roman" w:eastAsia="Times New Roman" w:hAnsi="Times New Roman"/>
          <w:szCs w:val="24"/>
          <w:lang w:eastAsia="el-GR"/>
        </w:rPr>
        <w:t>ρώ για τα έτη 2020 και 2021,</w:t>
      </w:r>
    </w:p>
    <w:p w:rsidR="00570056" w:rsidRPr="00833515" w:rsidRDefault="00570056" w:rsidP="00570056">
      <w:pPr>
        <w:pStyle w:val="af2"/>
        <w:numPr>
          <w:ilvl w:val="0"/>
          <w:numId w:val="41"/>
        </w:numPr>
        <w:spacing w:after="0" w:line="240" w:lineRule="auto"/>
        <w:ind w:left="284" w:hanging="284"/>
        <w:contextualSpacing w:val="0"/>
        <w:jc w:val="both"/>
        <w:rPr>
          <w:rFonts w:ascii="Times New Roman" w:hAnsi="Times New Roman"/>
          <w:szCs w:val="24"/>
        </w:rPr>
      </w:pPr>
      <w:r w:rsidRPr="00833515">
        <w:rPr>
          <w:rFonts w:ascii="Times New Roman" w:hAnsi="Times New Roman"/>
          <w:szCs w:val="24"/>
        </w:rPr>
        <w:t>την αυξημένη επι</w:t>
      </w:r>
      <w:r>
        <w:rPr>
          <w:rFonts w:ascii="Times New Roman" w:hAnsi="Times New Roman"/>
          <w:szCs w:val="24"/>
        </w:rPr>
        <w:t>χορήγηση προς τον ΕΟΠΥΥ κατά 377</w:t>
      </w:r>
      <w:r w:rsidRPr="00833515">
        <w:rPr>
          <w:rFonts w:ascii="Times New Roman" w:hAnsi="Times New Roman"/>
          <w:szCs w:val="24"/>
        </w:rPr>
        <w:t xml:space="preserve"> εκατ. ευρώ το 2020,</w:t>
      </w:r>
      <w:r>
        <w:rPr>
          <w:rFonts w:ascii="Times New Roman" w:hAnsi="Times New Roman"/>
          <w:szCs w:val="24"/>
        </w:rPr>
        <w:t xml:space="preserve"> επιπλέον της αύξησης του ορίου της φαρμακευτικής δαπάνης </w:t>
      </w:r>
      <w:r w:rsidR="00A46653">
        <w:rPr>
          <w:rFonts w:ascii="Times New Roman" w:hAnsi="Times New Roman"/>
          <w:szCs w:val="24"/>
        </w:rPr>
        <w:t xml:space="preserve">ανωτέρω </w:t>
      </w:r>
      <w:r w:rsidR="00D6443E">
        <w:rPr>
          <w:rFonts w:ascii="Times New Roman" w:hAnsi="Times New Roman"/>
          <w:szCs w:val="24"/>
        </w:rPr>
        <w:t xml:space="preserve">κατά </w:t>
      </w:r>
      <w:r>
        <w:rPr>
          <w:rFonts w:ascii="Times New Roman" w:hAnsi="Times New Roman"/>
          <w:szCs w:val="24"/>
        </w:rPr>
        <w:t>30 εκατ. ευρώ</w:t>
      </w:r>
      <w:r w:rsidR="00D6443E">
        <w:rPr>
          <w:rFonts w:ascii="Times New Roman" w:hAnsi="Times New Roman"/>
          <w:szCs w:val="24"/>
        </w:rPr>
        <w:t xml:space="preserve"> και της εξαίρεσης των εμβ</w:t>
      </w:r>
      <w:r w:rsidR="00D6443E">
        <w:rPr>
          <w:rFonts w:ascii="Times New Roman" w:hAnsi="Times New Roman"/>
          <w:szCs w:val="24"/>
        </w:rPr>
        <w:t>ο</w:t>
      </w:r>
      <w:r w:rsidR="00D6443E">
        <w:rPr>
          <w:rFonts w:ascii="Times New Roman" w:hAnsi="Times New Roman"/>
          <w:szCs w:val="24"/>
        </w:rPr>
        <w:t>λίων από το όριο της φαρμακευτικής δαπάνης, με δημοσιονομικό κόστος 100 εκατ.</w:t>
      </w:r>
      <w:r w:rsidR="00995486">
        <w:rPr>
          <w:rFonts w:ascii="Times New Roman" w:hAnsi="Times New Roman"/>
          <w:szCs w:val="24"/>
        </w:rPr>
        <w:t xml:space="preserve"> ευρώ,</w:t>
      </w:r>
    </w:p>
    <w:p w:rsidR="00B65E4C" w:rsidRPr="0034634E" w:rsidRDefault="00B65E4C" w:rsidP="00B65E4C">
      <w:pPr>
        <w:pStyle w:val="af2"/>
        <w:numPr>
          <w:ilvl w:val="0"/>
          <w:numId w:val="41"/>
        </w:numPr>
        <w:spacing w:after="0" w:line="240" w:lineRule="auto"/>
        <w:ind w:left="284" w:hanging="284"/>
        <w:contextualSpacing w:val="0"/>
        <w:jc w:val="both"/>
        <w:rPr>
          <w:rFonts w:ascii="Times New Roman" w:hAnsi="Times New Roman"/>
          <w:szCs w:val="24"/>
        </w:rPr>
      </w:pPr>
      <w:r w:rsidRPr="0034634E">
        <w:rPr>
          <w:rFonts w:ascii="Times New Roman" w:hAnsi="Times New Roman"/>
          <w:szCs w:val="24"/>
        </w:rPr>
        <w:t>το πρόγραμμα εξόφλησης ληξιπρόθεσμων οφειλών των ΟΤΑ ύψους περίπου 116 εκατ. ευρώ,</w:t>
      </w:r>
    </w:p>
    <w:p w:rsidR="00B65E4C" w:rsidRPr="00833515" w:rsidRDefault="00B65E4C" w:rsidP="00B65E4C">
      <w:pPr>
        <w:pStyle w:val="af2"/>
        <w:numPr>
          <w:ilvl w:val="0"/>
          <w:numId w:val="41"/>
        </w:numPr>
        <w:spacing w:after="0" w:line="240" w:lineRule="auto"/>
        <w:ind w:left="284" w:hanging="284"/>
        <w:contextualSpacing w:val="0"/>
        <w:jc w:val="both"/>
        <w:rPr>
          <w:rFonts w:ascii="Times New Roman" w:eastAsia="Times New Roman" w:hAnsi="Times New Roman"/>
          <w:szCs w:val="24"/>
          <w:lang w:eastAsia="el-GR"/>
        </w:rPr>
      </w:pPr>
      <w:r w:rsidRPr="00833515">
        <w:rPr>
          <w:rFonts w:ascii="Times New Roman" w:eastAsia="Times New Roman" w:hAnsi="Times New Roman"/>
          <w:szCs w:val="24"/>
          <w:lang w:eastAsia="el-GR"/>
        </w:rPr>
        <w:t>τη θέσπιση του κώδικα διευθέτησης οφειλών και παροχής δεύτερης ευκαιρίας σε δανειολήπτες, με δημοσιονομικό κόστος 100 εκατ. ευρώ για το 2021,</w:t>
      </w:r>
    </w:p>
    <w:p w:rsidR="00B65E4C" w:rsidRPr="00833515" w:rsidRDefault="00B65E4C" w:rsidP="00B65E4C">
      <w:pPr>
        <w:pStyle w:val="af2"/>
        <w:numPr>
          <w:ilvl w:val="0"/>
          <w:numId w:val="41"/>
        </w:numPr>
        <w:spacing w:after="0" w:line="240" w:lineRule="auto"/>
        <w:ind w:left="284" w:hanging="284"/>
        <w:contextualSpacing w:val="0"/>
        <w:jc w:val="both"/>
        <w:rPr>
          <w:rFonts w:ascii="Times New Roman" w:eastAsia="Times New Roman" w:hAnsi="Times New Roman"/>
          <w:szCs w:val="24"/>
          <w:lang w:eastAsia="el-GR"/>
        </w:rPr>
      </w:pPr>
      <w:r w:rsidRPr="00833515">
        <w:rPr>
          <w:rFonts w:ascii="Times New Roman" w:eastAsia="Times New Roman" w:hAnsi="Times New Roman"/>
          <w:szCs w:val="24"/>
          <w:lang w:eastAsia="el-GR"/>
        </w:rPr>
        <w:t>την υπεραπόσβεση δαπανών έρευνας και ανάπτυξης (R&amp;D), με δημοσιονομικό κόστος 35 εκατ. ευρώ για το 2021,</w:t>
      </w:r>
    </w:p>
    <w:p w:rsidR="00B65E4C" w:rsidRPr="00833515" w:rsidRDefault="00B65E4C" w:rsidP="00B65E4C">
      <w:pPr>
        <w:pStyle w:val="af2"/>
        <w:numPr>
          <w:ilvl w:val="0"/>
          <w:numId w:val="41"/>
        </w:numPr>
        <w:spacing w:after="0" w:line="240" w:lineRule="auto"/>
        <w:ind w:left="284" w:hanging="284"/>
        <w:contextualSpacing w:val="0"/>
        <w:jc w:val="both"/>
        <w:rPr>
          <w:rFonts w:ascii="Times New Roman" w:eastAsia="Times New Roman" w:hAnsi="Times New Roman"/>
          <w:szCs w:val="24"/>
          <w:lang w:eastAsia="el-GR"/>
        </w:rPr>
      </w:pPr>
      <w:r w:rsidRPr="00833515">
        <w:rPr>
          <w:rFonts w:ascii="Times New Roman" w:eastAsia="Times New Roman" w:hAnsi="Times New Roman"/>
          <w:szCs w:val="24"/>
          <w:lang w:eastAsia="el-GR"/>
        </w:rPr>
        <w:t>την υπερέκπτωση για επενδύσεις σε πράσινη οικονομία, ενέργεια και ψηφιοποίηση (επιβαρύνει το δημοσιονομικό αποτέλεσμα του έτους 2022),</w:t>
      </w:r>
    </w:p>
    <w:p w:rsidR="00B65E4C" w:rsidRPr="0039630A" w:rsidRDefault="00B65E4C" w:rsidP="00B65E4C">
      <w:pPr>
        <w:pStyle w:val="af2"/>
        <w:numPr>
          <w:ilvl w:val="0"/>
          <w:numId w:val="41"/>
        </w:numPr>
        <w:spacing w:after="0" w:line="240" w:lineRule="auto"/>
        <w:ind w:left="284" w:hanging="284"/>
        <w:contextualSpacing w:val="0"/>
        <w:jc w:val="both"/>
        <w:rPr>
          <w:rFonts w:ascii="Times New Roman" w:eastAsia="Times New Roman" w:hAnsi="Times New Roman"/>
          <w:szCs w:val="24"/>
          <w:lang w:eastAsia="el-GR"/>
        </w:rPr>
      </w:pPr>
      <w:r w:rsidRPr="00833515">
        <w:rPr>
          <w:rFonts w:ascii="Times New Roman" w:eastAsia="Times New Roman" w:hAnsi="Times New Roman"/>
          <w:szCs w:val="24"/>
          <w:lang w:eastAsia="el-GR"/>
        </w:rPr>
        <w:lastRenderedPageBreak/>
        <w:t xml:space="preserve">την κατάργηση του ΕΝΦΙΑ σε μικρά και απομακρυσμένα νησιά με δημοσιονομικό κόστος 1,5 </w:t>
      </w:r>
      <w:r w:rsidRPr="00833515">
        <w:rPr>
          <w:rFonts w:ascii="Times New Roman" w:eastAsia="Times New Roman" w:hAnsi="Times New Roman"/>
          <w:szCs w:val="24"/>
          <w:lang w:eastAsia="el-GR"/>
        </w:rPr>
        <w:t>ε</w:t>
      </w:r>
      <w:r w:rsidRPr="00833515">
        <w:rPr>
          <w:rFonts w:ascii="Times New Roman" w:eastAsia="Times New Roman" w:hAnsi="Times New Roman"/>
          <w:szCs w:val="24"/>
          <w:lang w:eastAsia="el-GR"/>
        </w:rPr>
        <w:t>κατ. ευρώ για το 2020 και 1,5 εκατ. ευρώ για το 2021</w:t>
      </w:r>
      <w:r w:rsidR="00D3780B">
        <w:rPr>
          <w:rFonts w:ascii="Times New Roman" w:eastAsia="Times New Roman" w:hAnsi="Times New Roman"/>
          <w:szCs w:val="24"/>
          <w:lang w:eastAsia="el-GR"/>
        </w:rPr>
        <w:t>,</w:t>
      </w:r>
    </w:p>
    <w:p w:rsidR="0039630A" w:rsidRPr="00833515" w:rsidRDefault="0039630A" w:rsidP="00B65E4C">
      <w:pPr>
        <w:pStyle w:val="af2"/>
        <w:numPr>
          <w:ilvl w:val="0"/>
          <w:numId w:val="41"/>
        </w:numPr>
        <w:spacing w:after="0" w:line="240" w:lineRule="auto"/>
        <w:ind w:left="284" w:hanging="284"/>
        <w:contextualSpacing w:val="0"/>
        <w:jc w:val="both"/>
        <w:rPr>
          <w:rFonts w:ascii="Times New Roman" w:eastAsia="Times New Roman" w:hAnsi="Times New Roman"/>
          <w:szCs w:val="24"/>
          <w:lang w:eastAsia="el-GR"/>
        </w:rPr>
      </w:pPr>
      <w:r>
        <w:rPr>
          <w:rFonts w:ascii="Times New Roman" w:eastAsia="Times New Roman" w:hAnsi="Times New Roman"/>
          <w:szCs w:val="24"/>
          <w:lang w:eastAsia="el-GR"/>
        </w:rPr>
        <w:t>την έκτακτη ενίσχυση των ευάλωτων νοικοκυριών, με την διπλή καταβολή του ελάχιστου εγγυ</w:t>
      </w:r>
      <w:r>
        <w:rPr>
          <w:rFonts w:ascii="Times New Roman" w:eastAsia="Times New Roman" w:hAnsi="Times New Roman"/>
          <w:szCs w:val="24"/>
          <w:lang w:eastAsia="el-GR"/>
        </w:rPr>
        <w:t>η</w:t>
      </w:r>
      <w:r>
        <w:rPr>
          <w:rFonts w:ascii="Times New Roman" w:eastAsia="Times New Roman" w:hAnsi="Times New Roman"/>
          <w:szCs w:val="24"/>
          <w:lang w:eastAsia="el-GR"/>
        </w:rPr>
        <w:t>μένου εισοδήματος, ύψους περίπου 55 εκατ. ευρώ, τον Δεκέμβριο του 2020.</w:t>
      </w:r>
    </w:p>
    <w:p w:rsidR="00B65E4C" w:rsidRPr="00833515" w:rsidRDefault="00B65E4C" w:rsidP="00B65E4C">
      <w:pPr>
        <w:jc w:val="both"/>
        <w:rPr>
          <w:sz w:val="22"/>
        </w:rPr>
      </w:pPr>
    </w:p>
    <w:p w:rsidR="00B65E4C" w:rsidRDefault="00B65E4C" w:rsidP="00B65E4C">
      <w:pPr>
        <w:jc w:val="both"/>
        <w:rPr>
          <w:sz w:val="22"/>
        </w:rPr>
      </w:pPr>
      <w:r w:rsidRPr="00833515">
        <w:rPr>
          <w:sz w:val="22"/>
        </w:rPr>
        <w:t xml:space="preserve">Παράλληλα, τόσο για το 2020 όσο και για το 2021 έχει δοθεί προτεραιότητα σε παρεμβάσεις που </w:t>
      </w:r>
      <w:r w:rsidRPr="00833515">
        <w:rPr>
          <w:sz w:val="22"/>
        </w:rPr>
        <w:t>α</w:t>
      </w:r>
      <w:r w:rsidRPr="00833515">
        <w:rPr>
          <w:sz w:val="22"/>
        </w:rPr>
        <w:t>φορούν στην αντιμετώπιση θεμάτων Εθνικής Άμυνας και Ασφάλειας, καθώς και μετα</w:t>
      </w:r>
      <w:r w:rsidR="00425442">
        <w:rPr>
          <w:sz w:val="22"/>
        </w:rPr>
        <w:t>ναστευτικών ροών (πίνακας</w:t>
      </w:r>
      <w:r w:rsidR="00655CC9">
        <w:rPr>
          <w:sz w:val="22"/>
        </w:rPr>
        <w:t xml:space="preserve"> 3.31</w:t>
      </w:r>
      <w:r w:rsidRPr="00833515">
        <w:rPr>
          <w:sz w:val="22"/>
        </w:rPr>
        <w:t xml:space="preserve">). Ειδικότερα, οι πληρωμές για την Εθνική Άμυνα (εξοπλιστικά προγράμματα) </w:t>
      </w:r>
      <w:r w:rsidRPr="00833515">
        <w:rPr>
          <w:sz w:val="22"/>
        </w:rPr>
        <w:t>α</w:t>
      </w:r>
      <w:r w:rsidRPr="00833515">
        <w:rPr>
          <w:sz w:val="22"/>
        </w:rPr>
        <w:t xml:space="preserve">ναμένεται να ανέλθουν </w:t>
      </w:r>
      <w:r w:rsidR="001D6F16">
        <w:rPr>
          <w:sz w:val="22"/>
        </w:rPr>
        <w:t xml:space="preserve">στο ποσό των </w:t>
      </w:r>
      <w:r w:rsidRPr="00833515">
        <w:rPr>
          <w:sz w:val="22"/>
        </w:rPr>
        <w:t xml:space="preserve">2,5 δισ. ευρώ το 2021, αυξημένες κατά 2 δισ. ευρώ </w:t>
      </w:r>
      <w:r w:rsidR="001D6F16">
        <w:rPr>
          <w:sz w:val="22"/>
        </w:rPr>
        <w:t xml:space="preserve">περίπου </w:t>
      </w:r>
      <w:r w:rsidRPr="00833515">
        <w:rPr>
          <w:sz w:val="22"/>
        </w:rPr>
        <w:t xml:space="preserve">σε σχέση με το 2020. Οι δαπάνες για τις μεταναστευτικές ροές </w:t>
      </w:r>
      <w:r w:rsidR="001D6F16">
        <w:rPr>
          <w:sz w:val="22"/>
        </w:rPr>
        <w:t xml:space="preserve">το 2021 </w:t>
      </w:r>
      <w:r w:rsidRPr="00833515">
        <w:rPr>
          <w:sz w:val="22"/>
        </w:rPr>
        <w:t>προβλέπεται να ανέλθουν σε 564 εκατ. ευρώ, εκ των οποίων 414 εκατ. ευρώ καλύπτονται από τον τακτικό προϋπολογισμό.</w:t>
      </w:r>
    </w:p>
    <w:p w:rsidR="0039630A" w:rsidRDefault="0039630A" w:rsidP="00B65E4C">
      <w:pPr>
        <w:jc w:val="both"/>
        <w:rPr>
          <w:sz w:val="22"/>
        </w:rPr>
      </w:pPr>
    </w:p>
    <w:p w:rsidR="0039630A" w:rsidRPr="00833515" w:rsidRDefault="0039630A" w:rsidP="0039630A">
      <w:pPr>
        <w:jc w:val="both"/>
        <w:rPr>
          <w:sz w:val="22"/>
        </w:rPr>
      </w:pPr>
      <w:r w:rsidRPr="00833515">
        <w:rPr>
          <w:sz w:val="22"/>
        </w:rPr>
        <w:t>Λαμβάνοντας υπόψη τα ανωτέρω, το σύνολο των παρεμβάσεων για την ενίσχυση της Ελληνικής ο</w:t>
      </w:r>
      <w:r w:rsidRPr="00833515">
        <w:rPr>
          <w:sz w:val="22"/>
        </w:rPr>
        <w:t>ι</w:t>
      </w:r>
      <w:r w:rsidRPr="00833515">
        <w:rPr>
          <w:sz w:val="22"/>
        </w:rPr>
        <w:t xml:space="preserve">κονομίας και την αντιμετώπιση των πολλαπλών κρίσεων (υγειονομική, οικονομική, μεταναστευτική, φυσικών καταστροφών) προσεγγίζει τα </w:t>
      </w:r>
      <w:r>
        <w:rPr>
          <w:sz w:val="22"/>
        </w:rPr>
        <w:t>27</w:t>
      </w:r>
      <w:r w:rsidRPr="00833515">
        <w:rPr>
          <w:sz w:val="22"/>
        </w:rPr>
        <w:t xml:space="preserve"> δισ. ευρώ</w:t>
      </w:r>
      <w:r>
        <w:rPr>
          <w:sz w:val="22"/>
        </w:rPr>
        <w:t xml:space="preserve"> το 2020 και αναμένεται να υπερβεί τα 10 δι</w:t>
      </w:r>
      <w:r w:rsidRPr="0039630A">
        <w:rPr>
          <w:sz w:val="22"/>
        </w:rPr>
        <w:t>σ</w:t>
      </w:r>
      <w:r w:rsidRPr="00833515">
        <w:rPr>
          <w:sz w:val="22"/>
        </w:rPr>
        <w:t xml:space="preserve">. </w:t>
      </w:r>
      <w:r>
        <w:rPr>
          <w:sz w:val="22"/>
        </w:rPr>
        <w:t>ευρώ το 2021</w:t>
      </w:r>
      <w:r w:rsidR="00F53452">
        <w:rPr>
          <w:sz w:val="22"/>
        </w:rPr>
        <w:t>, χωρίς να ληφ</w:t>
      </w:r>
      <w:r w:rsidR="00521EF7">
        <w:rPr>
          <w:sz w:val="22"/>
        </w:rPr>
        <w:t>θ</w:t>
      </w:r>
      <w:r w:rsidR="00F53452">
        <w:rPr>
          <w:sz w:val="22"/>
        </w:rPr>
        <w:t>ούν υπόψη οι πόροι που θα απορροφηθούν στα πλαίσια του Μηχανισμού Ανάκαμψης και Ανθεκτικότ</w:t>
      </w:r>
      <w:r w:rsidR="00521EF7">
        <w:rPr>
          <w:sz w:val="22"/>
        </w:rPr>
        <w:t>ητ</w:t>
      </w:r>
      <w:r w:rsidR="00F53452">
        <w:rPr>
          <w:sz w:val="22"/>
        </w:rPr>
        <w:t>ας</w:t>
      </w:r>
      <w:r>
        <w:rPr>
          <w:sz w:val="22"/>
        </w:rPr>
        <w:t>.</w:t>
      </w:r>
    </w:p>
    <w:p w:rsidR="0039630A" w:rsidRPr="00833515" w:rsidRDefault="0039630A" w:rsidP="00B65E4C">
      <w:pPr>
        <w:jc w:val="both"/>
        <w:rPr>
          <w:sz w:val="22"/>
        </w:rPr>
      </w:pPr>
    </w:p>
    <w:p w:rsidR="000C42CD" w:rsidRDefault="000C42CD" w:rsidP="00871F74">
      <w:pPr>
        <w:tabs>
          <w:tab w:val="left" w:pos="284"/>
        </w:tabs>
        <w:contextualSpacing/>
        <w:jc w:val="both"/>
        <w:rPr>
          <w:bCs/>
          <w:sz w:val="22"/>
          <w:szCs w:val="22"/>
        </w:rPr>
      </w:pP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6"/>
        <w:gridCol w:w="1091"/>
        <w:gridCol w:w="1182"/>
      </w:tblGrid>
      <w:tr w:rsidR="00E7630D" w:rsidRPr="00425442" w:rsidTr="00425442">
        <w:tc>
          <w:tcPr>
            <w:tcW w:w="5000" w:type="pct"/>
            <w:gridSpan w:val="3"/>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E7630D" w:rsidRPr="00425442" w:rsidRDefault="00655CC9" w:rsidP="0069738C">
            <w:pPr>
              <w:spacing w:before="40"/>
              <w:jc w:val="center"/>
              <w:rPr>
                <w:rFonts w:ascii="Arial Narrow" w:hAnsi="Arial Narrow"/>
                <w:b/>
                <w:color w:val="FFFFFF" w:themeColor="background1"/>
              </w:rPr>
            </w:pPr>
            <w:r>
              <w:rPr>
                <w:rFonts w:ascii="Arial Narrow" w:hAnsi="Arial Narrow"/>
                <w:b/>
                <w:color w:val="FFFFFF" w:themeColor="background1"/>
              </w:rPr>
              <w:t>Πίνακας 3.31</w:t>
            </w:r>
            <w:r w:rsidR="00E7630D" w:rsidRPr="00425442">
              <w:rPr>
                <w:rFonts w:ascii="Arial Narrow" w:hAnsi="Arial Narrow"/>
                <w:b/>
                <w:color w:val="FFFFFF" w:themeColor="background1"/>
              </w:rPr>
              <w:t xml:space="preserve"> Εθνική Άμυνα και Μεταναστευτικό</w:t>
            </w:r>
          </w:p>
          <w:p w:rsidR="00E7630D" w:rsidRPr="00425442" w:rsidRDefault="00E7630D" w:rsidP="0069738C">
            <w:pPr>
              <w:spacing w:before="40"/>
              <w:jc w:val="center"/>
              <w:rPr>
                <w:rFonts w:ascii="Arial Narrow" w:hAnsi="Arial Narrow"/>
                <w:b/>
                <w:color w:val="FFFFFF" w:themeColor="background1"/>
              </w:rPr>
            </w:pPr>
            <w:r w:rsidRPr="00425442">
              <w:rPr>
                <w:rFonts w:ascii="Arial Narrow" w:hAnsi="Arial Narrow"/>
                <w:b/>
                <w:bCs/>
                <w:color w:val="FFFFFF" w:themeColor="background1"/>
              </w:rPr>
              <w:t>(</w:t>
            </w:r>
            <w:r w:rsidRPr="00425442">
              <w:rPr>
                <w:rFonts w:ascii="Arial Narrow" w:hAnsi="Arial Narrow"/>
                <w:b/>
                <w:iCs/>
                <w:color w:val="FFFFFF" w:themeColor="background1"/>
              </w:rPr>
              <w:t>σε εκατ. ευρώ)</w:t>
            </w:r>
          </w:p>
        </w:tc>
      </w:tr>
      <w:tr w:rsidR="00425442" w:rsidRPr="008B2957" w:rsidTr="00425442">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425442" w:rsidRPr="008B2957" w:rsidRDefault="00425442" w:rsidP="0069738C">
            <w:pPr>
              <w:spacing w:before="40" w:after="40"/>
              <w:jc w:val="center"/>
              <w:rPr>
                <w:rFonts w:ascii="Arial Narrow" w:hAnsi="Arial Narrow"/>
                <w:b/>
                <w:sz w:val="16"/>
                <w:szCs w:val="16"/>
              </w:rPr>
            </w:pPr>
          </w:p>
        </w:tc>
      </w:tr>
      <w:tr w:rsidR="00E7630D" w:rsidRPr="008B2957" w:rsidTr="00E7630D">
        <w:tc>
          <w:tcPr>
            <w:tcW w:w="3750" w:type="pct"/>
            <w:tcBorders>
              <w:top w:val="single" w:sz="4" w:space="0" w:color="auto"/>
              <w:left w:val="single" w:sz="4" w:space="0" w:color="auto"/>
              <w:bottom w:val="single" w:sz="4" w:space="0" w:color="auto"/>
              <w:right w:val="single" w:sz="4" w:space="0" w:color="auto"/>
            </w:tcBorders>
            <w:shd w:val="clear" w:color="auto" w:fill="FFFFFF"/>
          </w:tcPr>
          <w:p w:rsidR="00E7630D" w:rsidRPr="008B2957" w:rsidRDefault="00E7630D" w:rsidP="0069738C">
            <w:pPr>
              <w:spacing w:before="40" w:after="40"/>
              <w:jc w:val="center"/>
              <w:rPr>
                <w:rFonts w:ascii="Arial Narrow" w:hAnsi="Arial Narrow"/>
                <w:sz w:val="16"/>
                <w:szCs w:val="16"/>
              </w:rPr>
            </w:pP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E7630D" w:rsidRPr="008B2957" w:rsidRDefault="00E7630D" w:rsidP="0069738C">
            <w:pPr>
              <w:spacing w:before="40" w:after="40"/>
              <w:jc w:val="center"/>
              <w:rPr>
                <w:rFonts w:ascii="Arial Narrow" w:hAnsi="Arial Narrow"/>
                <w:b/>
                <w:sz w:val="16"/>
                <w:szCs w:val="16"/>
              </w:rPr>
            </w:pPr>
            <w:r w:rsidRPr="008B2957">
              <w:rPr>
                <w:rFonts w:ascii="Arial Narrow" w:hAnsi="Arial Narrow"/>
                <w:b/>
                <w:sz w:val="16"/>
                <w:szCs w:val="16"/>
              </w:rPr>
              <w:t>2020</w:t>
            </w:r>
          </w:p>
        </w:tc>
        <w:tc>
          <w:tcPr>
            <w:tcW w:w="650" w:type="pct"/>
            <w:tcBorders>
              <w:top w:val="single" w:sz="4" w:space="0" w:color="auto"/>
              <w:left w:val="single" w:sz="4" w:space="0" w:color="auto"/>
              <w:bottom w:val="single" w:sz="4" w:space="0" w:color="auto"/>
              <w:right w:val="single" w:sz="4" w:space="0" w:color="auto"/>
            </w:tcBorders>
            <w:shd w:val="clear" w:color="auto" w:fill="FFFFFF"/>
          </w:tcPr>
          <w:p w:rsidR="00E7630D" w:rsidRPr="008B2957" w:rsidRDefault="00E7630D" w:rsidP="0069738C">
            <w:pPr>
              <w:spacing w:before="40" w:after="40"/>
              <w:jc w:val="center"/>
              <w:rPr>
                <w:rFonts w:ascii="Arial Narrow" w:hAnsi="Arial Narrow"/>
                <w:b/>
                <w:sz w:val="16"/>
                <w:szCs w:val="16"/>
              </w:rPr>
            </w:pPr>
            <w:r w:rsidRPr="008B2957">
              <w:rPr>
                <w:rFonts w:ascii="Arial Narrow" w:hAnsi="Arial Narrow"/>
                <w:b/>
                <w:sz w:val="16"/>
                <w:szCs w:val="16"/>
              </w:rPr>
              <w:t>2021</w:t>
            </w:r>
          </w:p>
        </w:tc>
      </w:tr>
      <w:tr w:rsidR="00E7630D" w:rsidRPr="008B2957" w:rsidTr="00E7630D">
        <w:tc>
          <w:tcPr>
            <w:tcW w:w="3750" w:type="pct"/>
            <w:tcBorders>
              <w:top w:val="single" w:sz="4" w:space="0" w:color="auto"/>
              <w:bottom w:val="single" w:sz="4" w:space="0" w:color="BFBFBF"/>
              <w:right w:val="nil"/>
            </w:tcBorders>
            <w:shd w:val="clear" w:color="auto" w:fill="D9D9D9"/>
          </w:tcPr>
          <w:p w:rsidR="00E7630D" w:rsidRPr="008B2957" w:rsidRDefault="00E7630D" w:rsidP="0069738C">
            <w:pPr>
              <w:rPr>
                <w:rFonts w:ascii="Arial Narrow" w:hAnsi="Arial Narrow"/>
                <w:b/>
                <w:sz w:val="16"/>
                <w:szCs w:val="16"/>
              </w:rPr>
            </w:pPr>
            <w:r w:rsidRPr="008B2957">
              <w:rPr>
                <w:rFonts w:ascii="Arial Narrow" w:hAnsi="Arial Narrow"/>
                <w:b/>
                <w:sz w:val="16"/>
                <w:szCs w:val="16"/>
              </w:rPr>
              <w:t>Εξοπλιστικά</w:t>
            </w:r>
            <w:r w:rsidRPr="00425442">
              <w:rPr>
                <w:rFonts w:ascii="Arial Narrow" w:hAnsi="Arial Narrow"/>
                <w:b/>
                <w:sz w:val="16"/>
                <w:szCs w:val="16"/>
              </w:rPr>
              <w:t xml:space="preserve"> </w:t>
            </w:r>
            <w:r w:rsidRPr="008B2957">
              <w:rPr>
                <w:rFonts w:ascii="Arial Narrow" w:hAnsi="Arial Narrow"/>
                <w:b/>
                <w:sz w:val="16"/>
                <w:szCs w:val="16"/>
              </w:rPr>
              <w:t>προγράμματα</w:t>
            </w:r>
          </w:p>
        </w:tc>
        <w:tc>
          <w:tcPr>
            <w:tcW w:w="600" w:type="pct"/>
            <w:tcBorders>
              <w:top w:val="single" w:sz="4" w:space="0" w:color="auto"/>
              <w:left w:val="nil"/>
              <w:bottom w:val="single" w:sz="4" w:space="0" w:color="BFBFBF"/>
              <w:right w:val="nil"/>
            </w:tcBorders>
            <w:shd w:val="clear" w:color="auto" w:fill="D9D9D9"/>
          </w:tcPr>
          <w:p w:rsidR="00E7630D" w:rsidRPr="008B2957" w:rsidRDefault="00E7630D" w:rsidP="0069738C">
            <w:pPr>
              <w:jc w:val="right"/>
              <w:rPr>
                <w:rFonts w:ascii="Arial Narrow" w:hAnsi="Arial Narrow"/>
                <w:sz w:val="16"/>
                <w:szCs w:val="16"/>
              </w:rPr>
            </w:pPr>
          </w:p>
        </w:tc>
        <w:tc>
          <w:tcPr>
            <w:tcW w:w="650" w:type="pct"/>
            <w:tcBorders>
              <w:top w:val="single" w:sz="4" w:space="0" w:color="auto"/>
              <w:left w:val="nil"/>
              <w:bottom w:val="single" w:sz="4" w:space="0" w:color="BFBFBF"/>
            </w:tcBorders>
            <w:shd w:val="clear" w:color="auto" w:fill="D9D9D9"/>
          </w:tcPr>
          <w:p w:rsidR="00E7630D" w:rsidRPr="008B2957" w:rsidRDefault="00E7630D" w:rsidP="0069738C">
            <w:pPr>
              <w:jc w:val="right"/>
              <w:rPr>
                <w:rFonts w:ascii="Arial Narrow" w:hAnsi="Arial Narrow"/>
                <w:sz w:val="16"/>
                <w:szCs w:val="16"/>
              </w:rPr>
            </w:pPr>
          </w:p>
        </w:tc>
      </w:tr>
      <w:tr w:rsidR="00E7630D" w:rsidRPr="008B2957" w:rsidTr="00E7630D">
        <w:tc>
          <w:tcPr>
            <w:tcW w:w="3750" w:type="pct"/>
            <w:tcBorders>
              <w:top w:val="single" w:sz="4" w:space="0" w:color="BFBFBF"/>
              <w:bottom w:val="single" w:sz="4" w:space="0" w:color="BFBFBF"/>
              <w:right w:val="nil"/>
            </w:tcBorders>
            <w:vAlign w:val="bottom"/>
          </w:tcPr>
          <w:p w:rsidR="00E7630D" w:rsidRPr="008B2957" w:rsidRDefault="00E7630D" w:rsidP="0069738C">
            <w:pPr>
              <w:ind w:left="720"/>
              <w:rPr>
                <w:rFonts w:ascii="Arial Narrow" w:hAnsi="Arial Narrow"/>
                <w:sz w:val="16"/>
                <w:szCs w:val="16"/>
              </w:rPr>
            </w:pPr>
            <w:r w:rsidRPr="008B2957">
              <w:rPr>
                <w:rFonts w:ascii="Arial Narrow" w:hAnsi="Arial Narrow"/>
                <w:sz w:val="16"/>
                <w:szCs w:val="16"/>
              </w:rPr>
              <w:t>Πληρωμές</w:t>
            </w:r>
          </w:p>
        </w:tc>
        <w:tc>
          <w:tcPr>
            <w:tcW w:w="600" w:type="pct"/>
            <w:tcBorders>
              <w:top w:val="single" w:sz="4" w:space="0" w:color="BFBFBF"/>
              <w:left w:val="nil"/>
              <w:bottom w:val="single" w:sz="4" w:space="0" w:color="BFBFBF"/>
              <w:right w:val="nil"/>
            </w:tcBorders>
            <w:vAlign w:val="bottom"/>
          </w:tcPr>
          <w:p w:rsidR="00E7630D" w:rsidRPr="008B2957" w:rsidRDefault="00E7630D" w:rsidP="0069738C">
            <w:pPr>
              <w:ind w:right="284"/>
              <w:jc w:val="right"/>
              <w:rPr>
                <w:rFonts w:ascii="Arial Narrow" w:hAnsi="Arial Narrow"/>
                <w:sz w:val="16"/>
                <w:szCs w:val="16"/>
              </w:rPr>
            </w:pPr>
            <w:r w:rsidRPr="008B2957">
              <w:rPr>
                <w:rFonts w:ascii="Arial Narrow" w:hAnsi="Arial Narrow" w:cs="Calibri"/>
                <w:color w:val="000000"/>
                <w:sz w:val="16"/>
                <w:szCs w:val="16"/>
              </w:rPr>
              <w:t>515*</w:t>
            </w:r>
          </w:p>
        </w:tc>
        <w:tc>
          <w:tcPr>
            <w:tcW w:w="650" w:type="pct"/>
            <w:tcBorders>
              <w:top w:val="single" w:sz="4" w:space="0" w:color="BFBFBF"/>
              <w:left w:val="nil"/>
              <w:bottom w:val="single" w:sz="4" w:space="0" w:color="BFBFBF"/>
            </w:tcBorders>
            <w:vAlign w:val="bottom"/>
          </w:tcPr>
          <w:p w:rsidR="00E7630D" w:rsidRPr="008B2957" w:rsidRDefault="00E7630D" w:rsidP="0069738C">
            <w:pPr>
              <w:ind w:right="284"/>
              <w:jc w:val="right"/>
              <w:rPr>
                <w:rFonts w:ascii="Arial Narrow" w:hAnsi="Arial Narrow"/>
                <w:sz w:val="16"/>
                <w:szCs w:val="16"/>
              </w:rPr>
            </w:pPr>
            <w:r w:rsidRPr="008B2957">
              <w:rPr>
                <w:rFonts w:ascii="Arial Narrow" w:hAnsi="Arial Narrow" w:cs="Calibri"/>
                <w:color w:val="000000"/>
                <w:sz w:val="16"/>
                <w:szCs w:val="16"/>
              </w:rPr>
              <w:t>2.519</w:t>
            </w:r>
          </w:p>
        </w:tc>
      </w:tr>
      <w:tr w:rsidR="00E7630D" w:rsidRPr="008B2957" w:rsidTr="00E7630D">
        <w:trPr>
          <w:trHeight w:val="215"/>
        </w:trPr>
        <w:tc>
          <w:tcPr>
            <w:tcW w:w="3750" w:type="pct"/>
            <w:tcBorders>
              <w:top w:val="single" w:sz="4" w:space="0" w:color="BFBFBF"/>
              <w:bottom w:val="single" w:sz="4" w:space="0" w:color="BFBFBF"/>
              <w:right w:val="nil"/>
            </w:tcBorders>
            <w:vAlign w:val="bottom"/>
          </w:tcPr>
          <w:p w:rsidR="00E7630D" w:rsidRPr="008B2957" w:rsidRDefault="00E7630D" w:rsidP="0069738C">
            <w:pPr>
              <w:ind w:left="720"/>
              <w:rPr>
                <w:rFonts w:ascii="Arial Narrow" w:hAnsi="Arial Narrow" w:cs="Calibri"/>
                <w:iCs/>
                <w:color w:val="000000"/>
                <w:sz w:val="16"/>
                <w:szCs w:val="16"/>
              </w:rPr>
            </w:pPr>
            <w:r w:rsidRPr="008B2957">
              <w:rPr>
                <w:rFonts w:ascii="Arial Narrow" w:hAnsi="Arial Narrow" w:cs="Calibri"/>
                <w:iCs/>
                <w:color w:val="000000"/>
                <w:sz w:val="16"/>
                <w:szCs w:val="16"/>
              </w:rPr>
              <w:t>Φυσικές παραλαβές</w:t>
            </w:r>
          </w:p>
        </w:tc>
        <w:tc>
          <w:tcPr>
            <w:tcW w:w="600" w:type="pct"/>
            <w:tcBorders>
              <w:top w:val="single" w:sz="4" w:space="0" w:color="BFBFBF"/>
              <w:left w:val="nil"/>
              <w:bottom w:val="single" w:sz="4" w:space="0" w:color="BFBFBF"/>
              <w:right w:val="nil"/>
            </w:tcBorders>
            <w:vAlign w:val="bottom"/>
          </w:tcPr>
          <w:p w:rsidR="00E7630D" w:rsidRPr="008B2957" w:rsidRDefault="00E7630D" w:rsidP="0069738C">
            <w:pPr>
              <w:ind w:right="284"/>
              <w:jc w:val="right"/>
              <w:rPr>
                <w:rFonts w:ascii="Arial Narrow" w:hAnsi="Arial Narrow"/>
                <w:sz w:val="16"/>
                <w:szCs w:val="16"/>
              </w:rPr>
            </w:pPr>
            <w:r w:rsidRPr="008B2957">
              <w:rPr>
                <w:rFonts w:ascii="Arial Narrow" w:hAnsi="Arial Narrow"/>
                <w:sz w:val="16"/>
                <w:szCs w:val="16"/>
              </w:rPr>
              <w:t>460</w:t>
            </w:r>
          </w:p>
        </w:tc>
        <w:tc>
          <w:tcPr>
            <w:tcW w:w="650" w:type="pct"/>
            <w:tcBorders>
              <w:top w:val="single" w:sz="4" w:space="0" w:color="BFBFBF"/>
              <w:left w:val="nil"/>
              <w:bottom w:val="single" w:sz="4" w:space="0" w:color="BFBFBF"/>
            </w:tcBorders>
            <w:vAlign w:val="bottom"/>
          </w:tcPr>
          <w:p w:rsidR="00E7630D" w:rsidRPr="008B2957" w:rsidRDefault="00E7630D" w:rsidP="0069738C">
            <w:pPr>
              <w:ind w:right="284"/>
              <w:jc w:val="right"/>
              <w:rPr>
                <w:rFonts w:ascii="Arial Narrow" w:hAnsi="Arial Narrow"/>
                <w:sz w:val="16"/>
                <w:szCs w:val="16"/>
              </w:rPr>
            </w:pPr>
            <w:r w:rsidRPr="008B2957">
              <w:rPr>
                <w:rFonts w:ascii="Arial Narrow" w:hAnsi="Arial Narrow"/>
                <w:sz w:val="16"/>
                <w:szCs w:val="16"/>
              </w:rPr>
              <w:t>1.472</w:t>
            </w:r>
          </w:p>
        </w:tc>
      </w:tr>
      <w:tr w:rsidR="00E7630D" w:rsidRPr="008B2957" w:rsidTr="00E7630D">
        <w:tc>
          <w:tcPr>
            <w:tcW w:w="3750" w:type="pct"/>
            <w:tcBorders>
              <w:top w:val="single" w:sz="4" w:space="0" w:color="BFBFBF"/>
              <w:bottom w:val="single" w:sz="4" w:space="0" w:color="BFBFBF"/>
              <w:right w:val="nil"/>
            </w:tcBorders>
            <w:shd w:val="clear" w:color="auto" w:fill="D9D9D9"/>
            <w:vAlign w:val="bottom"/>
          </w:tcPr>
          <w:p w:rsidR="00E7630D" w:rsidRPr="008B2957" w:rsidRDefault="00E7630D" w:rsidP="0069738C">
            <w:pPr>
              <w:rPr>
                <w:rFonts w:ascii="Arial Narrow" w:hAnsi="Arial Narrow" w:cs="Calibri"/>
                <w:b/>
                <w:color w:val="000000"/>
                <w:sz w:val="16"/>
                <w:szCs w:val="16"/>
              </w:rPr>
            </w:pPr>
            <w:r w:rsidRPr="008B2957">
              <w:rPr>
                <w:rFonts w:ascii="Arial Narrow" w:hAnsi="Arial Narrow" w:cs="Calibri"/>
                <w:b/>
                <w:color w:val="000000"/>
                <w:sz w:val="16"/>
                <w:szCs w:val="16"/>
              </w:rPr>
              <w:t xml:space="preserve">Δαπάνες μεταναστευτικών ροών </w:t>
            </w:r>
          </w:p>
        </w:tc>
        <w:tc>
          <w:tcPr>
            <w:tcW w:w="600" w:type="pct"/>
            <w:tcBorders>
              <w:top w:val="single" w:sz="4" w:space="0" w:color="BFBFBF"/>
              <w:left w:val="nil"/>
              <w:bottom w:val="single" w:sz="4" w:space="0" w:color="BFBFBF"/>
              <w:right w:val="nil"/>
            </w:tcBorders>
            <w:shd w:val="clear" w:color="auto" w:fill="D9D9D9"/>
            <w:vAlign w:val="bottom"/>
          </w:tcPr>
          <w:p w:rsidR="00E7630D" w:rsidRPr="008B2957" w:rsidRDefault="00E7630D" w:rsidP="0069738C">
            <w:pPr>
              <w:ind w:right="284"/>
              <w:jc w:val="right"/>
              <w:rPr>
                <w:rFonts w:ascii="Arial Narrow" w:hAnsi="Arial Narrow" w:cs="Calibri"/>
                <w:color w:val="000000"/>
                <w:sz w:val="16"/>
                <w:szCs w:val="16"/>
              </w:rPr>
            </w:pPr>
          </w:p>
        </w:tc>
        <w:tc>
          <w:tcPr>
            <w:tcW w:w="650" w:type="pct"/>
            <w:tcBorders>
              <w:top w:val="single" w:sz="4" w:space="0" w:color="BFBFBF"/>
              <w:left w:val="nil"/>
              <w:bottom w:val="single" w:sz="4" w:space="0" w:color="BFBFBF"/>
            </w:tcBorders>
            <w:shd w:val="clear" w:color="auto" w:fill="D9D9D9"/>
            <w:vAlign w:val="bottom"/>
          </w:tcPr>
          <w:p w:rsidR="00E7630D" w:rsidRPr="008B2957" w:rsidRDefault="00E7630D" w:rsidP="0069738C">
            <w:pPr>
              <w:ind w:right="284"/>
              <w:jc w:val="right"/>
              <w:rPr>
                <w:rFonts w:ascii="Arial Narrow" w:hAnsi="Arial Narrow" w:cs="Calibri"/>
                <w:color w:val="000000"/>
                <w:sz w:val="16"/>
                <w:szCs w:val="16"/>
              </w:rPr>
            </w:pPr>
          </w:p>
        </w:tc>
      </w:tr>
      <w:tr w:rsidR="00E7630D" w:rsidRPr="008B2957" w:rsidTr="00E7630D">
        <w:tc>
          <w:tcPr>
            <w:tcW w:w="3750" w:type="pct"/>
            <w:tcBorders>
              <w:top w:val="single" w:sz="4" w:space="0" w:color="BFBFBF"/>
              <w:bottom w:val="single" w:sz="4" w:space="0" w:color="BFBFBF"/>
              <w:right w:val="nil"/>
            </w:tcBorders>
            <w:vAlign w:val="bottom"/>
          </w:tcPr>
          <w:p w:rsidR="00E7630D" w:rsidRPr="008B2957" w:rsidRDefault="00E7630D" w:rsidP="0069738C">
            <w:pPr>
              <w:ind w:left="720"/>
              <w:rPr>
                <w:rFonts w:ascii="Arial Narrow" w:hAnsi="Arial Narrow"/>
                <w:sz w:val="16"/>
                <w:szCs w:val="16"/>
              </w:rPr>
            </w:pPr>
            <w:r w:rsidRPr="008B2957">
              <w:rPr>
                <w:rFonts w:ascii="Arial Narrow" w:hAnsi="Arial Narrow"/>
                <w:sz w:val="16"/>
                <w:szCs w:val="16"/>
              </w:rPr>
              <w:t>Τακτικός Προϋπολογισμός</w:t>
            </w:r>
          </w:p>
        </w:tc>
        <w:tc>
          <w:tcPr>
            <w:tcW w:w="600" w:type="pct"/>
            <w:tcBorders>
              <w:top w:val="single" w:sz="4" w:space="0" w:color="BFBFBF"/>
              <w:left w:val="nil"/>
              <w:bottom w:val="single" w:sz="4" w:space="0" w:color="BFBFBF"/>
              <w:right w:val="nil"/>
            </w:tcBorders>
            <w:vAlign w:val="bottom"/>
          </w:tcPr>
          <w:p w:rsidR="00E7630D" w:rsidRPr="008B2957" w:rsidRDefault="00E7630D" w:rsidP="0069738C">
            <w:pPr>
              <w:ind w:right="284"/>
              <w:jc w:val="right"/>
              <w:rPr>
                <w:rFonts w:ascii="Arial Narrow" w:hAnsi="Arial Narrow"/>
                <w:sz w:val="16"/>
                <w:szCs w:val="16"/>
              </w:rPr>
            </w:pPr>
            <w:r w:rsidRPr="008B2957">
              <w:rPr>
                <w:rFonts w:ascii="Arial Narrow" w:hAnsi="Arial Narrow" w:cs="Calibri"/>
                <w:color w:val="000000"/>
                <w:sz w:val="16"/>
                <w:szCs w:val="16"/>
              </w:rPr>
              <w:t>405</w:t>
            </w:r>
          </w:p>
        </w:tc>
        <w:tc>
          <w:tcPr>
            <w:tcW w:w="650" w:type="pct"/>
            <w:tcBorders>
              <w:top w:val="single" w:sz="4" w:space="0" w:color="BFBFBF"/>
              <w:left w:val="nil"/>
              <w:bottom w:val="single" w:sz="4" w:space="0" w:color="BFBFBF"/>
            </w:tcBorders>
            <w:vAlign w:val="bottom"/>
          </w:tcPr>
          <w:p w:rsidR="00E7630D" w:rsidRPr="008B2957" w:rsidRDefault="00E7630D" w:rsidP="0069738C">
            <w:pPr>
              <w:ind w:right="284"/>
              <w:jc w:val="right"/>
              <w:rPr>
                <w:rFonts w:ascii="Arial Narrow" w:hAnsi="Arial Narrow"/>
                <w:sz w:val="16"/>
                <w:szCs w:val="16"/>
              </w:rPr>
            </w:pPr>
            <w:r w:rsidRPr="008B2957">
              <w:rPr>
                <w:rFonts w:ascii="Arial Narrow" w:hAnsi="Arial Narrow" w:cs="Calibri"/>
                <w:color w:val="000000"/>
                <w:sz w:val="16"/>
                <w:szCs w:val="16"/>
              </w:rPr>
              <w:t>414</w:t>
            </w:r>
          </w:p>
        </w:tc>
      </w:tr>
      <w:tr w:rsidR="00E7630D" w:rsidRPr="008B2957" w:rsidTr="00E7630D">
        <w:tc>
          <w:tcPr>
            <w:tcW w:w="3750" w:type="pct"/>
            <w:tcBorders>
              <w:top w:val="single" w:sz="4" w:space="0" w:color="BFBFBF"/>
              <w:right w:val="nil"/>
            </w:tcBorders>
            <w:vAlign w:val="bottom"/>
          </w:tcPr>
          <w:p w:rsidR="00E7630D" w:rsidRPr="008B2957" w:rsidRDefault="00E7630D" w:rsidP="0069738C">
            <w:pPr>
              <w:ind w:left="720"/>
              <w:rPr>
                <w:rFonts w:ascii="Arial Narrow" w:hAnsi="Arial Narrow"/>
                <w:sz w:val="16"/>
                <w:szCs w:val="16"/>
              </w:rPr>
            </w:pPr>
            <w:r w:rsidRPr="008B2957">
              <w:rPr>
                <w:rFonts w:ascii="Arial Narrow" w:hAnsi="Arial Narrow"/>
                <w:sz w:val="16"/>
                <w:szCs w:val="16"/>
              </w:rPr>
              <w:t>Πρόγραμμα Δημοσίων Επενδύσεων</w:t>
            </w:r>
          </w:p>
        </w:tc>
        <w:tc>
          <w:tcPr>
            <w:tcW w:w="600" w:type="pct"/>
            <w:tcBorders>
              <w:top w:val="single" w:sz="4" w:space="0" w:color="BFBFBF"/>
              <w:left w:val="nil"/>
              <w:right w:val="nil"/>
            </w:tcBorders>
            <w:vAlign w:val="bottom"/>
          </w:tcPr>
          <w:p w:rsidR="00E7630D" w:rsidRPr="008B2957" w:rsidRDefault="00E7630D" w:rsidP="0069738C">
            <w:pPr>
              <w:ind w:right="284"/>
              <w:jc w:val="right"/>
              <w:rPr>
                <w:rFonts w:ascii="Arial Narrow" w:hAnsi="Arial Narrow" w:cs="Calibri"/>
                <w:color w:val="000000"/>
                <w:sz w:val="16"/>
                <w:szCs w:val="16"/>
              </w:rPr>
            </w:pPr>
            <w:r w:rsidRPr="008B2957">
              <w:rPr>
                <w:rFonts w:ascii="Arial Narrow" w:hAnsi="Arial Narrow" w:cs="Calibri"/>
                <w:color w:val="000000"/>
                <w:sz w:val="16"/>
                <w:szCs w:val="16"/>
              </w:rPr>
              <w:t>200</w:t>
            </w:r>
          </w:p>
        </w:tc>
        <w:tc>
          <w:tcPr>
            <w:tcW w:w="650" w:type="pct"/>
            <w:tcBorders>
              <w:top w:val="single" w:sz="4" w:space="0" w:color="BFBFBF"/>
              <w:left w:val="nil"/>
            </w:tcBorders>
            <w:vAlign w:val="bottom"/>
          </w:tcPr>
          <w:p w:rsidR="00E7630D" w:rsidRPr="008B2957" w:rsidRDefault="00E7630D" w:rsidP="0069738C">
            <w:pPr>
              <w:ind w:right="284"/>
              <w:jc w:val="right"/>
              <w:rPr>
                <w:rFonts w:ascii="Arial Narrow" w:hAnsi="Arial Narrow" w:cs="Calibri"/>
                <w:color w:val="000000"/>
                <w:sz w:val="16"/>
                <w:szCs w:val="16"/>
              </w:rPr>
            </w:pPr>
            <w:r w:rsidRPr="008B2957">
              <w:rPr>
                <w:rFonts w:ascii="Arial Narrow" w:hAnsi="Arial Narrow" w:cs="Calibri"/>
                <w:color w:val="000000"/>
                <w:sz w:val="16"/>
                <w:szCs w:val="16"/>
              </w:rPr>
              <w:t>150</w:t>
            </w:r>
          </w:p>
        </w:tc>
      </w:tr>
    </w:tbl>
    <w:p w:rsidR="00E7630D" w:rsidRDefault="00E7630D" w:rsidP="00871F74">
      <w:pPr>
        <w:tabs>
          <w:tab w:val="left" w:pos="284"/>
        </w:tabs>
        <w:contextualSpacing/>
        <w:jc w:val="both"/>
        <w:rPr>
          <w:bCs/>
          <w:sz w:val="22"/>
          <w:szCs w:val="22"/>
        </w:rPr>
      </w:pPr>
    </w:p>
    <w:p w:rsidR="00DD25BF" w:rsidRDefault="00DD25BF" w:rsidP="00871F74">
      <w:pPr>
        <w:tabs>
          <w:tab w:val="left" w:pos="284"/>
        </w:tabs>
        <w:contextualSpacing/>
        <w:jc w:val="both"/>
        <w:rPr>
          <w:bCs/>
          <w:sz w:val="22"/>
          <w:szCs w:val="22"/>
        </w:rPr>
      </w:pPr>
    </w:p>
    <w:p w:rsidR="00DD25BF" w:rsidRPr="00833515" w:rsidRDefault="00DD25BF" w:rsidP="00DD25BF">
      <w:pPr>
        <w:jc w:val="both"/>
        <w:rPr>
          <w:rFonts w:ascii="Arial Narrow" w:hAnsi="Arial Narrow"/>
          <w:b/>
          <w:bCs/>
          <w:color w:val="000080"/>
          <w:sz w:val="22"/>
          <w:szCs w:val="22"/>
        </w:rPr>
      </w:pPr>
      <w:r w:rsidRPr="00833515">
        <w:rPr>
          <w:rFonts w:ascii="Arial Narrow" w:hAnsi="Arial Narrow"/>
          <w:b/>
          <w:bCs/>
          <w:color w:val="000080"/>
          <w:sz w:val="22"/>
          <w:szCs w:val="22"/>
        </w:rPr>
        <w:t xml:space="preserve">Μηχανισμός Ανάκαμψης και </w:t>
      </w:r>
      <w:r w:rsidR="0087697F">
        <w:rPr>
          <w:rFonts w:ascii="Arial Narrow" w:hAnsi="Arial Narrow"/>
          <w:b/>
          <w:bCs/>
          <w:color w:val="000080"/>
          <w:sz w:val="22"/>
          <w:szCs w:val="22"/>
        </w:rPr>
        <w:t>Ανθεκτικότητας</w:t>
      </w:r>
    </w:p>
    <w:p w:rsidR="00425442" w:rsidRDefault="00425442" w:rsidP="00DD25BF">
      <w:pPr>
        <w:jc w:val="both"/>
        <w:rPr>
          <w:sz w:val="22"/>
          <w:szCs w:val="22"/>
        </w:rPr>
      </w:pPr>
    </w:p>
    <w:p w:rsidR="00DD25BF" w:rsidRPr="00833515" w:rsidRDefault="00DD25BF" w:rsidP="00DD25BF">
      <w:pPr>
        <w:jc w:val="both"/>
        <w:rPr>
          <w:sz w:val="22"/>
          <w:szCs w:val="22"/>
        </w:rPr>
      </w:pPr>
      <w:r w:rsidRPr="00833515">
        <w:rPr>
          <w:sz w:val="22"/>
          <w:szCs w:val="22"/>
        </w:rPr>
        <w:t>Η Ευρωπαϊκή Επιτροπή δημιούργησε ένα νέο έκτακτο μέσο για την αντιμετώπιση των οικονομικών και των κοινωνικών συνεπειών της πανδημίας</w:t>
      </w:r>
      <w:r w:rsidR="00DF19DF">
        <w:rPr>
          <w:sz w:val="22"/>
          <w:szCs w:val="22"/>
        </w:rPr>
        <w:t>,</w:t>
      </w:r>
      <w:r w:rsidRPr="00833515">
        <w:rPr>
          <w:sz w:val="22"/>
          <w:szCs w:val="22"/>
        </w:rPr>
        <w:t xml:space="preserve"> το </w:t>
      </w:r>
      <w:r w:rsidRPr="00833515">
        <w:rPr>
          <w:sz w:val="22"/>
          <w:szCs w:val="22"/>
          <w:lang w:val="en-US"/>
        </w:rPr>
        <w:t>Next</w:t>
      </w:r>
      <w:r w:rsidRPr="00833515">
        <w:rPr>
          <w:sz w:val="22"/>
          <w:szCs w:val="22"/>
        </w:rPr>
        <w:t xml:space="preserve"> </w:t>
      </w:r>
      <w:r w:rsidRPr="00833515">
        <w:rPr>
          <w:sz w:val="22"/>
          <w:szCs w:val="22"/>
          <w:lang w:val="en-US"/>
        </w:rPr>
        <w:t>Generation</w:t>
      </w:r>
      <w:r w:rsidRPr="00833515">
        <w:rPr>
          <w:sz w:val="22"/>
          <w:szCs w:val="22"/>
        </w:rPr>
        <w:t xml:space="preserve"> </w:t>
      </w:r>
      <w:r w:rsidRPr="00833515">
        <w:rPr>
          <w:sz w:val="22"/>
          <w:szCs w:val="22"/>
          <w:lang w:val="en-US"/>
        </w:rPr>
        <w:t>EU</w:t>
      </w:r>
      <w:r w:rsidRPr="00833515">
        <w:rPr>
          <w:sz w:val="22"/>
          <w:szCs w:val="22"/>
        </w:rPr>
        <w:t xml:space="preserve">. Το </w:t>
      </w:r>
      <w:r w:rsidRPr="00833515">
        <w:rPr>
          <w:sz w:val="22"/>
          <w:szCs w:val="22"/>
          <w:lang w:val="en-US"/>
        </w:rPr>
        <w:t>Next</w:t>
      </w:r>
      <w:r w:rsidRPr="00833515">
        <w:rPr>
          <w:sz w:val="22"/>
          <w:szCs w:val="22"/>
        </w:rPr>
        <w:t xml:space="preserve"> </w:t>
      </w:r>
      <w:r w:rsidRPr="00833515">
        <w:rPr>
          <w:sz w:val="22"/>
          <w:szCs w:val="22"/>
          <w:lang w:val="en-US"/>
        </w:rPr>
        <w:t>Generation</w:t>
      </w:r>
      <w:r w:rsidRPr="00833515">
        <w:rPr>
          <w:sz w:val="22"/>
          <w:szCs w:val="22"/>
        </w:rPr>
        <w:t xml:space="preserve"> </w:t>
      </w:r>
      <w:r w:rsidRPr="00833515">
        <w:rPr>
          <w:sz w:val="22"/>
          <w:szCs w:val="22"/>
          <w:lang w:val="en-US"/>
        </w:rPr>
        <w:t>EU</w:t>
      </w:r>
      <w:r w:rsidRPr="00833515">
        <w:rPr>
          <w:sz w:val="22"/>
          <w:szCs w:val="22"/>
        </w:rPr>
        <w:t xml:space="preserve"> στ</w:t>
      </w:r>
      <w:r w:rsidRPr="00833515">
        <w:rPr>
          <w:sz w:val="22"/>
          <w:szCs w:val="22"/>
        </w:rPr>
        <w:t>ο</w:t>
      </w:r>
      <w:r w:rsidRPr="00833515">
        <w:rPr>
          <w:sz w:val="22"/>
          <w:szCs w:val="22"/>
        </w:rPr>
        <w:t xml:space="preserve">χεύει στη στήριξη των κρατών-μελών για να ανακάμψουν, να ανασυνταχθούν και </w:t>
      </w:r>
      <w:r w:rsidR="0087697F">
        <w:rPr>
          <w:sz w:val="22"/>
          <w:szCs w:val="22"/>
        </w:rPr>
        <w:t>εξέλθουν</w:t>
      </w:r>
      <w:r w:rsidRPr="00833515">
        <w:rPr>
          <w:sz w:val="22"/>
          <w:szCs w:val="22"/>
        </w:rPr>
        <w:t xml:space="preserve"> από την κρίση πιο δυνατά μέσα από ένα φάσμα μέσων για τη στήριξη επενδύσεων και μεταρρυθμίσεων στα κράτη</w:t>
      </w:r>
      <w:r w:rsidR="00FD646F">
        <w:rPr>
          <w:sz w:val="22"/>
          <w:szCs w:val="22"/>
        </w:rPr>
        <w:t>-</w:t>
      </w:r>
      <w:r w:rsidR="0087697F">
        <w:rPr>
          <w:sz w:val="22"/>
          <w:szCs w:val="22"/>
        </w:rPr>
        <w:t>μέλη.</w:t>
      </w:r>
      <w:r w:rsidRPr="00833515">
        <w:rPr>
          <w:sz w:val="22"/>
          <w:szCs w:val="22"/>
        </w:rPr>
        <w:t xml:space="preserve"> </w:t>
      </w:r>
      <w:r w:rsidR="0087697F" w:rsidRPr="00833515">
        <w:rPr>
          <w:sz w:val="22"/>
          <w:szCs w:val="22"/>
        </w:rPr>
        <w:t xml:space="preserve">Βασικά </w:t>
      </w:r>
      <w:r w:rsidRPr="00833515">
        <w:rPr>
          <w:sz w:val="22"/>
          <w:szCs w:val="22"/>
        </w:rPr>
        <w:t xml:space="preserve">εργαλεία αποτελούν ο νέος Μηχανισμός Ανάκαμψης και </w:t>
      </w:r>
      <w:r w:rsidR="0087697F">
        <w:rPr>
          <w:sz w:val="22"/>
          <w:szCs w:val="22"/>
        </w:rPr>
        <w:t>Ανθετικότητας</w:t>
      </w:r>
      <w:r w:rsidRPr="00833515">
        <w:rPr>
          <w:sz w:val="22"/>
          <w:szCs w:val="22"/>
        </w:rPr>
        <w:t xml:space="preserve"> και η πρωτοβουλία </w:t>
      </w:r>
      <w:r w:rsidRPr="00833515">
        <w:rPr>
          <w:sz w:val="22"/>
          <w:szCs w:val="22"/>
          <w:lang w:val="en-US"/>
        </w:rPr>
        <w:t>REACT</w:t>
      </w:r>
      <w:r w:rsidRPr="00833515">
        <w:rPr>
          <w:sz w:val="22"/>
          <w:szCs w:val="22"/>
        </w:rPr>
        <w:t xml:space="preserve"> </w:t>
      </w:r>
      <w:r w:rsidRPr="00833515">
        <w:rPr>
          <w:sz w:val="22"/>
          <w:szCs w:val="22"/>
          <w:lang w:val="en-US"/>
        </w:rPr>
        <w:t>EU</w:t>
      </w:r>
      <w:r w:rsidRPr="00833515">
        <w:rPr>
          <w:sz w:val="22"/>
          <w:szCs w:val="22"/>
        </w:rPr>
        <w:t>.</w:t>
      </w:r>
    </w:p>
    <w:p w:rsidR="00DD25BF" w:rsidRPr="00833515" w:rsidRDefault="00DD25BF" w:rsidP="00DD25BF">
      <w:pPr>
        <w:jc w:val="both"/>
        <w:rPr>
          <w:sz w:val="22"/>
          <w:szCs w:val="22"/>
        </w:rPr>
      </w:pPr>
    </w:p>
    <w:p w:rsidR="00DD25BF" w:rsidRPr="00833515" w:rsidRDefault="00DD25BF" w:rsidP="00DD25BF">
      <w:pPr>
        <w:jc w:val="both"/>
        <w:rPr>
          <w:sz w:val="22"/>
          <w:szCs w:val="22"/>
        </w:rPr>
      </w:pPr>
      <w:r w:rsidRPr="00833515">
        <w:rPr>
          <w:sz w:val="22"/>
          <w:szCs w:val="22"/>
        </w:rPr>
        <w:t xml:space="preserve">Η Ελληνική οικονομία θα ενισχυθεί με χρηματοδοτικά εργαλεία του Μηχανισμού Ανάκαμψης και </w:t>
      </w:r>
      <w:r w:rsidR="0087697F">
        <w:rPr>
          <w:sz w:val="22"/>
          <w:szCs w:val="22"/>
        </w:rPr>
        <w:t>Ανθεκτικότητας, μέσω</w:t>
      </w:r>
      <w:r w:rsidRPr="00833515">
        <w:rPr>
          <w:sz w:val="22"/>
          <w:szCs w:val="22"/>
        </w:rPr>
        <w:t xml:space="preserve"> του Ταμείου Ανάκαμψης και Σταθερότητας, όπως απεικονίζεται στον πίνακα </w:t>
      </w:r>
      <w:r w:rsidR="00655CC9">
        <w:rPr>
          <w:sz w:val="22"/>
          <w:szCs w:val="22"/>
        </w:rPr>
        <w:t>3.32</w:t>
      </w:r>
      <w:r w:rsidRPr="00833515">
        <w:rPr>
          <w:sz w:val="22"/>
          <w:szCs w:val="22"/>
        </w:rPr>
        <w:t xml:space="preserve">. Κατά την περίοδο 2021-2026 η ελληνική οικονομία </w:t>
      </w:r>
      <w:r w:rsidR="0087697F">
        <w:rPr>
          <w:sz w:val="22"/>
          <w:szCs w:val="22"/>
        </w:rPr>
        <w:t>αναμένεται να ωφεληθεί με 32 δισ</w:t>
      </w:r>
      <w:r w:rsidRPr="00833515">
        <w:rPr>
          <w:sz w:val="22"/>
          <w:szCs w:val="22"/>
        </w:rPr>
        <w:t>. ευρώ, εκ των οποίων 19,3 δισ. ευρώ αφορούν επιχορηγήσεις και 12,7 δισ. ευρώ δάνεια με ευνοϊκό</w:t>
      </w:r>
      <w:r w:rsidR="00DF19DF">
        <w:rPr>
          <w:sz w:val="22"/>
          <w:szCs w:val="22"/>
        </w:rPr>
        <w:t xml:space="preserve"> επιτόκιο και όρους. Ειδικότερα</w:t>
      </w:r>
      <w:r w:rsidRPr="00833515">
        <w:rPr>
          <w:sz w:val="22"/>
          <w:szCs w:val="22"/>
        </w:rPr>
        <w:t xml:space="preserve"> από τα 19,3 δισ. ευρώ</w:t>
      </w:r>
      <w:r w:rsidR="00DF19DF">
        <w:rPr>
          <w:sz w:val="22"/>
          <w:szCs w:val="22"/>
        </w:rPr>
        <w:t>,</w:t>
      </w:r>
      <w:r w:rsidRPr="00833515">
        <w:rPr>
          <w:sz w:val="22"/>
          <w:szCs w:val="22"/>
        </w:rPr>
        <w:t xml:space="preserve"> τα 16,2 δισ. ευρώ αφορούν το πρόγραμμα </w:t>
      </w:r>
      <w:r w:rsidRPr="00833515">
        <w:rPr>
          <w:sz w:val="22"/>
          <w:szCs w:val="22"/>
          <w:lang w:val="en-US"/>
        </w:rPr>
        <w:t>Recovery</w:t>
      </w:r>
      <w:r w:rsidRPr="00833515">
        <w:rPr>
          <w:sz w:val="22"/>
          <w:szCs w:val="22"/>
        </w:rPr>
        <w:t xml:space="preserve"> </w:t>
      </w:r>
      <w:r w:rsidRPr="00833515">
        <w:rPr>
          <w:sz w:val="22"/>
          <w:szCs w:val="22"/>
          <w:lang w:val="en-US"/>
        </w:rPr>
        <w:t>and</w:t>
      </w:r>
      <w:r w:rsidRPr="00833515">
        <w:rPr>
          <w:sz w:val="22"/>
          <w:szCs w:val="22"/>
        </w:rPr>
        <w:t xml:space="preserve"> </w:t>
      </w:r>
      <w:r w:rsidRPr="00833515">
        <w:rPr>
          <w:sz w:val="22"/>
          <w:szCs w:val="22"/>
          <w:lang w:val="en-US"/>
        </w:rPr>
        <w:t>Resilience</w:t>
      </w:r>
      <w:r w:rsidRPr="00833515">
        <w:rPr>
          <w:sz w:val="22"/>
          <w:szCs w:val="22"/>
        </w:rPr>
        <w:t xml:space="preserve"> </w:t>
      </w:r>
      <w:r w:rsidRPr="00833515">
        <w:rPr>
          <w:sz w:val="22"/>
          <w:szCs w:val="22"/>
          <w:lang w:val="en-US"/>
        </w:rPr>
        <w:t>Facility</w:t>
      </w:r>
      <w:r w:rsidRPr="00833515">
        <w:rPr>
          <w:sz w:val="22"/>
          <w:szCs w:val="22"/>
        </w:rPr>
        <w:t xml:space="preserve">, ποσό 2,3 δισ. ευρώ το </w:t>
      </w:r>
      <w:r w:rsidRPr="00833515">
        <w:rPr>
          <w:sz w:val="22"/>
          <w:szCs w:val="22"/>
          <w:lang w:val="en-US"/>
        </w:rPr>
        <w:t>REACT</w:t>
      </w:r>
      <w:r w:rsidRPr="00833515">
        <w:rPr>
          <w:sz w:val="22"/>
          <w:szCs w:val="22"/>
        </w:rPr>
        <w:t>-</w:t>
      </w:r>
      <w:r w:rsidRPr="00833515">
        <w:rPr>
          <w:sz w:val="22"/>
          <w:szCs w:val="22"/>
          <w:lang w:val="en-US"/>
        </w:rPr>
        <w:t>EU</w:t>
      </w:r>
      <w:r w:rsidRPr="00833515">
        <w:rPr>
          <w:sz w:val="22"/>
          <w:szCs w:val="22"/>
        </w:rPr>
        <w:t xml:space="preserve">, ποσό 0,4 δισ. ευρώ το </w:t>
      </w:r>
      <w:r w:rsidRPr="00833515">
        <w:rPr>
          <w:sz w:val="22"/>
          <w:szCs w:val="22"/>
          <w:lang w:val="en-US"/>
        </w:rPr>
        <w:t>Just</w:t>
      </w:r>
      <w:r w:rsidRPr="00833515">
        <w:rPr>
          <w:sz w:val="22"/>
          <w:szCs w:val="22"/>
        </w:rPr>
        <w:t xml:space="preserve"> </w:t>
      </w:r>
      <w:r w:rsidRPr="00833515">
        <w:rPr>
          <w:sz w:val="22"/>
          <w:szCs w:val="22"/>
          <w:lang w:val="en-US"/>
        </w:rPr>
        <w:t>Transition</w:t>
      </w:r>
      <w:r w:rsidRPr="00833515">
        <w:rPr>
          <w:sz w:val="22"/>
          <w:szCs w:val="22"/>
        </w:rPr>
        <w:t xml:space="preserve"> </w:t>
      </w:r>
      <w:r w:rsidRPr="00833515">
        <w:rPr>
          <w:sz w:val="22"/>
          <w:szCs w:val="22"/>
          <w:lang w:val="en-US"/>
        </w:rPr>
        <w:t>Fund</w:t>
      </w:r>
      <w:r w:rsidRPr="00833515">
        <w:rPr>
          <w:sz w:val="22"/>
          <w:szCs w:val="22"/>
        </w:rPr>
        <w:t xml:space="preserve"> και ποσό 0,4 δισ. ευρώ το </w:t>
      </w:r>
      <w:r w:rsidRPr="00833515">
        <w:rPr>
          <w:sz w:val="22"/>
          <w:szCs w:val="22"/>
          <w:lang w:val="en-US"/>
        </w:rPr>
        <w:t>European</w:t>
      </w:r>
      <w:r w:rsidRPr="00833515">
        <w:rPr>
          <w:sz w:val="22"/>
          <w:szCs w:val="22"/>
        </w:rPr>
        <w:t xml:space="preserve"> </w:t>
      </w:r>
      <w:r w:rsidRPr="00833515">
        <w:rPr>
          <w:sz w:val="22"/>
          <w:szCs w:val="22"/>
          <w:lang w:val="en-US"/>
        </w:rPr>
        <w:t>Agricultural</w:t>
      </w:r>
      <w:r w:rsidRPr="00833515">
        <w:rPr>
          <w:sz w:val="22"/>
          <w:szCs w:val="22"/>
        </w:rPr>
        <w:t xml:space="preserve"> </w:t>
      </w:r>
      <w:r w:rsidRPr="00833515">
        <w:rPr>
          <w:sz w:val="22"/>
          <w:szCs w:val="22"/>
          <w:lang w:val="en-US"/>
        </w:rPr>
        <w:t>Fund</w:t>
      </w:r>
      <w:r w:rsidRPr="00833515">
        <w:rPr>
          <w:sz w:val="22"/>
          <w:szCs w:val="22"/>
        </w:rPr>
        <w:t xml:space="preserve"> </w:t>
      </w:r>
      <w:r w:rsidRPr="00833515">
        <w:rPr>
          <w:sz w:val="22"/>
          <w:szCs w:val="22"/>
          <w:lang w:val="en-US"/>
        </w:rPr>
        <w:t>for</w:t>
      </w:r>
      <w:r w:rsidRPr="00833515">
        <w:rPr>
          <w:sz w:val="22"/>
          <w:szCs w:val="22"/>
        </w:rPr>
        <w:t xml:space="preserve"> </w:t>
      </w:r>
      <w:r w:rsidRPr="00833515">
        <w:rPr>
          <w:sz w:val="22"/>
          <w:szCs w:val="22"/>
          <w:lang w:val="en-US"/>
        </w:rPr>
        <w:t>Rural</w:t>
      </w:r>
      <w:r w:rsidRPr="00833515">
        <w:rPr>
          <w:sz w:val="22"/>
          <w:szCs w:val="22"/>
        </w:rPr>
        <w:t xml:space="preserve"> </w:t>
      </w:r>
      <w:r w:rsidRPr="00833515">
        <w:rPr>
          <w:sz w:val="22"/>
          <w:szCs w:val="22"/>
          <w:lang w:val="en-US"/>
        </w:rPr>
        <w:t>Development</w:t>
      </w:r>
      <w:r w:rsidRPr="00833515">
        <w:rPr>
          <w:sz w:val="22"/>
          <w:szCs w:val="22"/>
        </w:rPr>
        <w:t>.</w:t>
      </w:r>
    </w:p>
    <w:p w:rsidR="00DD25BF" w:rsidRDefault="00DD25BF" w:rsidP="00DD25BF">
      <w:pPr>
        <w:rPr>
          <w:rFonts w:ascii="Arial Narrow" w:hAnsi="Arial Narrow"/>
          <w:sz w:val="22"/>
          <w:szCs w:val="22"/>
        </w:rPr>
      </w:pPr>
    </w:p>
    <w:p w:rsidR="00655CC9" w:rsidRDefault="00655CC9" w:rsidP="00DD25BF">
      <w:pPr>
        <w:rPr>
          <w:rFonts w:ascii="Arial Narrow" w:hAnsi="Arial Narrow"/>
          <w:sz w:val="22"/>
          <w:szCs w:val="22"/>
        </w:rPr>
      </w:pPr>
    </w:p>
    <w:p w:rsidR="00655CC9" w:rsidRDefault="00655CC9" w:rsidP="00DD25BF">
      <w:pPr>
        <w:rPr>
          <w:rFonts w:ascii="Arial Narrow" w:hAnsi="Arial Narrow"/>
          <w:sz w:val="22"/>
          <w:szCs w:val="22"/>
        </w:rPr>
      </w:pPr>
    </w:p>
    <w:p w:rsidR="00655CC9" w:rsidRDefault="00655CC9" w:rsidP="00DD25BF">
      <w:pPr>
        <w:rPr>
          <w:rFonts w:ascii="Arial Narrow" w:hAnsi="Arial Narrow"/>
          <w:sz w:val="22"/>
          <w:szCs w:val="22"/>
        </w:rPr>
      </w:pPr>
    </w:p>
    <w:p w:rsidR="00655CC9" w:rsidRDefault="00655CC9" w:rsidP="00DD25BF">
      <w:pPr>
        <w:rPr>
          <w:rFonts w:ascii="Arial Narrow" w:hAnsi="Arial Narrow"/>
          <w:sz w:val="22"/>
          <w:szCs w:val="22"/>
        </w:rPr>
      </w:pPr>
    </w:p>
    <w:p w:rsidR="00655CC9" w:rsidRDefault="00655CC9" w:rsidP="00DD25BF">
      <w:pPr>
        <w:rPr>
          <w:rFonts w:ascii="Arial Narrow" w:hAnsi="Arial Narrow"/>
          <w:sz w:val="22"/>
          <w:szCs w:val="22"/>
        </w:rPr>
      </w:pPr>
    </w:p>
    <w:p w:rsidR="00655CC9" w:rsidRPr="00833515" w:rsidRDefault="00655CC9" w:rsidP="00DD25BF">
      <w:pPr>
        <w:rPr>
          <w:rFonts w:ascii="Arial Narrow" w:hAnsi="Arial Narrow"/>
          <w:sz w:val="22"/>
          <w:szCs w:val="22"/>
        </w:rPr>
      </w:pPr>
    </w:p>
    <w:p w:rsidR="00DD25BF" w:rsidRPr="006B63AA" w:rsidRDefault="00DD25BF" w:rsidP="00DD25BF">
      <w:pPr>
        <w:rPr>
          <w:rFonts w:ascii="Arial Narrow" w:hAnsi="Arial Narrow"/>
        </w:rPr>
      </w:pPr>
    </w:p>
    <w:tbl>
      <w:tblPr>
        <w:tblW w:w="9089" w:type="dxa"/>
        <w:tblBorders>
          <w:top w:val="single" w:sz="4" w:space="0" w:color="auto"/>
          <w:left w:val="single" w:sz="4" w:space="0" w:color="auto"/>
          <w:bottom w:val="single" w:sz="4" w:space="0" w:color="auto"/>
          <w:right w:val="single" w:sz="4" w:space="0" w:color="auto"/>
          <w:insideH w:val="single" w:sz="4" w:space="0" w:color="BFBFBF"/>
          <w:insideV w:val="single" w:sz="4" w:space="0" w:color="auto"/>
        </w:tblBorders>
        <w:tblLook w:val="04A0"/>
      </w:tblPr>
      <w:tblGrid>
        <w:gridCol w:w="4790"/>
        <w:gridCol w:w="1758"/>
        <w:gridCol w:w="1272"/>
        <w:gridCol w:w="1269"/>
      </w:tblGrid>
      <w:tr w:rsidR="00DD25BF" w:rsidRPr="00425442" w:rsidTr="00425442">
        <w:tc>
          <w:tcPr>
            <w:tcW w:w="5000" w:type="pct"/>
            <w:gridSpan w:val="4"/>
            <w:tcBorders>
              <w:top w:val="single" w:sz="4" w:space="0" w:color="auto"/>
              <w:bottom w:val="single" w:sz="4" w:space="0" w:color="auto"/>
            </w:tcBorders>
            <w:shd w:val="clear" w:color="auto" w:fill="404040" w:themeFill="text1" w:themeFillTint="BF"/>
          </w:tcPr>
          <w:p w:rsidR="00DD25BF" w:rsidRPr="00425442" w:rsidRDefault="00655CC9" w:rsidP="0069738C">
            <w:pPr>
              <w:jc w:val="center"/>
              <w:rPr>
                <w:rFonts w:ascii="Arial Narrow" w:hAnsi="Arial Narrow"/>
                <w:b/>
                <w:color w:val="FFFFFF" w:themeColor="background1"/>
              </w:rPr>
            </w:pPr>
            <w:r>
              <w:rPr>
                <w:rFonts w:ascii="Arial Narrow" w:hAnsi="Arial Narrow"/>
                <w:b/>
                <w:color w:val="FFFFFF" w:themeColor="background1"/>
              </w:rPr>
              <w:lastRenderedPageBreak/>
              <w:t>Πίνακας 3.32</w:t>
            </w:r>
            <w:r w:rsidR="00DD25BF" w:rsidRPr="00425442">
              <w:rPr>
                <w:rFonts w:ascii="Arial Narrow" w:hAnsi="Arial Narrow"/>
                <w:b/>
                <w:color w:val="FFFFFF" w:themeColor="background1"/>
              </w:rPr>
              <w:t xml:space="preserve">  Μηχανισμός Ανάκαμψης και </w:t>
            </w:r>
            <w:r w:rsidR="0087697F">
              <w:rPr>
                <w:rFonts w:ascii="Arial Narrow" w:hAnsi="Arial Narrow"/>
                <w:b/>
                <w:color w:val="FFFFFF" w:themeColor="background1"/>
              </w:rPr>
              <w:t>Ανθεκτικότητας</w:t>
            </w:r>
            <w:r w:rsidR="00DD25BF" w:rsidRPr="00425442">
              <w:rPr>
                <w:rFonts w:ascii="Arial Narrow" w:hAnsi="Arial Narrow"/>
                <w:b/>
                <w:color w:val="FFFFFF" w:themeColor="background1"/>
              </w:rPr>
              <w:t xml:space="preserve"> &amp; </w:t>
            </w:r>
            <w:r w:rsidR="00DD25BF" w:rsidRPr="00425442">
              <w:rPr>
                <w:rFonts w:ascii="Arial Narrow" w:hAnsi="Arial Narrow"/>
                <w:b/>
                <w:color w:val="FFFFFF" w:themeColor="background1"/>
                <w:lang w:val="en-US"/>
              </w:rPr>
              <w:t>REACT</w:t>
            </w:r>
            <w:r w:rsidR="00DD25BF" w:rsidRPr="00425442">
              <w:rPr>
                <w:rFonts w:ascii="Arial Narrow" w:hAnsi="Arial Narrow"/>
                <w:b/>
                <w:color w:val="FFFFFF" w:themeColor="background1"/>
              </w:rPr>
              <w:t>-</w:t>
            </w:r>
            <w:r w:rsidR="00DD25BF" w:rsidRPr="00425442">
              <w:rPr>
                <w:rFonts w:ascii="Arial Narrow" w:hAnsi="Arial Narrow"/>
                <w:b/>
                <w:color w:val="FFFFFF" w:themeColor="background1"/>
                <w:lang w:val="en-US"/>
              </w:rPr>
              <w:t>EU</w:t>
            </w:r>
          </w:p>
          <w:p w:rsidR="00DD25BF" w:rsidRPr="00425442" w:rsidRDefault="00DD25BF" w:rsidP="0069738C">
            <w:pPr>
              <w:jc w:val="center"/>
              <w:rPr>
                <w:rFonts w:ascii="Arial Narrow" w:hAnsi="Arial Narrow"/>
                <w:i/>
                <w:color w:val="FFFFFF" w:themeColor="background1"/>
              </w:rPr>
            </w:pPr>
            <w:r w:rsidRPr="00425442">
              <w:rPr>
                <w:rFonts w:ascii="Arial Narrow" w:hAnsi="Arial Narrow"/>
                <w:b/>
                <w:color w:val="FFFFFF" w:themeColor="background1"/>
              </w:rPr>
              <w:t>(σε εκατ. ευρώ)</w:t>
            </w:r>
          </w:p>
        </w:tc>
      </w:tr>
      <w:tr w:rsidR="00425442" w:rsidRPr="00FE4CC7" w:rsidTr="00425442">
        <w:tc>
          <w:tcPr>
            <w:tcW w:w="5000" w:type="pct"/>
            <w:gridSpan w:val="4"/>
            <w:tcBorders>
              <w:top w:val="single" w:sz="4" w:space="0" w:color="auto"/>
              <w:bottom w:val="single" w:sz="4" w:space="0" w:color="auto"/>
            </w:tcBorders>
            <w:shd w:val="clear" w:color="auto" w:fill="FFFFFF"/>
          </w:tcPr>
          <w:p w:rsidR="00425442" w:rsidRPr="007D5EBD" w:rsidRDefault="00425442" w:rsidP="0069738C">
            <w:pPr>
              <w:spacing w:before="60" w:after="60"/>
              <w:jc w:val="center"/>
              <w:rPr>
                <w:rFonts w:ascii="Arial Narrow" w:hAnsi="Arial Narrow"/>
                <w:b/>
                <w:sz w:val="16"/>
                <w:szCs w:val="16"/>
              </w:rPr>
            </w:pPr>
          </w:p>
        </w:tc>
      </w:tr>
      <w:tr w:rsidR="00DD25BF" w:rsidRPr="00FE4CC7" w:rsidTr="0069738C">
        <w:tc>
          <w:tcPr>
            <w:tcW w:w="3602" w:type="pct"/>
            <w:gridSpan w:val="2"/>
            <w:tcBorders>
              <w:top w:val="single" w:sz="4" w:space="0" w:color="auto"/>
              <w:bottom w:val="single" w:sz="4" w:space="0" w:color="auto"/>
              <w:right w:val="single" w:sz="4" w:space="0" w:color="auto"/>
            </w:tcBorders>
            <w:shd w:val="clear" w:color="auto" w:fill="FFFFFF"/>
          </w:tcPr>
          <w:p w:rsidR="00DD25BF" w:rsidRPr="007D5EBD" w:rsidRDefault="00DD25BF" w:rsidP="0069738C">
            <w:pPr>
              <w:spacing w:before="60" w:after="60"/>
              <w:jc w:val="center"/>
              <w:rPr>
                <w:rFonts w:ascii="Arial Narrow" w:hAnsi="Arial Narrow"/>
                <w:sz w:val="16"/>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DD25BF" w:rsidRPr="007D5EBD" w:rsidRDefault="00DD25BF" w:rsidP="0069738C">
            <w:pPr>
              <w:spacing w:before="60" w:after="60"/>
              <w:jc w:val="center"/>
              <w:rPr>
                <w:rFonts w:ascii="Arial Narrow" w:hAnsi="Arial Narrow"/>
                <w:b/>
                <w:sz w:val="16"/>
                <w:szCs w:val="16"/>
              </w:rPr>
            </w:pPr>
            <w:r w:rsidRPr="007D5EBD">
              <w:rPr>
                <w:rFonts w:ascii="Arial Narrow" w:hAnsi="Arial Narrow"/>
                <w:b/>
                <w:sz w:val="16"/>
                <w:szCs w:val="16"/>
              </w:rPr>
              <w:t>2020</w:t>
            </w:r>
          </w:p>
        </w:tc>
        <w:tc>
          <w:tcPr>
            <w:tcW w:w="698" w:type="pct"/>
            <w:tcBorders>
              <w:top w:val="single" w:sz="4" w:space="0" w:color="auto"/>
              <w:left w:val="single" w:sz="4" w:space="0" w:color="auto"/>
              <w:bottom w:val="single" w:sz="4" w:space="0" w:color="auto"/>
            </w:tcBorders>
            <w:shd w:val="clear" w:color="auto" w:fill="FFFFFF"/>
            <w:vAlign w:val="center"/>
          </w:tcPr>
          <w:p w:rsidR="00DD25BF" w:rsidRPr="007D5EBD" w:rsidRDefault="00DD25BF" w:rsidP="0069738C">
            <w:pPr>
              <w:spacing w:before="60" w:after="60"/>
              <w:jc w:val="center"/>
              <w:rPr>
                <w:rFonts w:ascii="Arial Narrow" w:hAnsi="Arial Narrow"/>
                <w:b/>
                <w:sz w:val="16"/>
                <w:szCs w:val="16"/>
              </w:rPr>
            </w:pPr>
            <w:r w:rsidRPr="007D5EBD">
              <w:rPr>
                <w:rFonts w:ascii="Arial Narrow" w:hAnsi="Arial Narrow"/>
                <w:b/>
                <w:sz w:val="16"/>
                <w:szCs w:val="16"/>
              </w:rPr>
              <w:t>2021</w:t>
            </w:r>
          </w:p>
        </w:tc>
      </w:tr>
      <w:tr w:rsidR="00DD25BF" w:rsidRPr="00FE4CC7" w:rsidTr="0069738C">
        <w:trPr>
          <w:trHeight w:val="413"/>
        </w:trPr>
        <w:tc>
          <w:tcPr>
            <w:tcW w:w="2635" w:type="pct"/>
            <w:vMerge w:val="restart"/>
            <w:tcBorders>
              <w:top w:val="single" w:sz="4" w:space="0" w:color="auto"/>
              <w:bottom w:val="single" w:sz="4" w:space="0" w:color="BFBFBF"/>
              <w:right w:val="nil"/>
            </w:tcBorders>
            <w:vAlign w:val="center"/>
          </w:tcPr>
          <w:p w:rsidR="00DD25BF" w:rsidRPr="007D5EBD" w:rsidRDefault="00DD25BF" w:rsidP="0069738C">
            <w:pPr>
              <w:rPr>
                <w:rFonts w:ascii="Arial Narrow" w:hAnsi="Arial Narrow"/>
                <w:sz w:val="16"/>
                <w:szCs w:val="16"/>
              </w:rPr>
            </w:pPr>
            <w:r w:rsidRPr="007D5EBD" w:rsidDel="00C27AB3">
              <w:rPr>
                <w:rFonts w:ascii="Arial Narrow" w:hAnsi="Arial Narrow"/>
                <w:sz w:val="16"/>
                <w:szCs w:val="16"/>
              </w:rPr>
              <w:t xml:space="preserve"> </w:t>
            </w:r>
            <w:r w:rsidRPr="007D5EBD">
              <w:rPr>
                <w:rFonts w:ascii="Arial Narrow" w:hAnsi="Arial Narrow"/>
                <w:sz w:val="16"/>
                <w:szCs w:val="16"/>
              </w:rPr>
              <w:t>Recovery and Resilience Facility</w:t>
            </w:r>
            <w:r w:rsidRPr="007D5EBD">
              <w:rPr>
                <w:rFonts w:ascii="Arial Narrow" w:hAnsi="Arial Narrow"/>
                <w:sz w:val="16"/>
                <w:szCs w:val="16"/>
              </w:rPr>
              <w:br/>
            </w:r>
          </w:p>
        </w:tc>
        <w:tc>
          <w:tcPr>
            <w:tcW w:w="967" w:type="pct"/>
            <w:tcBorders>
              <w:top w:val="single" w:sz="4" w:space="0" w:color="auto"/>
              <w:left w:val="nil"/>
              <w:bottom w:val="single" w:sz="4" w:space="0" w:color="BFBFBF"/>
              <w:right w:val="nil"/>
            </w:tcBorders>
            <w:vAlign w:val="center"/>
          </w:tcPr>
          <w:p w:rsidR="00DD25BF" w:rsidRPr="007D5EBD" w:rsidRDefault="00DD25BF" w:rsidP="00425442">
            <w:pPr>
              <w:rPr>
                <w:rFonts w:ascii="Arial Narrow" w:hAnsi="Arial Narrow"/>
                <w:sz w:val="16"/>
                <w:szCs w:val="16"/>
              </w:rPr>
            </w:pPr>
            <w:r w:rsidRPr="007D5EBD">
              <w:rPr>
                <w:rFonts w:ascii="Arial Narrow" w:hAnsi="Arial Narrow"/>
                <w:sz w:val="16"/>
                <w:szCs w:val="16"/>
              </w:rPr>
              <w:t>Επιχορηγήσεις</w:t>
            </w:r>
          </w:p>
        </w:tc>
        <w:tc>
          <w:tcPr>
            <w:tcW w:w="700" w:type="pct"/>
            <w:tcBorders>
              <w:top w:val="single" w:sz="4" w:space="0" w:color="auto"/>
              <w:left w:val="nil"/>
              <w:bottom w:val="single" w:sz="4" w:space="0" w:color="BFBFBF"/>
              <w:right w:val="nil"/>
            </w:tcBorders>
            <w:vAlign w:val="center"/>
          </w:tcPr>
          <w:p w:rsidR="00DD25BF" w:rsidRPr="007D5EBD" w:rsidRDefault="00DD25BF" w:rsidP="0069738C">
            <w:pPr>
              <w:ind w:right="340"/>
              <w:jc w:val="right"/>
              <w:rPr>
                <w:rFonts w:ascii="Arial Narrow" w:hAnsi="Arial Narrow"/>
                <w:sz w:val="16"/>
                <w:szCs w:val="16"/>
              </w:rPr>
            </w:pPr>
            <w:r w:rsidRPr="007D5EBD">
              <w:rPr>
                <w:rFonts w:ascii="Arial Narrow" w:hAnsi="Arial Narrow"/>
                <w:sz w:val="16"/>
                <w:szCs w:val="16"/>
              </w:rPr>
              <w:t>0</w:t>
            </w:r>
          </w:p>
        </w:tc>
        <w:tc>
          <w:tcPr>
            <w:tcW w:w="698" w:type="pct"/>
            <w:tcBorders>
              <w:top w:val="single" w:sz="4" w:space="0" w:color="auto"/>
              <w:left w:val="nil"/>
              <w:bottom w:val="single" w:sz="4" w:space="0" w:color="BFBFBF"/>
            </w:tcBorders>
            <w:vAlign w:val="center"/>
          </w:tcPr>
          <w:p w:rsidR="00DD25BF" w:rsidRPr="007D5EBD" w:rsidRDefault="00DD25BF" w:rsidP="0069738C">
            <w:pPr>
              <w:ind w:right="340"/>
              <w:jc w:val="right"/>
              <w:rPr>
                <w:rFonts w:ascii="Arial Narrow" w:hAnsi="Arial Narrow"/>
                <w:sz w:val="16"/>
                <w:szCs w:val="16"/>
              </w:rPr>
            </w:pPr>
            <w:r w:rsidRPr="007D5EBD">
              <w:rPr>
                <w:rFonts w:ascii="Arial Narrow" w:hAnsi="Arial Narrow"/>
                <w:sz w:val="16"/>
                <w:szCs w:val="16"/>
              </w:rPr>
              <w:t>2.635</w:t>
            </w:r>
            <w:r>
              <w:rPr>
                <w:rFonts w:ascii="Arial Narrow" w:hAnsi="Arial Narrow"/>
                <w:sz w:val="16"/>
                <w:szCs w:val="16"/>
              </w:rPr>
              <w:t>*</w:t>
            </w:r>
          </w:p>
        </w:tc>
      </w:tr>
      <w:tr w:rsidR="00DD25BF" w:rsidRPr="00FE4CC7" w:rsidTr="0069738C">
        <w:trPr>
          <w:trHeight w:val="414"/>
        </w:trPr>
        <w:tc>
          <w:tcPr>
            <w:tcW w:w="2635" w:type="pct"/>
            <w:vMerge/>
            <w:tcBorders>
              <w:top w:val="single" w:sz="4" w:space="0" w:color="BFBFBF"/>
              <w:bottom w:val="single" w:sz="4" w:space="0" w:color="BFBFBF"/>
              <w:right w:val="nil"/>
            </w:tcBorders>
            <w:vAlign w:val="center"/>
          </w:tcPr>
          <w:p w:rsidR="00DD25BF" w:rsidRPr="007D5EBD" w:rsidRDefault="00DD25BF" w:rsidP="0069738C">
            <w:pPr>
              <w:jc w:val="center"/>
              <w:rPr>
                <w:rFonts w:ascii="Arial Narrow" w:hAnsi="Arial Narrow"/>
                <w:sz w:val="16"/>
                <w:szCs w:val="16"/>
              </w:rPr>
            </w:pPr>
          </w:p>
        </w:tc>
        <w:tc>
          <w:tcPr>
            <w:tcW w:w="967" w:type="pct"/>
            <w:tcBorders>
              <w:top w:val="single" w:sz="4" w:space="0" w:color="BFBFBF"/>
              <w:left w:val="nil"/>
              <w:bottom w:val="single" w:sz="4" w:space="0" w:color="BFBFBF"/>
              <w:right w:val="nil"/>
            </w:tcBorders>
            <w:vAlign w:val="center"/>
          </w:tcPr>
          <w:p w:rsidR="00DD25BF" w:rsidRPr="007D5EBD" w:rsidRDefault="00DD25BF" w:rsidP="00425442">
            <w:pPr>
              <w:rPr>
                <w:rFonts w:ascii="Arial Narrow" w:hAnsi="Arial Narrow"/>
                <w:sz w:val="16"/>
                <w:szCs w:val="16"/>
              </w:rPr>
            </w:pPr>
            <w:r w:rsidRPr="007D5EBD">
              <w:rPr>
                <w:rFonts w:ascii="Arial Narrow" w:hAnsi="Arial Narrow"/>
                <w:sz w:val="16"/>
                <w:szCs w:val="16"/>
              </w:rPr>
              <w:t>Δάνεια</w:t>
            </w:r>
          </w:p>
        </w:tc>
        <w:tc>
          <w:tcPr>
            <w:tcW w:w="700" w:type="pct"/>
            <w:tcBorders>
              <w:top w:val="single" w:sz="4" w:space="0" w:color="BFBFBF"/>
              <w:left w:val="nil"/>
              <w:bottom w:val="single" w:sz="4" w:space="0" w:color="BFBFBF"/>
              <w:right w:val="nil"/>
            </w:tcBorders>
            <w:vAlign w:val="center"/>
          </w:tcPr>
          <w:p w:rsidR="00DD25BF" w:rsidRPr="007D5EBD" w:rsidRDefault="00DD25BF" w:rsidP="0069738C">
            <w:pPr>
              <w:ind w:right="340"/>
              <w:jc w:val="right"/>
              <w:rPr>
                <w:rFonts w:ascii="Arial Narrow" w:hAnsi="Arial Narrow"/>
                <w:sz w:val="16"/>
                <w:szCs w:val="16"/>
              </w:rPr>
            </w:pPr>
            <w:r w:rsidRPr="007D5EBD">
              <w:rPr>
                <w:rFonts w:ascii="Arial Narrow" w:hAnsi="Arial Narrow"/>
                <w:sz w:val="16"/>
                <w:szCs w:val="16"/>
              </w:rPr>
              <w:t>0</w:t>
            </w:r>
          </w:p>
        </w:tc>
        <w:tc>
          <w:tcPr>
            <w:tcW w:w="698" w:type="pct"/>
            <w:tcBorders>
              <w:top w:val="single" w:sz="4" w:space="0" w:color="BFBFBF"/>
              <w:left w:val="nil"/>
              <w:bottom w:val="single" w:sz="4" w:space="0" w:color="BFBFBF"/>
            </w:tcBorders>
            <w:vAlign w:val="center"/>
          </w:tcPr>
          <w:p w:rsidR="00DD25BF" w:rsidRPr="007D5EBD" w:rsidRDefault="00DD25BF" w:rsidP="0069738C">
            <w:pPr>
              <w:ind w:right="340"/>
              <w:jc w:val="right"/>
              <w:rPr>
                <w:rFonts w:ascii="Arial Narrow" w:hAnsi="Arial Narrow"/>
                <w:sz w:val="16"/>
                <w:szCs w:val="16"/>
              </w:rPr>
            </w:pPr>
            <w:r w:rsidRPr="007D5EBD">
              <w:rPr>
                <w:rFonts w:ascii="Arial Narrow" w:hAnsi="Arial Narrow"/>
                <w:sz w:val="16"/>
                <w:szCs w:val="16"/>
              </w:rPr>
              <w:t>1.272</w:t>
            </w:r>
          </w:p>
        </w:tc>
      </w:tr>
      <w:tr w:rsidR="00DD25BF" w:rsidRPr="00FE4CC7" w:rsidTr="0069738C">
        <w:trPr>
          <w:trHeight w:val="414"/>
        </w:trPr>
        <w:tc>
          <w:tcPr>
            <w:tcW w:w="2635" w:type="pct"/>
            <w:tcBorders>
              <w:top w:val="single" w:sz="4" w:space="0" w:color="BFBFBF"/>
              <w:bottom w:val="single" w:sz="4" w:space="0" w:color="BFBFBF"/>
              <w:right w:val="nil"/>
            </w:tcBorders>
            <w:vAlign w:val="center"/>
          </w:tcPr>
          <w:p w:rsidR="00DD25BF" w:rsidRPr="00425442" w:rsidRDefault="00DD25BF" w:rsidP="0069738C">
            <w:pPr>
              <w:rPr>
                <w:rFonts w:ascii="Arial Narrow" w:hAnsi="Arial Narrow"/>
                <w:sz w:val="16"/>
                <w:szCs w:val="16"/>
              </w:rPr>
            </w:pPr>
            <w:r w:rsidRPr="007D5EBD">
              <w:rPr>
                <w:rFonts w:ascii="Arial Narrow" w:hAnsi="Arial Narrow"/>
                <w:sz w:val="16"/>
                <w:szCs w:val="16"/>
                <w:lang w:val="en-US"/>
              </w:rPr>
              <w:t>REACT</w:t>
            </w:r>
            <w:r w:rsidRPr="00425442">
              <w:rPr>
                <w:rFonts w:ascii="Arial Narrow" w:hAnsi="Arial Narrow"/>
                <w:sz w:val="16"/>
                <w:szCs w:val="16"/>
              </w:rPr>
              <w:t>-</w:t>
            </w:r>
            <w:r w:rsidRPr="007D5EBD">
              <w:rPr>
                <w:rFonts w:ascii="Arial Narrow" w:hAnsi="Arial Narrow"/>
                <w:sz w:val="16"/>
                <w:szCs w:val="16"/>
                <w:lang w:val="en-US"/>
              </w:rPr>
              <w:t>EU</w:t>
            </w:r>
          </w:p>
        </w:tc>
        <w:tc>
          <w:tcPr>
            <w:tcW w:w="967" w:type="pct"/>
            <w:tcBorders>
              <w:top w:val="single" w:sz="4" w:space="0" w:color="BFBFBF"/>
              <w:left w:val="nil"/>
              <w:bottom w:val="single" w:sz="4" w:space="0" w:color="BFBFBF"/>
              <w:right w:val="nil"/>
            </w:tcBorders>
            <w:vAlign w:val="center"/>
          </w:tcPr>
          <w:p w:rsidR="00DD25BF" w:rsidRPr="007D5EBD" w:rsidRDefault="00DD25BF" w:rsidP="00425442">
            <w:pPr>
              <w:rPr>
                <w:rFonts w:ascii="Arial Narrow" w:hAnsi="Arial Narrow"/>
                <w:sz w:val="16"/>
                <w:szCs w:val="16"/>
              </w:rPr>
            </w:pPr>
            <w:r w:rsidRPr="007D5EBD">
              <w:rPr>
                <w:rFonts w:ascii="Arial Narrow" w:hAnsi="Arial Narrow"/>
                <w:sz w:val="16"/>
                <w:szCs w:val="16"/>
              </w:rPr>
              <w:t>Επιχορηγήσεις</w:t>
            </w:r>
          </w:p>
        </w:tc>
        <w:tc>
          <w:tcPr>
            <w:tcW w:w="700" w:type="pct"/>
            <w:tcBorders>
              <w:top w:val="single" w:sz="4" w:space="0" w:color="BFBFBF"/>
              <w:left w:val="nil"/>
              <w:bottom w:val="single" w:sz="4" w:space="0" w:color="BFBFBF"/>
              <w:right w:val="nil"/>
            </w:tcBorders>
            <w:vAlign w:val="center"/>
          </w:tcPr>
          <w:p w:rsidR="00DD25BF" w:rsidRPr="00425442" w:rsidRDefault="00DD25BF" w:rsidP="0069738C">
            <w:pPr>
              <w:ind w:right="340"/>
              <w:jc w:val="right"/>
              <w:textAlignment w:val="center"/>
              <w:rPr>
                <w:rFonts w:ascii="Arial Narrow" w:hAnsi="Arial Narrow"/>
                <w:sz w:val="16"/>
                <w:szCs w:val="16"/>
              </w:rPr>
            </w:pPr>
            <w:r w:rsidRPr="00425442">
              <w:rPr>
                <w:rFonts w:ascii="Arial Narrow" w:hAnsi="Arial Narrow"/>
                <w:sz w:val="16"/>
                <w:szCs w:val="16"/>
              </w:rPr>
              <w:t>0</w:t>
            </w:r>
          </w:p>
        </w:tc>
        <w:tc>
          <w:tcPr>
            <w:tcW w:w="698" w:type="pct"/>
            <w:tcBorders>
              <w:top w:val="single" w:sz="4" w:space="0" w:color="BFBFBF"/>
              <w:left w:val="nil"/>
              <w:bottom w:val="single" w:sz="4" w:space="0" w:color="BFBFBF"/>
            </w:tcBorders>
            <w:vAlign w:val="center"/>
          </w:tcPr>
          <w:p w:rsidR="00DD25BF" w:rsidRPr="007D5EBD" w:rsidRDefault="00DD25BF" w:rsidP="0069738C">
            <w:pPr>
              <w:ind w:right="340"/>
              <w:jc w:val="right"/>
              <w:textAlignment w:val="center"/>
              <w:rPr>
                <w:rFonts w:ascii="Arial Narrow" w:hAnsi="Arial Narrow"/>
                <w:sz w:val="16"/>
                <w:szCs w:val="16"/>
              </w:rPr>
            </w:pPr>
            <w:r w:rsidRPr="00425442">
              <w:rPr>
                <w:rFonts w:ascii="Arial Narrow" w:hAnsi="Arial Narrow"/>
                <w:sz w:val="16"/>
                <w:szCs w:val="16"/>
              </w:rPr>
              <w:t>1.600</w:t>
            </w:r>
            <w:r w:rsidRPr="007D5EBD">
              <w:rPr>
                <w:rFonts w:ascii="Arial Narrow" w:hAnsi="Arial Narrow"/>
                <w:sz w:val="16"/>
                <w:szCs w:val="16"/>
              </w:rPr>
              <w:t>*</w:t>
            </w:r>
            <w:r>
              <w:rPr>
                <w:rFonts w:ascii="Arial Narrow" w:hAnsi="Arial Narrow"/>
                <w:sz w:val="16"/>
                <w:szCs w:val="16"/>
              </w:rPr>
              <w:t>*</w:t>
            </w:r>
          </w:p>
        </w:tc>
      </w:tr>
      <w:tr w:rsidR="00DD25BF" w:rsidRPr="002E21D1" w:rsidTr="0069738C">
        <w:trPr>
          <w:trHeight w:val="414"/>
        </w:trPr>
        <w:tc>
          <w:tcPr>
            <w:tcW w:w="2635" w:type="pct"/>
            <w:tcBorders>
              <w:top w:val="single" w:sz="4" w:space="0" w:color="BFBFBF"/>
              <w:bottom w:val="single" w:sz="4" w:space="0" w:color="auto"/>
              <w:right w:val="nil"/>
            </w:tcBorders>
            <w:vAlign w:val="center"/>
          </w:tcPr>
          <w:p w:rsidR="00DD25BF" w:rsidRPr="007D5EBD" w:rsidRDefault="00DD25BF" w:rsidP="0069738C">
            <w:pPr>
              <w:rPr>
                <w:rFonts w:ascii="Arial Narrow" w:hAnsi="Arial Narrow"/>
                <w:b/>
                <w:bCs/>
                <w:sz w:val="16"/>
                <w:szCs w:val="16"/>
              </w:rPr>
            </w:pPr>
            <w:r w:rsidRPr="007D5EBD">
              <w:rPr>
                <w:rFonts w:ascii="Arial Narrow" w:hAnsi="Arial Narrow"/>
                <w:b/>
                <w:bCs/>
                <w:sz w:val="16"/>
                <w:szCs w:val="16"/>
              </w:rPr>
              <w:t>Σύνολο</w:t>
            </w:r>
          </w:p>
        </w:tc>
        <w:tc>
          <w:tcPr>
            <w:tcW w:w="967" w:type="pct"/>
            <w:tcBorders>
              <w:top w:val="single" w:sz="4" w:space="0" w:color="BFBFBF"/>
              <w:left w:val="nil"/>
              <w:bottom w:val="single" w:sz="4" w:space="0" w:color="auto"/>
              <w:right w:val="nil"/>
            </w:tcBorders>
            <w:vAlign w:val="center"/>
          </w:tcPr>
          <w:p w:rsidR="00DD25BF" w:rsidRPr="007D5EBD" w:rsidRDefault="00DD25BF" w:rsidP="0069738C">
            <w:pPr>
              <w:jc w:val="center"/>
              <w:rPr>
                <w:rFonts w:ascii="Arial Narrow" w:hAnsi="Arial Narrow"/>
                <w:b/>
                <w:bCs/>
                <w:sz w:val="16"/>
                <w:szCs w:val="16"/>
              </w:rPr>
            </w:pPr>
          </w:p>
        </w:tc>
        <w:tc>
          <w:tcPr>
            <w:tcW w:w="700" w:type="pct"/>
            <w:tcBorders>
              <w:top w:val="single" w:sz="4" w:space="0" w:color="BFBFBF"/>
              <w:left w:val="nil"/>
              <w:bottom w:val="single" w:sz="4" w:space="0" w:color="auto"/>
              <w:right w:val="nil"/>
            </w:tcBorders>
            <w:vAlign w:val="center"/>
          </w:tcPr>
          <w:p w:rsidR="00DD25BF" w:rsidRPr="007D5EBD" w:rsidRDefault="00DD25BF" w:rsidP="0069738C">
            <w:pPr>
              <w:ind w:right="340"/>
              <w:jc w:val="right"/>
              <w:rPr>
                <w:rFonts w:ascii="Arial Narrow" w:hAnsi="Arial Narrow"/>
                <w:b/>
                <w:bCs/>
                <w:sz w:val="16"/>
                <w:szCs w:val="16"/>
              </w:rPr>
            </w:pPr>
          </w:p>
        </w:tc>
        <w:tc>
          <w:tcPr>
            <w:tcW w:w="698" w:type="pct"/>
            <w:tcBorders>
              <w:top w:val="single" w:sz="4" w:space="0" w:color="BFBFBF"/>
              <w:left w:val="nil"/>
              <w:bottom w:val="single" w:sz="4" w:space="0" w:color="auto"/>
            </w:tcBorders>
            <w:vAlign w:val="center"/>
          </w:tcPr>
          <w:p w:rsidR="00DD25BF" w:rsidRPr="007D5EBD" w:rsidRDefault="00DD25BF" w:rsidP="0069738C">
            <w:pPr>
              <w:ind w:right="340"/>
              <w:jc w:val="right"/>
              <w:textAlignment w:val="center"/>
              <w:rPr>
                <w:rFonts w:ascii="Arial Narrow" w:hAnsi="Arial Narrow"/>
                <w:b/>
                <w:bCs/>
                <w:sz w:val="16"/>
                <w:szCs w:val="16"/>
                <w:lang w:val="en-US"/>
              </w:rPr>
            </w:pPr>
            <w:r w:rsidRPr="007D5EBD">
              <w:rPr>
                <w:rFonts w:ascii="Arial Narrow" w:hAnsi="Arial Narrow"/>
                <w:b/>
                <w:bCs/>
                <w:sz w:val="16"/>
                <w:szCs w:val="16"/>
                <w:lang w:val="en-US"/>
              </w:rPr>
              <w:t>5.507</w:t>
            </w:r>
          </w:p>
        </w:tc>
      </w:tr>
    </w:tbl>
    <w:p w:rsidR="00DD25BF" w:rsidRPr="00655CC9" w:rsidRDefault="00DD25BF" w:rsidP="00DD25BF">
      <w:pPr>
        <w:tabs>
          <w:tab w:val="left" w:pos="284"/>
        </w:tabs>
        <w:ind w:left="284" w:hanging="284"/>
        <w:jc w:val="both"/>
        <w:rPr>
          <w:rFonts w:ascii="Arial Narrow" w:hAnsi="Arial Narrow"/>
          <w:bCs/>
          <w:sz w:val="18"/>
          <w:szCs w:val="18"/>
        </w:rPr>
      </w:pPr>
      <w:r w:rsidRPr="00655CC9">
        <w:rPr>
          <w:rFonts w:ascii="Arial Narrow" w:hAnsi="Arial Narrow"/>
          <w:bCs/>
          <w:sz w:val="18"/>
          <w:szCs w:val="18"/>
        </w:rPr>
        <w:t>*</w:t>
      </w:r>
      <w:r w:rsidRPr="00655CC9">
        <w:rPr>
          <w:rFonts w:ascii="Arial Narrow" w:hAnsi="Arial Narrow"/>
          <w:bCs/>
          <w:sz w:val="18"/>
          <w:szCs w:val="18"/>
        </w:rPr>
        <w:tab/>
        <w:t xml:space="preserve">Το ποσό των 2.635 έχει περιληφθεί ως έσοδο στις μεταβιβάσεις κεντρικής κυβέρνησης και ως δαπάνη στις πιστώσεις υπό κατανομή του πίνακα </w:t>
      </w:r>
      <w:r w:rsidR="0087697F" w:rsidRPr="00655CC9">
        <w:rPr>
          <w:rFonts w:ascii="Arial Narrow" w:hAnsi="Arial Narrow"/>
          <w:bCs/>
          <w:sz w:val="18"/>
          <w:szCs w:val="18"/>
        </w:rPr>
        <w:t>3.2</w:t>
      </w:r>
    </w:p>
    <w:p w:rsidR="00DD25BF" w:rsidRPr="00971EF3" w:rsidRDefault="00DD25BF" w:rsidP="00DD25BF">
      <w:pPr>
        <w:tabs>
          <w:tab w:val="left" w:pos="284"/>
        </w:tabs>
        <w:ind w:left="284" w:hanging="284"/>
        <w:jc w:val="both"/>
        <w:rPr>
          <w:rFonts w:ascii="Arial Narrow" w:hAnsi="Arial Narrow"/>
          <w:bCs/>
          <w:sz w:val="18"/>
          <w:szCs w:val="18"/>
        </w:rPr>
      </w:pPr>
      <w:r w:rsidRPr="00655CC9">
        <w:rPr>
          <w:rFonts w:ascii="Arial Narrow" w:hAnsi="Arial Narrow"/>
          <w:bCs/>
          <w:sz w:val="18"/>
          <w:szCs w:val="18"/>
        </w:rPr>
        <w:t>**</w:t>
      </w:r>
      <w:r w:rsidRPr="00655CC9">
        <w:rPr>
          <w:rFonts w:ascii="Arial Narrow" w:hAnsi="Arial Narrow"/>
          <w:bCs/>
          <w:sz w:val="18"/>
          <w:szCs w:val="18"/>
        </w:rPr>
        <w:tab/>
        <w:t xml:space="preserve">Το ποσό αυτό είναι επιπλέον των δαπανών του ΠΔΕ που περιλαμβάνονται στον πίνακα </w:t>
      </w:r>
      <w:r w:rsidR="0087697F" w:rsidRPr="00655CC9">
        <w:rPr>
          <w:rFonts w:ascii="Arial Narrow" w:hAnsi="Arial Narrow"/>
          <w:bCs/>
          <w:sz w:val="18"/>
          <w:szCs w:val="18"/>
        </w:rPr>
        <w:t>3.2</w:t>
      </w:r>
      <w:r w:rsidRPr="00655CC9">
        <w:rPr>
          <w:rFonts w:ascii="Arial Narrow" w:hAnsi="Arial Narrow"/>
          <w:bCs/>
          <w:sz w:val="18"/>
          <w:szCs w:val="18"/>
        </w:rPr>
        <w:t>.</w:t>
      </w:r>
    </w:p>
    <w:p w:rsidR="00DD25BF" w:rsidRDefault="00DD25BF" w:rsidP="00DD25BF">
      <w:pPr>
        <w:shd w:val="clear" w:color="auto" w:fill="FFFFFF"/>
        <w:jc w:val="both"/>
        <w:rPr>
          <w:rFonts w:ascii="Arial Narrow" w:hAnsi="Arial Narrow"/>
          <w:sz w:val="18"/>
          <w:szCs w:val="18"/>
        </w:rPr>
      </w:pPr>
    </w:p>
    <w:p w:rsidR="00DD25BF" w:rsidRPr="00833515" w:rsidRDefault="00DD25BF" w:rsidP="00DD25BF">
      <w:pPr>
        <w:shd w:val="clear" w:color="auto" w:fill="FFFFFF"/>
        <w:jc w:val="both"/>
        <w:rPr>
          <w:rFonts w:ascii="Arial Narrow" w:hAnsi="Arial Narrow"/>
          <w:sz w:val="22"/>
          <w:szCs w:val="22"/>
        </w:rPr>
      </w:pPr>
    </w:p>
    <w:p w:rsidR="00DD25BF" w:rsidRPr="00833515" w:rsidRDefault="00DD25BF" w:rsidP="00DD25BF">
      <w:pPr>
        <w:shd w:val="clear" w:color="auto" w:fill="FFFFFF"/>
        <w:jc w:val="both"/>
        <w:rPr>
          <w:sz w:val="22"/>
          <w:szCs w:val="22"/>
        </w:rPr>
      </w:pPr>
      <w:r w:rsidRPr="00833515">
        <w:rPr>
          <w:sz w:val="22"/>
          <w:szCs w:val="22"/>
        </w:rPr>
        <w:t xml:space="preserve">Για τη χρήση του </w:t>
      </w:r>
      <w:r w:rsidRPr="00833515">
        <w:rPr>
          <w:sz w:val="22"/>
          <w:szCs w:val="22"/>
          <w:lang w:val="en-US"/>
        </w:rPr>
        <w:t>Recovery</w:t>
      </w:r>
      <w:r w:rsidRPr="00833515">
        <w:rPr>
          <w:sz w:val="22"/>
          <w:szCs w:val="22"/>
        </w:rPr>
        <w:t xml:space="preserve"> </w:t>
      </w:r>
      <w:r w:rsidRPr="00833515">
        <w:rPr>
          <w:sz w:val="22"/>
          <w:szCs w:val="22"/>
          <w:lang w:val="en-US"/>
        </w:rPr>
        <w:t>and</w:t>
      </w:r>
      <w:r w:rsidRPr="00833515">
        <w:rPr>
          <w:sz w:val="22"/>
          <w:szCs w:val="22"/>
        </w:rPr>
        <w:t xml:space="preserve"> </w:t>
      </w:r>
      <w:r w:rsidRPr="00833515">
        <w:rPr>
          <w:sz w:val="22"/>
          <w:szCs w:val="22"/>
          <w:lang w:val="en-US"/>
        </w:rPr>
        <w:t>Resilience</w:t>
      </w:r>
      <w:r w:rsidRPr="00833515">
        <w:rPr>
          <w:sz w:val="22"/>
          <w:szCs w:val="22"/>
        </w:rPr>
        <w:t xml:space="preserve"> </w:t>
      </w:r>
      <w:r w:rsidRPr="00833515">
        <w:rPr>
          <w:sz w:val="22"/>
          <w:szCs w:val="22"/>
          <w:lang w:val="en-US"/>
        </w:rPr>
        <w:t>Facility</w:t>
      </w:r>
      <w:r w:rsidRPr="00833515">
        <w:rPr>
          <w:sz w:val="22"/>
          <w:szCs w:val="22"/>
        </w:rPr>
        <w:t xml:space="preserve"> τα κράτη μέλη θα καταρτίσουν </w:t>
      </w:r>
      <w:r w:rsidRPr="00833515">
        <w:rPr>
          <w:b/>
          <w:bCs/>
          <w:sz w:val="22"/>
          <w:szCs w:val="22"/>
        </w:rPr>
        <w:t xml:space="preserve">εθνικά σχέδια </w:t>
      </w:r>
      <w:r w:rsidRPr="00833515">
        <w:rPr>
          <w:b/>
          <w:bCs/>
          <w:sz w:val="22"/>
          <w:szCs w:val="22"/>
        </w:rPr>
        <w:t>α</w:t>
      </w:r>
      <w:r w:rsidRPr="00833515">
        <w:rPr>
          <w:b/>
          <w:bCs/>
          <w:sz w:val="22"/>
          <w:szCs w:val="22"/>
        </w:rPr>
        <w:t>νάκαμψης και ανθεκτικότητας,</w:t>
      </w:r>
      <w:r w:rsidRPr="00833515">
        <w:rPr>
          <w:sz w:val="22"/>
          <w:szCs w:val="22"/>
        </w:rPr>
        <w:t> στα οποία παρουσιάζεται η μεταρρυθμιστική και επενδυτική ατζ</w:t>
      </w:r>
      <w:r w:rsidRPr="00833515">
        <w:rPr>
          <w:sz w:val="22"/>
          <w:szCs w:val="22"/>
        </w:rPr>
        <w:t>έ</w:t>
      </w:r>
      <w:r w:rsidRPr="00833515">
        <w:rPr>
          <w:sz w:val="22"/>
          <w:szCs w:val="22"/>
        </w:rPr>
        <w:t>ντα τους για τα έτη 2021-</w:t>
      </w:r>
      <w:r w:rsidR="003C44DC">
        <w:rPr>
          <w:sz w:val="22"/>
          <w:szCs w:val="22"/>
        </w:rPr>
        <w:t>26</w:t>
      </w:r>
      <w:r w:rsidRPr="00833515">
        <w:rPr>
          <w:sz w:val="22"/>
          <w:szCs w:val="22"/>
        </w:rPr>
        <w:t>. Τα σχέδια θα επανεξεταστούν και θα προσαρμοστούν ανάλογα με τις ανάγκες το 2022, ώστε να ληφθεί υπόψη η τελική κατανομή των κονδυλίων για το 2023.</w:t>
      </w:r>
    </w:p>
    <w:p w:rsidR="00DD25BF" w:rsidRPr="00833515" w:rsidRDefault="00DD25BF" w:rsidP="00DD25BF">
      <w:pPr>
        <w:shd w:val="clear" w:color="auto" w:fill="FFFFFF"/>
        <w:jc w:val="both"/>
        <w:rPr>
          <w:sz w:val="22"/>
          <w:szCs w:val="22"/>
        </w:rPr>
      </w:pPr>
    </w:p>
    <w:p w:rsidR="00DD25BF" w:rsidRPr="00833515" w:rsidRDefault="00DD25BF" w:rsidP="00DD25BF">
      <w:pPr>
        <w:shd w:val="clear" w:color="auto" w:fill="FFFFFF"/>
        <w:jc w:val="both"/>
        <w:rPr>
          <w:sz w:val="22"/>
          <w:szCs w:val="22"/>
        </w:rPr>
      </w:pPr>
      <w:r w:rsidRPr="00833515">
        <w:rPr>
          <w:sz w:val="22"/>
          <w:szCs w:val="22"/>
        </w:rPr>
        <w:t>Η Επιτροπή θα αξιολογήσει τα σχέδια ανάκαμψης και ανθεκτικότητας εντός δύο μηνών από την υπ</w:t>
      </w:r>
      <w:r w:rsidRPr="00833515">
        <w:rPr>
          <w:sz w:val="22"/>
          <w:szCs w:val="22"/>
        </w:rPr>
        <w:t>ο</w:t>
      </w:r>
      <w:r w:rsidRPr="00833515">
        <w:rPr>
          <w:sz w:val="22"/>
          <w:szCs w:val="22"/>
        </w:rPr>
        <w:t>βολή τους βασιζόμενη σε μία σειρά κριτηρίων, όπως:</w:t>
      </w:r>
    </w:p>
    <w:p w:rsidR="00DD25BF" w:rsidRPr="00833515" w:rsidRDefault="00DD25BF" w:rsidP="00DD25BF">
      <w:pPr>
        <w:shd w:val="clear" w:color="auto" w:fill="FFFFFF"/>
        <w:jc w:val="both"/>
        <w:rPr>
          <w:sz w:val="22"/>
          <w:szCs w:val="22"/>
        </w:rPr>
      </w:pPr>
    </w:p>
    <w:p w:rsidR="00DD25BF" w:rsidRPr="00833515" w:rsidRDefault="00DD25BF" w:rsidP="00DD25BF">
      <w:pPr>
        <w:numPr>
          <w:ilvl w:val="0"/>
          <w:numId w:val="42"/>
        </w:numPr>
        <w:shd w:val="clear" w:color="auto" w:fill="FFFFFF"/>
        <w:tabs>
          <w:tab w:val="clear" w:pos="720"/>
        </w:tabs>
        <w:ind w:left="284" w:hanging="284"/>
        <w:jc w:val="both"/>
        <w:rPr>
          <w:sz w:val="22"/>
          <w:szCs w:val="22"/>
        </w:rPr>
      </w:pPr>
      <w:r w:rsidRPr="00833515">
        <w:rPr>
          <w:sz w:val="22"/>
          <w:szCs w:val="22"/>
        </w:rPr>
        <w:t>συνεκτικότητα με τις </w:t>
      </w:r>
      <w:r w:rsidRPr="00833515">
        <w:rPr>
          <w:bCs/>
          <w:sz w:val="22"/>
          <w:szCs w:val="22"/>
        </w:rPr>
        <w:t>ειδικές ανά χώρα συστάσεις,</w:t>
      </w:r>
      <w:r w:rsidRPr="00833515">
        <w:rPr>
          <w:sz w:val="22"/>
          <w:szCs w:val="22"/>
        </w:rPr>
        <w:t> </w:t>
      </w:r>
    </w:p>
    <w:p w:rsidR="00DD25BF" w:rsidRPr="00833515" w:rsidRDefault="00DD25BF" w:rsidP="00DD25BF">
      <w:pPr>
        <w:numPr>
          <w:ilvl w:val="0"/>
          <w:numId w:val="42"/>
        </w:numPr>
        <w:shd w:val="clear" w:color="auto" w:fill="FFFFFF"/>
        <w:tabs>
          <w:tab w:val="clear" w:pos="720"/>
        </w:tabs>
        <w:ind w:left="284" w:hanging="284"/>
        <w:jc w:val="both"/>
        <w:rPr>
          <w:sz w:val="22"/>
          <w:szCs w:val="22"/>
        </w:rPr>
      </w:pPr>
      <w:r w:rsidRPr="00833515">
        <w:rPr>
          <w:sz w:val="22"/>
          <w:szCs w:val="22"/>
        </w:rPr>
        <w:t>ενίσχυση του </w:t>
      </w:r>
      <w:r w:rsidRPr="00833515">
        <w:rPr>
          <w:bCs/>
          <w:sz w:val="22"/>
          <w:szCs w:val="22"/>
        </w:rPr>
        <w:t>αναπτυξιακού δυναμικού</w:t>
      </w:r>
      <w:r w:rsidRPr="00833515">
        <w:rPr>
          <w:sz w:val="22"/>
          <w:szCs w:val="22"/>
        </w:rPr>
        <w:t>, </w:t>
      </w:r>
      <w:r w:rsidRPr="00833515">
        <w:rPr>
          <w:bCs/>
          <w:sz w:val="22"/>
          <w:szCs w:val="22"/>
        </w:rPr>
        <w:t>δημιουργία θέσεων εργασίας</w:t>
      </w:r>
      <w:r w:rsidRPr="00833515">
        <w:rPr>
          <w:sz w:val="22"/>
          <w:szCs w:val="22"/>
        </w:rPr>
        <w:t xml:space="preserve"> και </w:t>
      </w:r>
      <w:r w:rsidRPr="00833515">
        <w:rPr>
          <w:bCs/>
          <w:sz w:val="22"/>
          <w:szCs w:val="22"/>
        </w:rPr>
        <w:t>οικονομική και κοινων</w:t>
      </w:r>
      <w:r w:rsidRPr="00833515">
        <w:rPr>
          <w:bCs/>
          <w:sz w:val="22"/>
          <w:szCs w:val="22"/>
        </w:rPr>
        <w:t>ι</w:t>
      </w:r>
      <w:r w:rsidRPr="00833515">
        <w:rPr>
          <w:bCs/>
          <w:sz w:val="22"/>
          <w:szCs w:val="22"/>
        </w:rPr>
        <w:t xml:space="preserve">κή ανθεκτικότητα </w:t>
      </w:r>
      <w:r w:rsidRPr="00833515">
        <w:rPr>
          <w:sz w:val="22"/>
          <w:szCs w:val="22"/>
        </w:rPr>
        <w:t>του κράτους μέλους και</w:t>
      </w:r>
    </w:p>
    <w:p w:rsidR="00DD25BF" w:rsidRPr="00833515" w:rsidRDefault="00DD25BF" w:rsidP="00DD25BF">
      <w:pPr>
        <w:numPr>
          <w:ilvl w:val="0"/>
          <w:numId w:val="42"/>
        </w:numPr>
        <w:shd w:val="clear" w:color="auto" w:fill="FFFFFF"/>
        <w:tabs>
          <w:tab w:val="clear" w:pos="720"/>
        </w:tabs>
        <w:ind w:left="284" w:hanging="284"/>
        <w:jc w:val="both"/>
        <w:rPr>
          <w:sz w:val="22"/>
          <w:szCs w:val="22"/>
        </w:rPr>
      </w:pPr>
      <w:r w:rsidRPr="00833515">
        <w:rPr>
          <w:sz w:val="22"/>
          <w:szCs w:val="22"/>
        </w:rPr>
        <w:t>αποτελεσματική συμβολή στην </w:t>
      </w:r>
      <w:r w:rsidRPr="00833515">
        <w:rPr>
          <w:bCs/>
          <w:sz w:val="22"/>
          <w:szCs w:val="22"/>
        </w:rPr>
        <w:t>πράσινη και ψηφιακή μετάβαση, που αναμένεται ότι τελικά θα πρέπει να απορροφήσουν το 37% και το 20% αντίστοιχα, των πόρων του Ταμείου Ανάκαμψης και Σταθερότητας.</w:t>
      </w:r>
    </w:p>
    <w:p w:rsidR="00DD25BF" w:rsidRPr="00833515" w:rsidRDefault="00DD25BF" w:rsidP="00DD25BF">
      <w:pPr>
        <w:shd w:val="clear" w:color="auto" w:fill="FFFFFF"/>
        <w:jc w:val="both"/>
        <w:rPr>
          <w:sz w:val="22"/>
          <w:szCs w:val="22"/>
        </w:rPr>
      </w:pPr>
    </w:p>
    <w:p w:rsidR="00DD25BF" w:rsidRPr="00833515" w:rsidRDefault="00DD25BF" w:rsidP="00DD25BF">
      <w:pPr>
        <w:shd w:val="clear" w:color="auto" w:fill="FFFFFF"/>
        <w:jc w:val="both"/>
        <w:rPr>
          <w:sz w:val="22"/>
          <w:szCs w:val="22"/>
        </w:rPr>
      </w:pPr>
      <w:r w:rsidRPr="00833515">
        <w:rPr>
          <w:sz w:val="22"/>
          <w:szCs w:val="22"/>
        </w:rPr>
        <w:t>Η θετική αξιολόγηση των αιτήσεων πληρωμών θα εξαρτηθεί από την ικανοποιητική εκπλήρωση των σχετικών οροσήμων και στόχων.</w:t>
      </w:r>
    </w:p>
    <w:p w:rsidR="00DD25BF" w:rsidRPr="00833515" w:rsidRDefault="00DD25BF" w:rsidP="00DD25BF">
      <w:pPr>
        <w:shd w:val="clear" w:color="auto" w:fill="FFFFFF"/>
        <w:jc w:val="both"/>
        <w:rPr>
          <w:sz w:val="22"/>
          <w:szCs w:val="22"/>
        </w:rPr>
      </w:pPr>
    </w:p>
    <w:p w:rsidR="00DD25BF" w:rsidRPr="00833515" w:rsidRDefault="00DD25BF" w:rsidP="00DD25BF">
      <w:pPr>
        <w:shd w:val="clear" w:color="auto" w:fill="FFFFFF"/>
        <w:jc w:val="both"/>
        <w:rPr>
          <w:sz w:val="22"/>
          <w:szCs w:val="22"/>
        </w:rPr>
      </w:pPr>
      <w:r w:rsidRPr="00833515">
        <w:rPr>
          <w:sz w:val="22"/>
          <w:szCs w:val="22"/>
        </w:rPr>
        <w:t>Η αξιολόγηση των σχεδίων ανάκαμψης και σταθερότητας εγκρίνεται από το Συμβούλιο, με ειδική πλειοψηφία βάσει πρότασης της Ευρωπαϊκής Επιτροπής, μέσω σχετικής εκτελεστικής πράξης. Οι ν</w:t>
      </w:r>
      <w:r w:rsidRPr="00833515">
        <w:rPr>
          <w:sz w:val="22"/>
          <w:szCs w:val="22"/>
        </w:rPr>
        <w:t>ο</w:t>
      </w:r>
      <w:r w:rsidRPr="00833515">
        <w:rPr>
          <w:sz w:val="22"/>
          <w:szCs w:val="22"/>
        </w:rPr>
        <w:t>μικές δεσμεύσεις θα αναληφθούν έως την 31η Δεκεμβρίου 2023. Οι σχετικές πληρωμές θα γίνουν έως την 31η Δεκεμβρίου 2026.</w:t>
      </w:r>
    </w:p>
    <w:p w:rsidR="00DD25BF" w:rsidRPr="00833515" w:rsidRDefault="00DD25BF" w:rsidP="00DD25BF">
      <w:pPr>
        <w:jc w:val="both"/>
        <w:rPr>
          <w:sz w:val="22"/>
          <w:szCs w:val="22"/>
        </w:rPr>
      </w:pPr>
    </w:p>
    <w:p w:rsidR="00DD25BF" w:rsidRPr="00833515" w:rsidRDefault="00DD25BF" w:rsidP="00DD25BF">
      <w:pPr>
        <w:jc w:val="both"/>
        <w:rPr>
          <w:sz w:val="22"/>
          <w:szCs w:val="22"/>
        </w:rPr>
      </w:pPr>
      <w:r w:rsidRPr="00833515">
        <w:rPr>
          <w:sz w:val="22"/>
          <w:szCs w:val="22"/>
        </w:rPr>
        <w:t xml:space="preserve">Το </w:t>
      </w:r>
      <w:r w:rsidR="001406EA" w:rsidRPr="001406EA">
        <w:rPr>
          <w:sz w:val="22"/>
          <w:szCs w:val="22"/>
        </w:rPr>
        <w:t xml:space="preserve">προσχέδιο του Εθνικού Σχεδίου Ανάκαμψης κατατέθηκε στην Ευρωπαϊκή </w:t>
      </w:r>
      <w:r w:rsidR="00D06578">
        <w:rPr>
          <w:sz w:val="22"/>
          <w:szCs w:val="22"/>
        </w:rPr>
        <w:t>Επιτροπή στις 18 Νο-εμβρί</w:t>
      </w:r>
      <w:r w:rsidR="001406EA">
        <w:rPr>
          <w:sz w:val="22"/>
          <w:szCs w:val="22"/>
        </w:rPr>
        <w:t>ου 2020</w:t>
      </w:r>
      <w:r w:rsidR="001406EA" w:rsidRPr="001406EA">
        <w:rPr>
          <w:sz w:val="22"/>
          <w:szCs w:val="22"/>
        </w:rPr>
        <w:t xml:space="preserve"> και ξεκίνησε η σχετική διαβούλευση με την Επιτροπή. Στις 25 Νοεμβρίου θα ξεκινήσει και η σχετική δημόσια διαβούλευση επί των στρατηγικών κατευθύνσεων του Σχεδίου, ενώ το τελικό </w:t>
      </w:r>
      <w:r w:rsidRPr="00833515">
        <w:rPr>
          <w:sz w:val="22"/>
          <w:szCs w:val="22"/>
        </w:rPr>
        <w:t>Εθνικό Σχέδιο Ανάκαμψης και Σταθερότητας αναμένεται να υποβληθεί στα Ευρωπαϊκά Όργανα κατά το πρώτο τρίμηνο του 2021 και να εγκριθεί στο αμέσως επόμενο τρίμηνο, κατά τη διάρκεια του οπο</w:t>
      </w:r>
      <w:r w:rsidRPr="00833515">
        <w:rPr>
          <w:sz w:val="22"/>
          <w:szCs w:val="22"/>
        </w:rPr>
        <w:t>ί</w:t>
      </w:r>
      <w:r w:rsidRPr="00833515">
        <w:rPr>
          <w:sz w:val="22"/>
          <w:szCs w:val="22"/>
        </w:rPr>
        <w:t xml:space="preserve">ου αναμένεται να υπάρξει η πρώτη εκταμίευση (προκαταβολή) για τον Μηχανισμό Ανάκαμψης και </w:t>
      </w:r>
      <w:r w:rsidR="0087697F">
        <w:rPr>
          <w:sz w:val="22"/>
          <w:szCs w:val="22"/>
        </w:rPr>
        <w:t>Ανθεκτικότητας</w:t>
      </w:r>
      <w:r w:rsidRPr="00833515">
        <w:rPr>
          <w:sz w:val="22"/>
          <w:szCs w:val="22"/>
        </w:rPr>
        <w:t xml:space="preserve">, ενώ είναι πιθανό να υπάρξει εντός του 2021 και μια ακόμα εκταμίευση, αφού αυτές είναι εξαμηνιαίες. </w:t>
      </w:r>
    </w:p>
    <w:p w:rsidR="00DD25BF" w:rsidRPr="00833515" w:rsidRDefault="00DD25BF" w:rsidP="00DD25BF">
      <w:pPr>
        <w:jc w:val="both"/>
        <w:rPr>
          <w:sz w:val="22"/>
          <w:szCs w:val="22"/>
        </w:rPr>
      </w:pPr>
    </w:p>
    <w:p w:rsidR="00DD25BF" w:rsidRPr="00833515" w:rsidRDefault="00DD25BF" w:rsidP="00DD25BF">
      <w:pPr>
        <w:jc w:val="both"/>
        <w:rPr>
          <w:sz w:val="22"/>
          <w:szCs w:val="22"/>
        </w:rPr>
      </w:pPr>
      <w:r w:rsidRPr="00833515">
        <w:rPr>
          <w:sz w:val="22"/>
          <w:szCs w:val="22"/>
        </w:rPr>
        <w:t xml:space="preserve">Ο Μηχανισμός Ανάκαμψης και </w:t>
      </w:r>
      <w:r w:rsidR="002D25C6">
        <w:rPr>
          <w:sz w:val="22"/>
          <w:szCs w:val="22"/>
        </w:rPr>
        <w:t>Ανθ</w:t>
      </w:r>
      <w:r w:rsidRPr="00833515">
        <w:rPr>
          <w:sz w:val="22"/>
          <w:szCs w:val="22"/>
        </w:rPr>
        <w:t>ε</w:t>
      </w:r>
      <w:r w:rsidR="002D25C6">
        <w:rPr>
          <w:sz w:val="22"/>
          <w:szCs w:val="22"/>
        </w:rPr>
        <w:t>κτικ</w:t>
      </w:r>
      <w:r w:rsidRPr="00833515">
        <w:rPr>
          <w:sz w:val="22"/>
          <w:szCs w:val="22"/>
        </w:rPr>
        <w:t>ότητας αφορά επενδύσεις, προγράμματα (όπως προγράμμ</w:t>
      </w:r>
      <w:r w:rsidRPr="00833515">
        <w:rPr>
          <w:sz w:val="22"/>
          <w:szCs w:val="22"/>
        </w:rPr>
        <w:t>α</w:t>
      </w:r>
      <w:r w:rsidRPr="00833515">
        <w:rPr>
          <w:sz w:val="22"/>
          <w:szCs w:val="22"/>
        </w:rPr>
        <w:t>τα κατάρτισης ή ενεργειακής αναβάθμισης)</w:t>
      </w:r>
      <w:r w:rsidR="00DF19DF">
        <w:rPr>
          <w:sz w:val="22"/>
          <w:szCs w:val="22"/>
        </w:rPr>
        <w:t>,</w:t>
      </w:r>
      <w:r w:rsidRPr="00833515">
        <w:rPr>
          <w:sz w:val="22"/>
          <w:szCs w:val="22"/>
        </w:rPr>
        <w:t xml:space="preserve"> καθώς και μεταρρυθμίσεις που υλοποιήθηκαν από τον Φεβρουάριο του 2020 και εντεύθεν, συνεπώς η απορρόφηση των σχετικών πόρων μπορεί και πρόκε</w:t>
      </w:r>
      <w:r w:rsidRPr="00833515">
        <w:rPr>
          <w:sz w:val="22"/>
          <w:szCs w:val="22"/>
        </w:rPr>
        <w:t>ι</w:t>
      </w:r>
      <w:r w:rsidRPr="00833515">
        <w:rPr>
          <w:sz w:val="22"/>
          <w:szCs w:val="22"/>
        </w:rPr>
        <w:t>ται να ξεκινήσει πριν την επίσημη έγκρισή του. Η μακροοικονομική επίπτωση των παρεμβάσεων που θα γίνουν στο πλαίσιο αυτό εντός του 2021, λόγω των σημαντικών επενδυτικών δαπανών που περ</w:t>
      </w:r>
      <w:r w:rsidRPr="00833515">
        <w:rPr>
          <w:sz w:val="22"/>
          <w:szCs w:val="22"/>
        </w:rPr>
        <w:t>ι</w:t>
      </w:r>
      <w:r w:rsidRPr="00833515">
        <w:rPr>
          <w:sz w:val="22"/>
          <w:szCs w:val="22"/>
        </w:rPr>
        <w:t>λαμβάνει ο Μηχανισμός θα επηρεάσουν θετικά το ΑΕΠ και τα δημόσια έσοδα τόσο του 2021 όσο και του 2022</w:t>
      </w:r>
      <w:r w:rsidR="00267B46">
        <w:rPr>
          <w:sz w:val="22"/>
          <w:szCs w:val="22"/>
        </w:rPr>
        <w:t xml:space="preserve"> και των επόμενων ετών</w:t>
      </w:r>
      <w:r w:rsidRPr="00833515">
        <w:rPr>
          <w:sz w:val="22"/>
          <w:szCs w:val="22"/>
        </w:rPr>
        <w:t>.</w:t>
      </w:r>
    </w:p>
    <w:p w:rsidR="00DD25BF" w:rsidRPr="00833515" w:rsidRDefault="00DD25BF" w:rsidP="00DD25BF">
      <w:pPr>
        <w:jc w:val="both"/>
        <w:rPr>
          <w:sz w:val="22"/>
          <w:szCs w:val="22"/>
        </w:rPr>
      </w:pPr>
    </w:p>
    <w:p w:rsidR="00DD25BF" w:rsidRPr="00833515" w:rsidRDefault="00DD25BF" w:rsidP="00DD25BF">
      <w:pPr>
        <w:jc w:val="both"/>
        <w:rPr>
          <w:sz w:val="22"/>
          <w:szCs w:val="22"/>
        </w:rPr>
      </w:pPr>
      <w:r w:rsidRPr="00833515">
        <w:rPr>
          <w:sz w:val="22"/>
          <w:szCs w:val="22"/>
        </w:rPr>
        <w:t xml:space="preserve">Πέραν του Μηχανισμού Ανάκαμψης και </w:t>
      </w:r>
      <w:r w:rsidR="0087697F">
        <w:rPr>
          <w:sz w:val="22"/>
          <w:szCs w:val="22"/>
        </w:rPr>
        <w:t>Ανθεκτικότητας</w:t>
      </w:r>
      <w:r w:rsidRPr="00833515">
        <w:rPr>
          <w:sz w:val="22"/>
          <w:szCs w:val="22"/>
        </w:rPr>
        <w:t xml:space="preserve">, κατά το 2021 σημαντική θα είναι και η συμβολή του </w:t>
      </w:r>
      <w:r w:rsidRPr="00833515">
        <w:rPr>
          <w:sz w:val="22"/>
          <w:szCs w:val="22"/>
          <w:lang w:val="en-US"/>
        </w:rPr>
        <w:t>React</w:t>
      </w:r>
      <w:r w:rsidRPr="00833515">
        <w:rPr>
          <w:sz w:val="22"/>
          <w:szCs w:val="22"/>
        </w:rPr>
        <w:t>-</w:t>
      </w:r>
      <w:r w:rsidRPr="00833515">
        <w:rPr>
          <w:sz w:val="22"/>
          <w:szCs w:val="22"/>
          <w:lang w:val="en-US"/>
        </w:rPr>
        <w:t>EU</w:t>
      </w:r>
      <w:r w:rsidRPr="00833515">
        <w:rPr>
          <w:sz w:val="22"/>
          <w:szCs w:val="22"/>
        </w:rPr>
        <w:t xml:space="preserve">, το οποίο αφορά σε ένα πρόγραμμα γέφυρα, περιλαμβάνοντας δράσεις και δαπάνες για την αντιμετώπιση των συνεπειών της πανδημίας </w:t>
      </w:r>
      <w:r w:rsidRPr="00833515">
        <w:rPr>
          <w:sz w:val="22"/>
          <w:szCs w:val="22"/>
          <w:lang w:val="en-US"/>
        </w:rPr>
        <w:t>Covid</w:t>
      </w:r>
      <w:r w:rsidRPr="00833515">
        <w:rPr>
          <w:sz w:val="22"/>
          <w:szCs w:val="22"/>
        </w:rPr>
        <w:t>-19. Το πρόγραμμα αυτό επικ</w:t>
      </w:r>
      <w:r w:rsidRPr="00833515">
        <w:rPr>
          <w:sz w:val="22"/>
          <w:szCs w:val="22"/>
        </w:rPr>
        <w:t>ε</w:t>
      </w:r>
      <w:r w:rsidRPr="00833515">
        <w:rPr>
          <w:sz w:val="22"/>
          <w:szCs w:val="22"/>
        </w:rPr>
        <w:t xml:space="preserve">ντρώνεται στην ενίσχυση της ανθεκτικότητας των συστημάτων υγείας, τη διατήρηση και δημιουργία θέσεων εργασίας, την ενίσχυση των οικονομικά ευάλωτων πολιτών, την παροχή κεφαλαίου κίνησης και την ενίσχυση των επενδύσεων των μικρών και μεσαίων επιχειρήσεων. Σημαντικοί πόροι στους τομείς αυτούς θα διοχετευτούν εντός του 2021 μέσω του </w:t>
      </w:r>
      <w:r w:rsidRPr="00833515">
        <w:rPr>
          <w:sz w:val="22"/>
          <w:szCs w:val="22"/>
          <w:lang w:val="en-US"/>
        </w:rPr>
        <w:t>React</w:t>
      </w:r>
      <w:r w:rsidRPr="00833515">
        <w:rPr>
          <w:sz w:val="22"/>
          <w:szCs w:val="22"/>
        </w:rPr>
        <w:t>-</w:t>
      </w:r>
      <w:r w:rsidRPr="00833515">
        <w:rPr>
          <w:sz w:val="22"/>
          <w:szCs w:val="22"/>
          <w:lang w:val="en-US"/>
        </w:rPr>
        <w:t>EU</w:t>
      </w:r>
      <w:r w:rsidRPr="00833515">
        <w:rPr>
          <w:sz w:val="22"/>
          <w:szCs w:val="22"/>
        </w:rPr>
        <w:t>.</w:t>
      </w:r>
    </w:p>
    <w:p w:rsidR="00DD25BF" w:rsidRPr="00833515" w:rsidRDefault="00DD25BF" w:rsidP="00DD25BF">
      <w:pPr>
        <w:jc w:val="both"/>
        <w:rPr>
          <w:sz w:val="22"/>
          <w:szCs w:val="22"/>
        </w:rPr>
      </w:pPr>
    </w:p>
    <w:p w:rsidR="00DD25BF" w:rsidRPr="00833515" w:rsidRDefault="00DD25BF" w:rsidP="00DD25BF">
      <w:pPr>
        <w:jc w:val="both"/>
        <w:rPr>
          <w:sz w:val="22"/>
          <w:szCs w:val="22"/>
        </w:rPr>
      </w:pPr>
      <w:r w:rsidRPr="00833515">
        <w:rPr>
          <w:sz w:val="22"/>
          <w:szCs w:val="22"/>
        </w:rPr>
        <w:t xml:space="preserve">Αθροιστικά οι πόροι που προβλέπονται το 2021 από όλα τα εργαλεία του μηχανισμού του </w:t>
      </w:r>
      <w:r w:rsidRPr="00833515">
        <w:rPr>
          <w:sz w:val="22"/>
          <w:szCs w:val="22"/>
          <w:lang w:val="en-US"/>
        </w:rPr>
        <w:t>Next</w:t>
      </w:r>
      <w:r w:rsidRPr="00833515">
        <w:rPr>
          <w:sz w:val="22"/>
          <w:szCs w:val="22"/>
        </w:rPr>
        <w:t xml:space="preserve"> </w:t>
      </w:r>
      <w:r w:rsidRPr="00833515">
        <w:rPr>
          <w:sz w:val="22"/>
          <w:szCs w:val="22"/>
          <w:lang w:val="en-US"/>
        </w:rPr>
        <w:t>Ge</w:t>
      </w:r>
      <w:r w:rsidRPr="00833515">
        <w:rPr>
          <w:sz w:val="22"/>
          <w:szCs w:val="22"/>
          <w:lang w:val="en-US"/>
        </w:rPr>
        <w:t>n</w:t>
      </w:r>
      <w:r w:rsidRPr="00833515">
        <w:rPr>
          <w:sz w:val="22"/>
          <w:szCs w:val="22"/>
          <w:lang w:val="en-US"/>
        </w:rPr>
        <w:t>eration</w:t>
      </w:r>
      <w:r w:rsidRPr="00833515">
        <w:rPr>
          <w:sz w:val="22"/>
          <w:szCs w:val="22"/>
        </w:rPr>
        <w:t xml:space="preserve"> </w:t>
      </w:r>
      <w:r w:rsidRPr="00833515">
        <w:rPr>
          <w:sz w:val="22"/>
          <w:szCs w:val="22"/>
          <w:lang w:val="en-US"/>
        </w:rPr>
        <w:t>EU</w:t>
      </w:r>
      <w:r w:rsidRPr="00833515">
        <w:rPr>
          <w:sz w:val="22"/>
          <w:szCs w:val="22"/>
        </w:rPr>
        <w:t>, περιλαμβανομένων και των δανείων αναμένεται να ξεπεράσουν τα 5,5 δισ. ευρώ με αντ</w:t>
      </w:r>
      <w:r w:rsidRPr="00833515">
        <w:rPr>
          <w:sz w:val="22"/>
          <w:szCs w:val="22"/>
        </w:rPr>
        <w:t>ί</w:t>
      </w:r>
      <w:r w:rsidRPr="00833515">
        <w:rPr>
          <w:sz w:val="22"/>
          <w:szCs w:val="22"/>
        </w:rPr>
        <w:t xml:space="preserve">στοιχο ποσοστό απορρόφησης, με την εξαίρεση μόνο κάποιων δαπανών που πραγματοποιήθηκαν το 2020 και θα πληρωθούν, εφόσον περιληφθούν στα σχετικά εργαλεία, το 2021. </w:t>
      </w:r>
    </w:p>
    <w:p w:rsidR="00DD25BF" w:rsidRPr="00833515" w:rsidRDefault="00DD25BF" w:rsidP="00DD25BF">
      <w:pPr>
        <w:rPr>
          <w:sz w:val="22"/>
          <w:szCs w:val="22"/>
        </w:rPr>
      </w:pPr>
    </w:p>
    <w:p w:rsidR="008939E4" w:rsidRDefault="008939E4">
      <w:pPr>
        <w:rPr>
          <w:bCs/>
          <w:sz w:val="22"/>
          <w:szCs w:val="22"/>
        </w:rPr>
      </w:pPr>
      <w:r>
        <w:rPr>
          <w:bCs/>
          <w:sz w:val="22"/>
          <w:szCs w:val="22"/>
        </w:rPr>
        <w:br w:type="page"/>
      </w:r>
    </w:p>
    <w:p w:rsidR="008939E4" w:rsidRPr="008939E4" w:rsidRDefault="008939E4" w:rsidP="008939E4">
      <w:pPr>
        <w:shd w:val="clear" w:color="auto" w:fill="595959"/>
        <w:jc w:val="both"/>
        <w:rPr>
          <w:rFonts w:ascii="Arial Narrow" w:hAnsi="Arial Narrow"/>
          <w:b/>
          <w:color w:val="FFFFFF"/>
          <w:sz w:val="26"/>
          <w:szCs w:val="22"/>
        </w:rPr>
      </w:pPr>
      <w:r w:rsidRPr="008939E4">
        <w:rPr>
          <w:rFonts w:ascii="Arial Narrow" w:hAnsi="Arial Narrow"/>
          <w:b/>
          <w:color w:val="FFFFFF"/>
          <w:sz w:val="26"/>
          <w:szCs w:val="22"/>
        </w:rPr>
        <w:lastRenderedPageBreak/>
        <w:t>10</w:t>
      </w:r>
      <w:r w:rsidRPr="00E741C4">
        <w:rPr>
          <w:rFonts w:ascii="Arial Narrow" w:hAnsi="Arial Narrow"/>
          <w:b/>
          <w:color w:val="FFFFFF"/>
          <w:sz w:val="26"/>
          <w:szCs w:val="22"/>
        </w:rPr>
        <w:t>.</w:t>
      </w:r>
      <w:r w:rsidRPr="00E741C4">
        <w:rPr>
          <w:rFonts w:ascii="Arial Narrow" w:hAnsi="Arial Narrow"/>
          <w:b/>
          <w:color w:val="FFFFFF"/>
          <w:sz w:val="26"/>
          <w:szCs w:val="22"/>
        </w:rPr>
        <w:tab/>
      </w:r>
      <w:r>
        <w:rPr>
          <w:rFonts w:ascii="Arial Narrow" w:hAnsi="Arial Narrow"/>
          <w:b/>
          <w:color w:val="FFFFFF"/>
          <w:sz w:val="26"/>
          <w:szCs w:val="22"/>
        </w:rPr>
        <w:t>Κύριες πηγές κινδύνου για τις δημοσιονομικές προβλέψεις</w:t>
      </w:r>
    </w:p>
    <w:p w:rsidR="00DD25BF" w:rsidRDefault="00DD25BF" w:rsidP="00871F74">
      <w:pPr>
        <w:tabs>
          <w:tab w:val="left" w:pos="284"/>
        </w:tabs>
        <w:contextualSpacing/>
        <w:jc w:val="both"/>
        <w:rPr>
          <w:bCs/>
          <w:sz w:val="22"/>
          <w:szCs w:val="22"/>
        </w:rPr>
      </w:pPr>
    </w:p>
    <w:p w:rsidR="008939E4" w:rsidRPr="008939E4" w:rsidRDefault="008939E4" w:rsidP="008939E4">
      <w:pPr>
        <w:jc w:val="both"/>
        <w:rPr>
          <w:sz w:val="22"/>
        </w:rPr>
      </w:pPr>
      <w:r w:rsidRPr="008939E4">
        <w:rPr>
          <w:sz w:val="22"/>
        </w:rPr>
        <w:t xml:space="preserve">Πέρα από την αβεβαιότητα που επισημάνθηκε και παραπάνω ότι ενέχουν οι μακροοικονομικές και δημοσιονομικές προβλέψεις λόγω της πανδημίας και του τρόπου εξέλιξής της, υπάρχουν πάντα και άλλοι εξωγενείς κίνδυνοι (όπως γεωπολιτικές και πολιτικές εντάσεις, μεταναστευτικές ροές κλπ) που μπορεί να επηρεάσουν τα οικονομικά μεγέθη. </w:t>
      </w:r>
    </w:p>
    <w:p w:rsidR="008939E4" w:rsidRDefault="008939E4" w:rsidP="00871F74">
      <w:pPr>
        <w:tabs>
          <w:tab w:val="left" w:pos="284"/>
        </w:tabs>
        <w:contextualSpacing/>
        <w:jc w:val="both"/>
        <w:rPr>
          <w:bCs/>
          <w:sz w:val="22"/>
          <w:szCs w:val="22"/>
        </w:rPr>
      </w:pPr>
    </w:p>
    <w:p w:rsidR="00882916" w:rsidRPr="008939E4" w:rsidRDefault="00882916" w:rsidP="00871F74">
      <w:pPr>
        <w:tabs>
          <w:tab w:val="left" w:pos="284"/>
        </w:tabs>
        <w:contextualSpacing/>
        <w:jc w:val="both"/>
        <w:rPr>
          <w:bCs/>
          <w:sz w:val="22"/>
          <w:szCs w:val="22"/>
        </w:rPr>
      </w:pPr>
    </w:p>
    <w:p w:rsidR="008939E4" w:rsidRPr="00833515" w:rsidRDefault="00721A21" w:rsidP="008939E4">
      <w:pPr>
        <w:jc w:val="both"/>
        <w:rPr>
          <w:rFonts w:ascii="Arial Narrow" w:hAnsi="Arial Narrow"/>
          <w:b/>
          <w:bCs/>
          <w:color w:val="000080"/>
          <w:sz w:val="22"/>
          <w:szCs w:val="22"/>
        </w:rPr>
      </w:pPr>
      <w:r>
        <w:rPr>
          <w:rFonts w:ascii="Arial Narrow" w:hAnsi="Arial Narrow"/>
          <w:b/>
          <w:bCs/>
          <w:color w:val="000080"/>
          <w:sz w:val="22"/>
          <w:szCs w:val="22"/>
        </w:rPr>
        <w:t xml:space="preserve">Ι.   </w:t>
      </w:r>
      <w:r w:rsidR="008939E4">
        <w:rPr>
          <w:rFonts w:ascii="Arial Narrow" w:hAnsi="Arial Narrow"/>
          <w:b/>
          <w:bCs/>
          <w:color w:val="000080"/>
          <w:sz w:val="22"/>
          <w:szCs w:val="22"/>
        </w:rPr>
        <w:t>Ανάλυση ευαισθησίας</w:t>
      </w:r>
    </w:p>
    <w:p w:rsidR="008939E4" w:rsidRDefault="008939E4" w:rsidP="00871F74">
      <w:pPr>
        <w:tabs>
          <w:tab w:val="left" w:pos="284"/>
        </w:tabs>
        <w:contextualSpacing/>
        <w:jc w:val="both"/>
        <w:rPr>
          <w:bCs/>
          <w:sz w:val="22"/>
          <w:szCs w:val="22"/>
        </w:rPr>
      </w:pPr>
    </w:p>
    <w:p w:rsidR="00721A21" w:rsidRPr="00721A21" w:rsidRDefault="00721A21" w:rsidP="00721A21">
      <w:pPr>
        <w:tabs>
          <w:tab w:val="left" w:pos="284"/>
        </w:tabs>
        <w:contextualSpacing/>
        <w:jc w:val="both"/>
        <w:rPr>
          <w:bCs/>
          <w:sz w:val="22"/>
          <w:szCs w:val="22"/>
        </w:rPr>
      </w:pPr>
      <w:r w:rsidRPr="00721A21">
        <w:rPr>
          <w:bCs/>
          <w:sz w:val="22"/>
          <w:szCs w:val="22"/>
        </w:rPr>
        <w:t>Υπό τις παρούσες συνθήκες, οι σημαντικότεροι κίνδυνοι σχετίζονται με την εξέλιξη της πανδημίας και συγκεκριμένα με την έκταση και τη χρονική διάρκεια των περιοριστικών μέτρων, καθώς και με τη χρονική στιγμή κατά την οποία θα καταστεί εφικτός ο εμβολιασμός του πληθυσμού. Σε περίπτωση που η εξάπλωση της πανδημίας απαιτήσει ισχυρότερα ή μεγαλύτερης διάρκειας περιοριστικά μέτρα, θα υπάρξει αρνητικός αντίκτυπος στα μακροοικονομικά και δημοσιονομικά μεγέθη. Το ίδιο θα συμβεί και εάν υπάρξουν καθυστερήσεις στη διαδικασία ολοκλήρωσης των κλινικών δοκιμών και έγκρισης του εμβολίου ή στη διαδικασία εμβολιασμού. Αντιθέτως, σε περίπτωση ταχείας υποχώρησης του δε</w:t>
      </w:r>
      <w:r w:rsidRPr="00721A21">
        <w:rPr>
          <w:bCs/>
          <w:sz w:val="22"/>
          <w:szCs w:val="22"/>
        </w:rPr>
        <w:t>ύ</w:t>
      </w:r>
      <w:r w:rsidRPr="00721A21">
        <w:rPr>
          <w:bCs/>
          <w:sz w:val="22"/>
          <w:szCs w:val="22"/>
        </w:rPr>
        <w:t>τερου κύματος της πανδημίας και ευνοϊκών εξελίξεων ως προς την παραγωγή και διάθεση του εμβ</w:t>
      </w:r>
      <w:r w:rsidRPr="00721A21">
        <w:rPr>
          <w:bCs/>
          <w:sz w:val="22"/>
          <w:szCs w:val="22"/>
        </w:rPr>
        <w:t>ο</w:t>
      </w:r>
      <w:r w:rsidRPr="00721A21">
        <w:rPr>
          <w:bCs/>
          <w:sz w:val="22"/>
          <w:szCs w:val="22"/>
        </w:rPr>
        <w:t>λίου, ο αντίκτυπος θα είναι θετικός και η ταχύτερη οικονομική ανάκαμψη θα επιδράσει θετικά στα δημοσιονομικά μεγέθη.</w:t>
      </w:r>
    </w:p>
    <w:p w:rsidR="00721A21" w:rsidRDefault="00721A21" w:rsidP="00721A21">
      <w:pPr>
        <w:tabs>
          <w:tab w:val="left" w:pos="284"/>
        </w:tabs>
        <w:contextualSpacing/>
        <w:jc w:val="both"/>
        <w:rPr>
          <w:bCs/>
          <w:sz w:val="22"/>
          <w:szCs w:val="22"/>
        </w:rPr>
      </w:pPr>
    </w:p>
    <w:p w:rsidR="00721A21" w:rsidRPr="00721A21" w:rsidRDefault="00721A21" w:rsidP="00721A21">
      <w:pPr>
        <w:tabs>
          <w:tab w:val="left" w:pos="284"/>
        </w:tabs>
        <w:contextualSpacing/>
        <w:jc w:val="both"/>
        <w:rPr>
          <w:bCs/>
          <w:sz w:val="22"/>
          <w:szCs w:val="22"/>
        </w:rPr>
      </w:pPr>
      <w:r w:rsidRPr="00721A21">
        <w:rPr>
          <w:bCs/>
          <w:sz w:val="22"/>
          <w:szCs w:val="22"/>
        </w:rPr>
        <w:t>Η παρούσα ανάλυση ευαισθησίας αποσκοπεί στο να εκτιμήσει την πορεία των κύριων δημοσιονομ</w:t>
      </w:r>
      <w:r w:rsidRPr="00721A21">
        <w:rPr>
          <w:bCs/>
          <w:sz w:val="22"/>
          <w:szCs w:val="22"/>
        </w:rPr>
        <w:t>ι</w:t>
      </w:r>
      <w:r w:rsidRPr="00721A21">
        <w:rPr>
          <w:bCs/>
          <w:sz w:val="22"/>
          <w:szCs w:val="22"/>
        </w:rPr>
        <w:t>κών μεταβλητών κάτω από διαφορετικές υποθέσεις περί του ρυθμού μεγέθυνσης της ελληνικής οικ</w:t>
      </w:r>
      <w:r w:rsidRPr="00721A21">
        <w:rPr>
          <w:bCs/>
          <w:sz w:val="22"/>
          <w:szCs w:val="22"/>
        </w:rPr>
        <w:t>ο</w:t>
      </w:r>
      <w:r w:rsidRPr="00721A21">
        <w:rPr>
          <w:bCs/>
          <w:sz w:val="22"/>
          <w:szCs w:val="22"/>
        </w:rPr>
        <w:t>νομίας κατά το 2021. Συγκεκριμένα, στο πλαίσιο της ανάλυσης έχει εκτιμηθεί η επίδραση στο εκτ</w:t>
      </w:r>
      <w:r w:rsidRPr="00721A21">
        <w:rPr>
          <w:bCs/>
          <w:sz w:val="22"/>
          <w:szCs w:val="22"/>
        </w:rPr>
        <w:t>ι</w:t>
      </w:r>
      <w:r w:rsidRPr="00721A21">
        <w:rPr>
          <w:bCs/>
          <w:sz w:val="22"/>
          <w:szCs w:val="22"/>
        </w:rPr>
        <w:t>μώμενο δημοσιονομικό αποτέλεσμα για το 2021 από μία μείωση του ρυθμού ονομαστικής μεγέθυ</w:t>
      </w:r>
      <w:r w:rsidRPr="00721A21">
        <w:rPr>
          <w:bCs/>
          <w:sz w:val="22"/>
          <w:szCs w:val="22"/>
        </w:rPr>
        <w:t>ν</w:t>
      </w:r>
      <w:r w:rsidRPr="00721A21">
        <w:rPr>
          <w:bCs/>
          <w:sz w:val="22"/>
          <w:szCs w:val="22"/>
        </w:rPr>
        <w:t>σης του ΑΕΠ κατά 1,5 ποσοστιαίες μονάδες σε σχέση με το βασικό μακροοικονομικό σενάριο του Προϋπολογισμού. Η επίπτωση αυτή έχει εκτιμηθεί μέσω των ελαστικοτήτων που χρησιμοποιούνται στο πλαίσιο της Ευρωπαϊκής δημοσιονομικής εποπτείας και οι οποίες περιγράφονται στην έκδοση της Ευρωπαϊκής Επιτροπής “</w:t>
      </w:r>
      <w:r w:rsidRPr="00721A21">
        <w:rPr>
          <w:bCs/>
          <w:sz w:val="22"/>
          <w:szCs w:val="22"/>
          <w:lang w:val="en-US"/>
        </w:rPr>
        <w:t>Report</w:t>
      </w:r>
      <w:r w:rsidRPr="00721A21">
        <w:rPr>
          <w:bCs/>
          <w:sz w:val="22"/>
          <w:szCs w:val="22"/>
        </w:rPr>
        <w:t xml:space="preserve"> </w:t>
      </w:r>
      <w:r w:rsidRPr="00721A21">
        <w:rPr>
          <w:bCs/>
          <w:sz w:val="22"/>
          <w:szCs w:val="22"/>
          <w:lang w:val="en-US"/>
        </w:rPr>
        <w:t>on</w:t>
      </w:r>
      <w:r w:rsidRPr="00721A21">
        <w:rPr>
          <w:bCs/>
          <w:sz w:val="22"/>
          <w:szCs w:val="22"/>
        </w:rPr>
        <w:t xml:space="preserve"> </w:t>
      </w:r>
      <w:r w:rsidRPr="00721A21">
        <w:rPr>
          <w:bCs/>
          <w:sz w:val="22"/>
          <w:szCs w:val="22"/>
          <w:lang w:val="en-US"/>
        </w:rPr>
        <w:t>Public</w:t>
      </w:r>
      <w:r w:rsidRPr="00721A21">
        <w:rPr>
          <w:bCs/>
          <w:sz w:val="22"/>
          <w:szCs w:val="22"/>
        </w:rPr>
        <w:t xml:space="preserve"> </w:t>
      </w:r>
      <w:r w:rsidRPr="00721A21">
        <w:rPr>
          <w:bCs/>
          <w:sz w:val="22"/>
          <w:szCs w:val="22"/>
          <w:lang w:val="en-US"/>
        </w:rPr>
        <w:t>Finances</w:t>
      </w:r>
      <w:r w:rsidRPr="00721A21">
        <w:rPr>
          <w:bCs/>
          <w:sz w:val="22"/>
          <w:szCs w:val="22"/>
        </w:rPr>
        <w:t xml:space="preserve"> </w:t>
      </w:r>
      <w:r w:rsidRPr="00721A21">
        <w:rPr>
          <w:bCs/>
          <w:sz w:val="22"/>
          <w:szCs w:val="22"/>
          <w:lang w:val="en-US"/>
        </w:rPr>
        <w:t>in</w:t>
      </w:r>
      <w:r w:rsidRPr="00721A21">
        <w:rPr>
          <w:bCs/>
          <w:sz w:val="22"/>
          <w:szCs w:val="22"/>
        </w:rPr>
        <w:t xml:space="preserve"> </w:t>
      </w:r>
      <w:r w:rsidRPr="00721A21">
        <w:rPr>
          <w:bCs/>
          <w:sz w:val="22"/>
          <w:szCs w:val="22"/>
          <w:lang w:val="en-US"/>
        </w:rPr>
        <w:t>EMU</w:t>
      </w:r>
      <w:r w:rsidRPr="00721A21">
        <w:rPr>
          <w:bCs/>
          <w:sz w:val="22"/>
          <w:szCs w:val="22"/>
        </w:rPr>
        <w:t xml:space="preserve"> 2018”. </w:t>
      </w:r>
    </w:p>
    <w:p w:rsidR="00721A21" w:rsidRDefault="00721A21" w:rsidP="00721A21">
      <w:pPr>
        <w:tabs>
          <w:tab w:val="left" w:pos="284"/>
        </w:tabs>
        <w:contextualSpacing/>
        <w:jc w:val="both"/>
        <w:rPr>
          <w:bCs/>
          <w:sz w:val="22"/>
          <w:szCs w:val="22"/>
        </w:rPr>
      </w:pPr>
    </w:p>
    <w:p w:rsidR="00721A21" w:rsidRPr="00721A21" w:rsidRDefault="00721A21" w:rsidP="00721A21">
      <w:pPr>
        <w:tabs>
          <w:tab w:val="left" w:pos="284"/>
        </w:tabs>
        <w:contextualSpacing/>
        <w:jc w:val="both"/>
        <w:rPr>
          <w:bCs/>
          <w:sz w:val="22"/>
          <w:szCs w:val="22"/>
        </w:rPr>
      </w:pPr>
      <w:r w:rsidRPr="00721A21">
        <w:rPr>
          <w:bCs/>
          <w:sz w:val="22"/>
          <w:szCs w:val="22"/>
        </w:rPr>
        <w:t>Η μείωση του ρυθμού ονομαστικής μεγέθυνσης κατά 1,5 ποσοστιαία μονάδα σε σχέση με το βασικό μακροοικονομικό σενάριο συνεπάγεται ότι το ΑΕΠ του 2021 (σε τρέχουσες τιμές) θα διαμορφωθεί σε 169,5 δισ. ευρώ από 162,8 δισ. ευρώ το 2020, έναντι ονομαστικού ΑΕΠ ύψους 171,9 δισ. ευρώ το 2021 σύμφωνα με το βασικό σενάριο. Σύμφωνα με τα αποτελέσματα της ανάλυσης ευαισθησίας, μία τέτοια μεταβολή του επιπέδου του ονομαστικού ΑΕΠ θα οδηγούσε σε επιδείνωση του δημοσιονομ</w:t>
      </w:r>
      <w:r w:rsidRPr="00721A21">
        <w:rPr>
          <w:bCs/>
          <w:sz w:val="22"/>
          <w:szCs w:val="22"/>
        </w:rPr>
        <w:t>ι</w:t>
      </w:r>
      <w:r w:rsidRPr="00721A21">
        <w:rPr>
          <w:bCs/>
          <w:sz w:val="22"/>
          <w:szCs w:val="22"/>
        </w:rPr>
        <w:t>κού αποτελέσματος κατά 0,74% του ΑΕΠ σε σχέση με το σενάριο του Προϋπολογισμού 2021.</w:t>
      </w:r>
    </w:p>
    <w:p w:rsidR="00721A21" w:rsidRDefault="00721A21" w:rsidP="00721A21">
      <w:pPr>
        <w:tabs>
          <w:tab w:val="left" w:pos="284"/>
        </w:tabs>
        <w:contextualSpacing/>
        <w:jc w:val="both"/>
        <w:rPr>
          <w:bCs/>
          <w:sz w:val="22"/>
          <w:szCs w:val="22"/>
        </w:rPr>
      </w:pPr>
    </w:p>
    <w:p w:rsidR="00721A21" w:rsidRPr="00721A21" w:rsidRDefault="00721A21" w:rsidP="00721A21">
      <w:pPr>
        <w:tabs>
          <w:tab w:val="left" w:pos="284"/>
        </w:tabs>
        <w:contextualSpacing/>
        <w:jc w:val="both"/>
        <w:rPr>
          <w:bCs/>
          <w:sz w:val="22"/>
          <w:szCs w:val="22"/>
        </w:rPr>
      </w:pPr>
      <w:r w:rsidRPr="00721A21">
        <w:rPr>
          <w:bCs/>
          <w:sz w:val="22"/>
          <w:szCs w:val="22"/>
        </w:rPr>
        <w:t xml:space="preserve">Συγκεκριμένα, στην περίπτωση αυτή το ισοζύγιο της Γενικής Κυβέρνησης κατά </w:t>
      </w:r>
      <w:r w:rsidRPr="00721A21">
        <w:rPr>
          <w:bCs/>
          <w:sz w:val="22"/>
          <w:szCs w:val="22"/>
          <w:lang w:val="en-US"/>
        </w:rPr>
        <w:t>ESA</w:t>
      </w:r>
      <w:r w:rsidRPr="00721A21">
        <w:rPr>
          <w:bCs/>
          <w:sz w:val="22"/>
          <w:szCs w:val="22"/>
        </w:rPr>
        <w:t xml:space="preserve"> θα διαμορφων</w:t>
      </w:r>
      <w:r w:rsidRPr="00721A21">
        <w:rPr>
          <w:bCs/>
          <w:sz w:val="22"/>
          <w:szCs w:val="22"/>
        </w:rPr>
        <w:t>ό</w:t>
      </w:r>
      <w:r w:rsidRPr="00721A21">
        <w:rPr>
          <w:bCs/>
          <w:sz w:val="22"/>
          <w:szCs w:val="22"/>
        </w:rPr>
        <w:t xml:space="preserve">ταν σε -7,4% του ΑΕΠ έναντι -6,7% του ΑΕΠ, ενώ το πρωτογενές δημοσιονομικό αποτέλεσμα κατά </w:t>
      </w:r>
      <w:r w:rsidRPr="00721A21">
        <w:rPr>
          <w:bCs/>
          <w:sz w:val="22"/>
          <w:szCs w:val="22"/>
          <w:lang w:val="en-US"/>
        </w:rPr>
        <w:t>ESA</w:t>
      </w:r>
      <w:r w:rsidRPr="00721A21">
        <w:rPr>
          <w:bCs/>
          <w:sz w:val="22"/>
          <w:szCs w:val="22"/>
        </w:rPr>
        <w:t xml:space="preserve"> θα διαμορφωνόταν σε -4,5% του ΑΕΠ έναντι -3,8% του ΑΕΠ. Σε απόλυτους όρους, ο μειωμένος αυτός ονομαστικός ρυθμός μεγέθυνσης θα οδηγούσε σε επιπλέον δημοσιονομική επιβάρυνση της τ</w:t>
      </w:r>
      <w:r w:rsidRPr="00721A21">
        <w:rPr>
          <w:bCs/>
          <w:sz w:val="22"/>
          <w:szCs w:val="22"/>
        </w:rPr>
        <w:t>ά</w:t>
      </w:r>
      <w:r w:rsidRPr="00721A21">
        <w:rPr>
          <w:bCs/>
          <w:sz w:val="22"/>
          <w:szCs w:val="22"/>
        </w:rPr>
        <w:t xml:space="preserve">ξης του 1,1 δισ. ευρώ.     </w:t>
      </w:r>
    </w:p>
    <w:p w:rsidR="00721A21" w:rsidRDefault="00721A21" w:rsidP="00721A21">
      <w:pPr>
        <w:tabs>
          <w:tab w:val="left" w:pos="284"/>
        </w:tabs>
        <w:contextualSpacing/>
        <w:jc w:val="both"/>
        <w:rPr>
          <w:bCs/>
          <w:sz w:val="22"/>
          <w:szCs w:val="22"/>
        </w:rPr>
      </w:pPr>
    </w:p>
    <w:p w:rsidR="00721A21" w:rsidRPr="00721A21" w:rsidRDefault="00721A21" w:rsidP="00721A21">
      <w:pPr>
        <w:tabs>
          <w:tab w:val="left" w:pos="284"/>
        </w:tabs>
        <w:contextualSpacing/>
        <w:jc w:val="both"/>
        <w:rPr>
          <w:bCs/>
          <w:sz w:val="22"/>
          <w:szCs w:val="22"/>
        </w:rPr>
      </w:pPr>
      <w:r w:rsidRPr="00721A21">
        <w:rPr>
          <w:bCs/>
          <w:sz w:val="22"/>
          <w:szCs w:val="22"/>
        </w:rPr>
        <w:t>Αναφορικά με το δημόσιο χρέος και πώς θα επηρεαζόταν με μια υπόθεση αύξησης των επιτοκίων κ</w:t>
      </w:r>
      <w:r w:rsidRPr="00721A21">
        <w:rPr>
          <w:bCs/>
          <w:sz w:val="22"/>
          <w:szCs w:val="22"/>
        </w:rPr>
        <w:t>α</w:t>
      </w:r>
      <w:r w:rsidRPr="00721A21">
        <w:rPr>
          <w:bCs/>
          <w:sz w:val="22"/>
          <w:szCs w:val="22"/>
        </w:rPr>
        <w:t>τά 1%, επισημαίνεται ότι στις 30/9/2020 το χρέος σταθερού επιτοκίου αντιπροσώπευε το 96,6% του συνολικού χρέους, έναντι  3,4% του χρέους με κυμαινόμενο επιτόκιο. Η σχέση αυτή καταδεικνύει τη μικρή επίδραση που αναμένεται να προκαλέσει μια μεταβολή των επιτοκίων στα μεγέθη του χρέους.</w:t>
      </w:r>
    </w:p>
    <w:p w:rsidR="00721A21" w:rsidRDefault="00721A21" w:rsidP="00721A21">
      <w:pPr>
        <w:tabs>
          <w:tab w:val="left" w:pos="284"/>
        </w:tabs>
        <w:contextualSpacing/>
        <w:jc w:val="both"/>
        <w:rPr>
          <w:bCs/>
          <w:sz w:val="22"/>
          <w:szCs w:val="22"/>
        </w:rPr>
      </w:pPr>
    </w:p>
    <w:p w:rsidR="00721A21" w:rsidRPr="00721A21" w:rsidRDefault="00721A21" w:rsidP="00721A21">
      <w:pPr>
        <w:tabs>
          <w:tab w:val="left" w:pos="284"/>
        </w:tabs>
        <w:contextualSpacing/>
        <w:jc w:val="both"/>
        <w:rPr>
          <w:bCs/>
          <w:sz w:val="22"/>
          <w:szCs w:val="22"/>
        </w:rPr>
      </w:pPr>
      <w:r w:rsidRPr="00721A21">
        <w:rPr>
          <w:bCs/>
          <w:sz w:val="22"/>
          <w:szCs w:val="22"/>
        </w:rPr>
        <w:t>Έτσι, σε μία υποτιθέμενη αύξηση των επιτοκίων κατά 1%, σε όλο το φάσμα της καμπύλης αποδόσ</w:t>
      </w:r>
      <w:r w:rsidRPr="00721A21">
        <w:rPr>
          <w:bCs/>
          <w:sz w:val="22"/>
          <w:szCs w:val="22"/>
        </w:rPr>
        <w:t>ε</w:t>
      </w:r>
      <w:r w:rsidRPr="00721A21">
        <w:rPr>
          <w:bCs/>
          <w:sz w:val="22"/>
          <w:szCs w:val="22"/>
        </w:rPr>
        <w:t>ων, η επίδραση στο χρέος και στους τόκους για το 2020 είναι μηδενική, ενώ για το 2021 υπολογίζεται σε επίπεδα λίγο κάτω του 0,1% του ΑΕΠ.</w:t>
      </w:r>
    </w:p>
    <w:p w:rsidR="008939E4" w:rsidRDefault="008939E4" w:rsidP="00871F74">
      <w:pPr>
        <w:tabs>
          <w:tab w:val="left" w:pos="284"/>
        </w:tabs>
        <w:contextualSpacing/>
        <w:jc w:val="both"/>
        <w:rPr>
          <w:bCs/>
          <w:sz w:val="22"/>
          <w:szCs w:val="22"/>
        </w:rPr>
      </w:pPr>
    </w:p>
    <w:p w:rsidR="00882916" w:rsidRDefault="00882916" w:rsidP="00871F74">
      <w:pPr>
        <w:tabs>
          <w:tab w:val="left" w:pos="284"/>
        </w:tabs>
        <w:contextualSpacing/>
        <w:jc w:val="both"/>
        <w:rPr>
          <w:bCs/>
          <w:sz w:val="22"/>
          <w:szCs w:val="22"/>
        </w:rPr>
      </w:pPr>
    </w:p>
    <w:p w:rsidR="00882916" w:rsidRDefault="00882916" w:rsidP="00871F74">
      <w:pPr>
        <w:tabs>
          <w:tab w:val="left" w:pos="284"/>
        </w:tabs>
        <w:contextualSpacing/>
        <w:jc w:val="both"/>
        <w:rPr>
          <w:bCs/>
          <w:sz w:val="22"/>
          <w:szCs w:val="22"/>
        </w:rPr>
      </w:pPr>
    </w:p>
    <w:p w:rsidR="00882916" w:rsidRDefault="00882916" w:rsidP="00871F74">
      <w:pPr>
        <w:tabs>
          <w:tab w:val="left" w:pos="284"/>
        </w:tabs>
        <w:contextualSpacing/>
        <w:jc w:val="both"/>
        <w:rPr>
          <w:bCs/>
          <w:sz w:val="22"/>
          <w:szCs w:val="22"/>
        </w:rPr>
      </w:pPr>
    </w:p>
    <w:p w:rsidR="0006526E" w:rsidRPr="00833515" w:rsidRDefault="0006526E" w:rsidP="0006526E">
      <w:pPr>
        <w:jc w:val="both"/>
        <w:rPr>
          <w:rFonts w:ascii="Arial Narrow" w:hAnsi="Arial Narrow"/>
          <w:b/>
          <w:bCs/>
          <w:color w:val="000080"/>
          <w:sz w:val="22"/>
          <w:szCs w:val="22"/>
        </w:rPr>
      </w:pPr>
      <w:r>
        <w:rPr>
          <w:rFonts w:ascii="Arial Narrow" w:hAnsi="Arial Narrow"/>
          <w:b/>
          <w:bCs/>
          <w:color w:val="000080"/>
          <w:sz w:val="22"/>
          <w:szCs w:val="22"/>
        </w:rPr>
        <w:lastRenderedPageBreak/>
        <w:t>ΙΙ.   Ενδεχόμενες υποχρεώσεις</w:t>
      </w:r>
    </w:p>
    <w:p w:rsidR="008939E4" w:rsidRDefault="008939E4" w:rsidP="00871F74">
      <w:pPr>
        <w:tabs>
          <w:tab w:val="left" w:pos="284"/>
        </w:tabs>
        <w:contextualSpacing/>
        <w:jc w:val="both"/>
        <w:rPr>
          <w:bCs/>
          <w:sz w:val="22"/>
          <w:szCs w:val="22"/>
        </w:rPr>
      </w:pPr>
    </w:p>
    <w:p w:rsidR="00374966" w:rsidRPr="00374966" w:rsidRDefault="00374966" w:rsidP="00374966">
      <w:pPr>
        <w:tabs>
          <w:tab w:val="left" w:pos="284"/>
        </w:tabs>
        <w:contextualSpacing/>
        <w:jc w:val="both"/>
        <w:rPr>
          <w:bCs/>
          <w:sz w:val="22"/>
          <w:szCs w:val="22"/>
        </w:rPr>
      </w:pPr>
      <w:r w:rsidRPr="00374966">
        <w:rPr>
          <w:bCs/>
          <w:sz w:val="22"/>
          <w:szCs w:val="22"/>
        </w:rPr>
        <w:t xml:space="preserve">Σύμφωνα με την Οδηγία 2011/85/ΕΕ του Συμβουλίου σχετικά με τις απαιτήσεις για τα δημοσιονομικά πλαίσια των κρατών μελών, τα κράτη μέλη δημοσιεύουν σχετικές πληροφορίες για τις ενδεχόμενες υποχρεώσεις των υποτομέων της Γενικής Κυβέρνησης, οι οποίες είναι πιθανό να έχουν σημαντικό </w:t>
      </w:r>
      <w:r w:rsidRPr="00374966">
        <w:rPr>
          <w:bCs/>
          <w:sz w:val="22"/>
          <w:szCs w:val="22"/>
        </w:rPr>
        <w:t>α</w:t>
      </w:r>
      <w:r w:rsidRPr="00374966">
        <w:rPr>
          <w:bCs/>
          <w:sz w:val="22"/>
          <w:szCs w:val="22"/>
        </w:rPr>
        <w:t>ντίκτυπο στους προϋπολογισμούς των φορέων Γενικής Κυβέρνησης. Οι ενδεχόμενες υποχρεώσεις π</w:t>
      </w:r>
      <w:r w:rsidRPr="00374966">
        <w:rPr>
          <w:bCs/>
          <w:sz w:val="22"/>
          <w:szCs w:val="22"/>
        </w:rPr>
        <w:t>ε</w:t>
      </w:r>
      <w:r w:rsidRPr="00374966">
        <w:rPr>
          <w:bCs/>
          <w:sz w:val="22"/>
          <w:szCs w:val="22"/>
        </w:rPr>
        <w:t>ριλαμβάνουν τις κρατικές εγγυήσεις, τα μη εξυπηρετούμενα δάνεια και τις υποχρεώσεις που απορρ</w:t>
      </w:r>
      <w:r w:rsidRPr="00374966">
        <w:rPr>
          <w:bCs/>
          <w:sz w:val="22"/>
          <w:szCs w:val="22"/>
        </w:rPr>
        <w:t>έ</w:t>
      </w:r>
      <w:r w:rsidRPr="00374966">
        <w:rPr>
          <w:bCs/>
          <w:sz w:val="22"/>
          <w:szCs w:val="22"/>
        </w:rPr>
        <w:t>ουν από τη λειτουργία των δημόσιων επιχειρήσεων. Η ανωτέρω Οδηγία προβλέπει επίσης τη δημοσ</w:t>
      </w:r>
      <w:r w:rsidRPr="00374966">
        <w:rPr>
          <w:bCs/>
          <w:sz w:val="22"/>
          <w:szCs w:val="22"/>
        </w:rPr>
        <w:t>ί</w:t>
      </w:r>
      <w:r w:rsidRPr="00374966">
        <w:rPr>
          <w:bCs/>
          <w:sz w:val="22"/>
          <w:szCs w:val="22"/>
        </w:rPr>
        <w:t>ευση πληροφοριών για τις συμμετοχές της Γενικής Κυβέρνησης στο κεφάλαιο ιδιωτικών και δημόσ</w:t>
      </w:r>
      <w:r w:rsidRPr="00374966">
        <w:rPr>
          <w:bCs/>
          <w:sz w:val="22"/>
          <w:szCs w:val="22"/>
        </w:rPr>
        <w:t>ι</w:t>
      </w:r>
      <w:r w:rsidRPr="00374966">
        <w:rPr>
          <w:bCs/>
          <w:sz w:val="22"/>
          <w:szCs w:val="22"/>
        </w:rPr>
        <w:t xml:space="preserve">ων επιχειρήσεων για σημαντικά από οικονομικής άποψης ποσά. </w:t>
      </w:r>
    </w:p>
    <w:p w:rsidR="00374966" w:rsidRDefault="00374966" w:rsidP="00374966">
      <w:pPr>
        <w:tabs>
          <w:tab w:val="left" w:pos="284"/>
        </w:tabs>
        <w:contextualSpacing/>
        <w:jc w:val="both"/>
        <w:rPr>
          <w:bCs/>
          <w:sz w:val="22"/>
          <w:szCs w:val="22"/>
        </w:rPr>
      </w:pPr>
    </w:p>
    <w:p w:rsidR="00374966" w:rsidRDefault="00374966" w:rsidP="00374966">
      <w:pPr>
        <w:tabs>
          <w:tab w:val="left" w:pos="284"/>
        </w:tabs>
        <w:contextualSpacing/>
        <w:jc w:val="both"/>
        <w:rPr>
          <w:bCs/>
          <w:sz w:val="22"/>
          <w:szCs w:val="22"/>
        </w:rPr>
      </w:pPr>
      <w:r w:rsidRPr="00374966">
        <w:rPr>
          <w:bCs/>
          <w:sz w:val="22"/>
          <w:szCs w:val="22"/>
        </w:rPr>
        <w:t xml:space="preserve">Στο πλαίσιο αυτό, η παρούσα ενότητα παραθέτει τα νεότερα επίσημα στοιχεία της </w:t>
      </w:r>
      <w:r w:rsidRPr="00374966">
        <w:rPr>
          <w:bCs/>
          <w:sz w:val="22"/>
          <w:szCs w:val="22"/>
          <w:lang w:val="en-US"/>
        </w:rPr>
        <w:t>Eurostat</w:t>
      </w:r>
      <w:r w:rsidRPr="00374966">
        <w:rPr>
          <w:bCs/>
          <w:sz w:val="22"/>
          <w:szCs w:val="22"/>
        </w:rPr>
        <w:t xml:space="preserve"> αναφορικά με τρεις κατηγορίες ενδεχόμενων υποχρεώσεων. Αυτές είναι οι υποχρεώσεις που απορρέουν από σ</w:t>
      </w:r>
      <w:r w:rsidRPr="00374966">
        <w:rPr>
          <w:bCs/>
          <w:sz w:val="22"/>
          <w:szCs w:val="22"/>
        </w:rPr>
        <w:t>υ</w:t>
      </w:r>
      <w:r w:rsidRPr="00374966">
        <w:rPr>
          <w:bCs/>
          <w:sz w:val="22"/>
          <w:szCs w:val="22"/>
        </w:rPr>
        <w:t>μπράξεις δημοσίου και ιδιωτικού τομέα (ΣΔΙΤ) που καταγράφονται εκτός προϋπολογισμού (</w:t>
      </w:r>
      <w:r w:rsidRPr="00374966">
        <w:rPr>
          <w:bCs/>
          <w:sz w:val="22"/>
          <w:szCs w:val="22"/>
          <w:lang w:val="en-US"/>
        </w:rPr>
        <w:t>off</w:t>
      </w:r>
      <w:r w:rsidRPr="00374966">
        <w:rPr>
          <w:bCs/>
          <w:sz w:val="22"/>
          <w:szCs w:val="22"/>
        </w:rPr>
        <w:t>-</w:t>
      </w:r>
      <w:r w:rsidRPr="00374966">
        <w:rPr>
          <w:bCs/>
          <w:sz w:val="22"/>
          <w:szCs w:val="22"/>
          <w:lang w:val="en-US"/>
        </w:rPr>
        <w:t>balance</w:t>
      </w:r>
      <w:r w:rsidRPr="00374966">
        <w:rPr>
          <w:bCs/>
          <w:sz w:val="22"/>
          <w:szCs w:val="22"/>
        </w:rPr>
        <w:t xml:space="preserve"> </w:t>
      </w:r>
      <w:r w:rsidRPr="00374966">
        <w:rPr>
          <w:bCs/>
          <w:sz w:val="22"/>
          <w:szCs w:val="22"/>
          <w:lang w:val="en-US"/>
        </w:rPr>
        <w:t>sheet</w:t>
      </w:r>
      <w:r w:rsidRPr="00374966">
        <w:rPr>
          <w:bCs/>
          <w:sz w:val="22"/>
          <w:szCs w:val="22"/>
        </w:rPr>
        <w:t>), το ύψος των μη εξυπηρετούμενων δανείων που έχουν χορηγηθεί από φορείς της Γεν</w:t>
      </w:r>
      <w:r w:rsidRPr="00374966">
        <w:rPr>
          <w:bCs/>
          <w:sz w:val="22"/>
          <w:szCs w:val="22"/>
        </w:rPr>
        <w:t>ι</w:t>
      </w:r>
      <w:r w:rsidRPr="00374966">
        <w:rPr>
          <w:bCs/>
          <w:sz w:val="22"/>
          <w:szCs w:val="22"/>
        </w:rPr>
        <w:t>κής Κυβέρνησης, καθώς και οι συνολικές υποχρεώσεις φορέων που ταξινομούνται εκτός της Γενικής Κυβέρνησης αλλά ελέγχονται από το Κράτος ή από άλλους φορείς της Γενικής Κυβέρνησης. Αναλ</w:t>
      </w:r>
      <w:r w:rsidRPr="00374966">
        <w:rPr>
          <w:bCs/>
          <w:sz w:val="22"/>
          <w:szCs w:val="22"/>
        </w:rPr>
        <w:t>υ</w:t>
      </w:r>
      <w:r w:rsidRPr="00374966">
        <w:rPr>
          <w:bCs/>
          <w:sz w:val="22"/>
          <w:szCs w:val="22"/>
        </w:rPr>
        <w:t>τικά στοιχεία αναφορικά με το ύψος των κρατικών εγγυήσεων και των συμμετοχών φορέων της Γεν</w:t>
      </w:r>
      <w:r w:rsidRPr="00374966">
        <w:rPr>
          <w:bCs/>
          <w:sz w:val="22"/>
          <w:szCs w:val="22"/>
        </w:rPr>
        <w:t>ι</w:t>
      </w:r>
      <w:r w:rsidRPr="00374966">
        <w:rPr>
          <w:bCs/>
          <w:sz w:val="22"/>
          <w:szCs w:val="22"/>
        </w:rPr>
        <w:t>κής Κυβέρνησης στο κεφάλαιο δημόσιων ή ιδιωτικών επιχειρήσεων παρατίθενται σ</w:t>
      </w:r>
      <w:r>
        <w:rPr>
          <w:bCs/>
          <w:sz w:val="22"/>
          <w:szCs w:val="22"/>
        </w:rPr>
        <w:t>τα κεφάλαια 4 και 5 αντίστοιχα.</w:t>
      </w:r>
    </w:p>
    <w:p w:rsidR="00882916" w:rsidRDefault="00882916" w:rsidP="00374966">
      <w:pPr>
        <w:tabs>
          <w:tab w:val="left" w:pos="284"/>
        </w:tabs>
        <w:contextualSpacing/>
        <w:jc w:val="both"/>
        <w:rPr>
          <w:bCs/>
          <w:sz w:val="22"/>
          <w:szCs w:val="22"/>
        </w:rPr>
      </w:pPr>
    </w:p>
    <w:p w:rsidR="00882916" w:rsidRDefault="00882916" w:rsidP="00374966">
      <w:pPr>
        <w:tabs>
          <w:tab w:val="left" w:pos="284"/>
        </w:tabs>
        <w:contextualSpacing/>
        <w:jc w:val="both"/>
        <w:rPr>
          <w:bCs/>
          <w:sz w:val="22"/>
          <w:szCs w:val="22"/>
        </w:rPr>
      </w:pPr>
    </w:p>
    <w:p w:rsidR="00374966" w:rsidRPr="00374966" w:rsidRDefault="00374966" w:rsidP="00374966">
      <w:pPr>
        <w:tabs>
          <w:tab w:val="left" w:pos="284"/>
        </w:tabs>
        <w:contextualSpacing/>
        <w:jc w:val="both"/>
        <w:rPr>
          <w:bCs/>
          <w:sz w:val="22"/>
          <w:szCs w:val="22"/>
        </w:rPr>
      </w:pPr>
    </w:p>
    <w:tbl>
      <w:tblPr>
        <w:tblW w:w="8094" w:type="dxa"/>
        <w:jc w:val="center"/>
        <w:tblLook w:val="04A0"/>
      </w:tblPr>
      <w:tblGrid>
        <w:gridCol w:w="4550"/>
        <w:gridCol w:w="1276"/>
        <w:gridCol w:w="1134"/>
        <w:gridCol w:w="1134"/>
      </w:tblGrid>
      <w:tr w:rsidR="00374966" w:rsidRPr="000944D4" w:rsidTr="00A729F7">
        <w:trPr>
          <w:trHeight w:val="1035"/>
          <w:jc w:val="center"/>
        </w:trPr>
        <w:tc>
          <w:tcPr>
            <w:tcW w:w="8094" w:type="dxa"/>
            <w:gridSpan w:val="4"/>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rsidR="000944D4" w:rsidRPr="000944D4" w:rsidRDefault="000944D4" w:rsidP="000944D4">
            <w:pPr>
              <w:tabs>
                <w:tab w:val="left" w:pos="284"/>
              </w:tabs>
              <w:contextualSpacing/>
              <w:jc w:val="center"/>
              <w:rPr>
                <w:rFonts w:ascii="Arial Narrow" w:hAnsi="Arial Narrow"/>
                <w:b/>
                <w:bCs/>
                <w:color w:val="FFFFFF" w:themeColor="background1"/>
              </w:rPr>
            </w:pPr>
            <w:r w:rsidRPr="000944D4">
              <w:rPr>
                <w:rFonts w:ascii="Arial Narrow" w:hAnsi="Arial Narrow"/>
                <w:b/>
                <w:bCs/>
                <w:color w:val="FFFFFF" w:themeColor="background1"/>
              </w:rPr>
              <w:t>Πίνα</w:t>
            </w:r>
            <w:r w:rsidR="00655CC9">
              <w:rPr>
                <w:rFonts w:ascii="Arial Narrow" w:hAnsi="Arial Narrow"/>
                <w:b/>
                <w:bCs/>
                <w:color w:val="FFFFFF" w:themeColor="background1"/>
              </w:rPr>
              <w:t>κας 3.33</w:t>
            </w:r>
            <w:r w:rsidRPr="000944D4">
              <w:rPr>
                <w:rFonts w:ascii="Arial Narrow" w:hAnsi="Arial Narrow"/>
                <w:b/>
                <w:bCs/>
                <w:color w:val="FFFFFF" w:themeColor="background1"/>
              </w:rPr>
              <w:t xml:space="preserve">  </w:t>
            </w:r>
            <w:r w:rsidR="00374966" w:rsidRPr="000944D4">
              <w:rPr>
                <w:rFonts w:ascii="Arial Narrow" w:hAnsi="Arial Narrow"/>
                <w:b/>
                <w:bCs/>
                <w:color w:val="FFFFFF" w:themeColor="background1"/>
              </w:rPr>
              <w:t>Υποχρεώσεις που απορρέουν από Συμπράξεις Δημοσίου-Ιδιωτικού Τομέα (ΣΔΙΤ) που καταγράφονται εκτός προϋπολογισμού (off-balance sheet)</w:t>
            </w:r>
          </w:p>
        </w:tc>
      </w:tr>
      <w:tr w:rsidR="000944D4" w:rsidRPr="000944D4" w:rsidTr="00A729F7">
        <w:trPr>
          <w:trHeight w:val="227"/>
          <w:jc w:val="center"/>
        </w:trPr>
        <w:tc>
          <w:tcPr>
            <w:tcW w:w="809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44D4" w:rsidRDefault="000944D4" w:rsidP="000944D4">
            <w:pPr>
              <w:tabs>
                <w:tab w:val="left" w:pos="284"/>
              </w:tabs>
              <w:contextualSpacing/>
              <w:jc w:val="center"/>
              <w:rPr>
                <w:rFonts w:ascii="Arial Narrow" w:hAnsi="Arial Narrow"/>
                <w:b/>
                <w:bCs/>
              </w:rPr>
            </w:pPr>
          </w:p>
        </w:tc>
      </w:tr>
      <w:tr w:rsidR="00374966" w:rsidRPr="000944D4" w:rsidTr="00A729F7">
        <w:trPr>
          <w:trHeight w:val="227"/>
          <w:jc w:val="center"/>
        </w:trPr>
        <w:tc>
          <w:tcPr>
            <w:tcW w:w="4550" w:type="dxa"/>
            <w:tcBorders>
              <w:top w:val="nil"/>
              <w:left w:val="single" w:sz="4" w:space="0" w:color="auto"/>
              <w:bottom w:val="single" w:sz="4" w:space="0" w:color="auto"/>
              <w:right w:val="single" w:sz="4" w:space="0" w:color="auto"/>
            </w:tcBorders>
            <w:shd w:val="clear" w:color="auto" w:fill="auto"/>
            <w:noWrap/>
            <w:vAlign w:val="bottom"/>
            <w:hideMark/>
          </w:tcPr>
          <w:p w:rsidR="00374966" w:rsidRPr="000944D4" w:rsidRDefault="00374966" w:rsidP="00374966">
            <w:pPr>
              <w:tabs>
                <w:tab w:val="left" w:pos="284"/>
              </w:tabs>
              <w:contextualSpacing/>
              <w:jc w:val="both"/>
              <w:rPr>
                <w:rFonts w:ascii="Arial Narrow" w:hAnsi="Arial Narrow"/>
                <w:bCs/>
                <w:sz w:val="16"/>
                <w:szCs w:val="16"/>
              </w:rPr>
            </w:pPr>
            <w:r w:rsidRPr="000944D4">
              <w:rPr>
                <w:rFonts w:ascii="Arial Narrow" w:hAnsi="Arial Narrow"/>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74966" w:rsidRPr="000944D4" w:rsidRDefault="00374966" w:rsidP="000944D4">
            <w:pPr>
              <w:tabs>
                <w:tab w:val="left" w:pos="284"/>
              </w:tabs>
              <w:contextualSpacing/>
              <w:jc w:val="center"/>
              <w:rPr>
                <w:rFonts w:ascii="Arial Narrow" w:hAnsi="Arial Narrow"/>
                <w:b/>
                <w:bCs/>
                <w:sz w:val="16"/>
                <w:szCs w:val="16"/>
              </w:rPr>
            </w:pPr>
            <w:r w:rsidRPr="000944D4">
              <w:rPr>
                <w:rFonts w:ascii="Arial Narrow" w:hAnsi="Arial Narrow"/>
                <w:b/>
                <w:bCs/>
                <w:sz w:val="16"/>
                <w:szCs w:val="16"/>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374966" w:rsidRPr="000944D4" w:rsidRDefault="00374966" w:rsidP="000944D4">
            <w:pPr>
              <w:tabs>
                <w:tab w:val="left" w:pos="284"/>
              </w:tabs>
              <w:contextualSpacing/>
              <w:jc w:val="center"/>
              <w:rPr>
                <w:rFonts w:ascii="Arial Narrow" w:hAnsi="Arial Narrow"/>
                <w:b/>
                <w:bCs/>
                <w:sz w:val="16"/>
                <w:szCs w:val="16"/>
              </w:rPr>
            </w:pPr>
            <w:r w:rsidRPr="000944D4">
              <w:rPr>
                <w:rFonts w:ascii="Arial Narrow" w:hAnsi="Arial Narrow"/>
                <w:b/>
                <w:bCs/>
                <w:sz w:val="16"/>
                <w:szCs w:val="16"/>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374966" w:rsidRPr="000944D4" w:rsidRDefault="00374966" w:rsidP="000944D4">
            <w:pPr>
              <w:tabs>
                <w:tab w:val="left" w:pos="284"/>
              </w:tabs>
              <w:contextualSpacing/>
              <w:jc w:val="center"/>
              <w:rPr>
                <w:rFonts w:ascii="Arial Narrow" w:hAnsi="Arial Narrow"/>
                <w:b/>
                <w:bCs/>
                <w:sz w:val="16"/>
                <w:szCs w:val="16"/>
              </w:rPr>
            </w:pPr>
            <w:r w:rsidRPr="000944D4">
              <w:rPr>
                <w:rFonts w:ascii="Arial Narrow" w:hAnsi="Arial Narrow"/>
                <w:b/>
                <w:bCs/>
                <w:sz w:val="16"/>
                <w:szCs w:val="16"/>
              </w:rPr>
              <w:t>2018</w:t>
            </w:r>
          </w:p>
        </w:tc>
      </w:tr>
      <w:tr w:rsidR="000944D4" w:rsidRPr="000944D4" w:rsidTr="00A729F7">
        <w:trPr>
          <w:trHeight w:val="227"/>
          <w:jc w:val="center"/>
        </w:trPr>
        <w:tc>
          <w:tcPr>
            <w:tcW w:w="8094" w:type="dxa"/>
            <w:gridSpan w:val="4"/>
            <w:tcBorders>
              <w:left w:val="single" w:sz="4" w:space="0" w:color="auto"/>
              <w:right w:val="single" w:sz="4" w:space="0" w:color="000000"/>
            </w:tcBorders>
            <w:shd w:val="clear" w:color="000000" w:fill="D8D8D8"/>
            <w:noWrap/>
            <w:vAlign w:val="bottom"/>
            <w:hideMark/>
          </w:tcPr>
          <w:p w:rsidR="000944D4" w:rsidRPr="000944D4" w:rsidRDefault="000944D4" w:rsidP="000944D4">
            <w:pPr>
              <w:contextualSpacing/>
              <w:jc w:val="both"/>
              <w:rPr>
                <w:rFonts w:ascii="Arial Narrow" w:hAnsi="Arial Narrow"/>
                <w:bCs/>
                <w:i/>
                <w:iCs/>
                <w:sz w:val="16"/>
                <w:szCs w:val="16"/>
              </w:rPr>
            </w:pPr>
            <w:r>
              <w:rPr>
                <w:rFonts w:ascii="Arial Narrow" w:hAnsi="Arial Narrow"/>
                <w:bCs/>
                <w:i/>
                <w:iCs/>
                <w:sz w:val="16"/>
                <w:szCs w:val="16"/>
              </w:rPr>
              <w:t>σε εκατ. ευρώ</w:t>
            </w:r>
          </w:p>
        </w:tc>
      </w:tr>
      <w:tr w:rsidR="00374966" w:rsidRPr="000944D4" w:rsidTr="00A729F7">
        <w:trPr>
          <w:trHeight w:val="227"/>
          <w:jc w:val="center"/>
        </w:trPr>
        <w:tc>
          <w:tcPr>
            <w:tcW w:w="4550" w:type="dxa"/>
            <w:tcBorders>
              <w:top w:val="single" w:sz="4" w:space="0" w:color="auto"/>
              <w:left w:val="single" w:sz="4" w:space="0" w:color="auto"/>
            </w:tcBorders>
            <w:shd w:val="clear" w:color="auto" w:fill="auto"/>
            <w:noWrap/>
            <w:vAlign w:val="bottom"/>
            <w:hideMark/>
          </w:tcPr>
          <w:p w:rsidR="00374966" w:rsidRPr="000944D4" w:rsidRDefault="00374966" w:rsidP="00374966">
            <w:pPr>
              <w:tabs>
                <w:tab w:val="left" w:pos="284"/>
              </w:tabs>
              <w:contextualSpacing/>
              <w:jc w:val="both"/>
              <w:rPr>
                <w:rFonts w:ascii="Arial Narrow" w:hAnsi="Arial Narrow"/>
                <w:bCs/>
                <w:sz w:val="16"/>
                <w:szCs w:val="16"/>
              </w:rPr>
            </w:pPr>
            <w:r w:rsidRPr="000944D4">
              <w:rPr>
                <w:rFonts w:ascii="Arial Narrow" w:hAnsi="Arial Narrow"/>
                <w:bCs/>
                <w:sz w:val="16"/>
                <w:szCs w:val="16"/>
              </w:rPr>
              <w:t>Γενική κυβέρνηση</w:t>
            </w:r>
          </w:p>
        </w:tc>
        <w:tc>
          <w:tcPr>
            <w:tcW w:w="1276" w:type="dxa"/>
            <w:tcBorders>
              <w:top w:val="single" w:sz="4" w:space="0" w:color="auto"/>
            </w:tcBorders>
            <w:shd w:val="clear" w:color="auto" w:fill="auto"/>
            <w:noWrap/>
            <w:vAlign w:val="bottom"/>
            <w:hideMark/>
          </w:tcPr>
          <w:p w:rsidR="00374966" w:rsidRPr="000944D4" w:rsidRDefault="00374966" w:rsidP="000944D4">
            <w:pPr>
              <w:tabs>
                <w:tab w:val="decimal" w:pos="601"/>
              </w:tabs>
              <w:contextualSpacing/>
              <w:jc w:val="both"/>
              <w:rPr>
                <w:rFonts w:ascii="Arial Narrow" w:hAnsi="Arial Narrow"/>
                <w:bCs/>
                <w:sz w:val="16"/>
                <w:szCs w:val="16"/>
              </w:rPr>
            </w:pPr>
            <w:r w:rsidRPr="000944D4">
              <w:rPr>
                <w:rFonts w:ascii="Arial Narrow" w:hAnsi="Arial Narrow"/>
                <w:bCs/>
                <w:sz w:val="16"/>
                <w:szCs w:val="16"/>
              </w:rPr>
              <w:t>221,3</w:t>
            </w:r>
          </w:p>
        </w:tc>
        <w:tc>
          <w:tcPr>
            <w:tcW w:w="1134" w:type="dxa"/>
            <w:tcBorders>
              <w:top w:val="single" w:sz="4" w:space="0" w:color="auto"/>
            </w:tcBorders>
            <w:shd w:val="clear" w:color="auto" w:fill="auto"/>
            <w:noWrap/>
            <w:vAlign w:val="bottom"/>
            <w:hideMark/>
          </w:tcPr>
          <w:p w:rsidR="00374966" w:rsidRPr="000944D4" w:rsidRDefault="00374966" w:rsidP="000944D4">
            <w:pPr>
              <w:tabs>
                <w:tab w:val="decimal" w:pos="601"/>
              </w:tabs>
              <w:contextualSpacing/>
              <w:jc w:val="both"/>
              <w:rPr>
                <w:rFonts w:ascii="Arial Narrow" w:hAnsi="Arial Narrow"/>
                <w:bCs/>
                <w:sz w:val="16"/>
                <w:szCs w:val="16"/>
              </w:rPr>
            </w:pPr>
            <w:r w:rsidRPr="000944D4">
              <w:rPr>
                <w:rFonts w:ascii="Arial Narrow" w:hAnsi="Arial Narrow"/>
                <w:bCs/>
                <w:sz w:val="16"/>
                <w:szCs w:val="16"/>
              </w:rPr>
              <w:t>233,95</w:t>
            </w:r>
          </w:p>
        </w:tc>
        <w:tc>
          <w:tcPr>
            <w:tcW w:w="1134" w:type="dxa"/>
            <w:tcBorders>
              <w:top w:val="single" w:sz="4" w:space="0" w:color="auto"/>
              <w:right w:val="single" w:sz="4" w:space="0" w:color="auto"/>
            </w:tcBorders>
            <w:shd w:val="clear" w:color="auto" w:fill="auto"/>
            <w:noWrap/>
            <w:vAlign w:val="bottom"/>
            <w:hideMark/>
          </w:tcPr>
          <w:p w:rsidR="00374966" w:rsidRPr="000944D4" w:rsidRDefault="00374966" w:rsidP="000944D4">
            <w:pPr>
              <w:tabs>
                <w:tab w:val="decimal" w:pos="601"/>
              </w:tabs>
              <w:contextualSpacing/>
              <w:jc w:val="both"/>
              <w:rPr>
                <w:rFonts w:ascii="Arial Narrow" w:hAnsi="Arial Narrow"/>
                <w:bCs/>
                <w:sz w:val="16"/>
                <w:szCs w:val="16"/>
              </w:rPr>
            </w:pPr>
            <w:r w:rsidRPr="000944D4">
              <w:rPr>
                <w:rFonts w:ascii="Arial Narrow" w:hAnsi="Arial Narrow"/>
                <w:bCs/>
                <w:sz w:val="16"/>
                <w:szCs w:val="16"/>
              </w:rPr>
              <w:t>270,2</w:t>
            </w:r>
          </w:p>
        </w:tc>
      </w:tr>
      <w:tr w:rsidR="00374966" w:rsidRPr="000944D4" w:rsidTr="00A729F7">
        <w:trPr>
          <w:trHeight w:val="227"/>
          <w:jc w:val="center"/>
        </w:trPr>
        <w:tc>
          <w:tcPr>
            <w:tcW w:w="4550" w:type="dxa"/>
            <w:tcBorders>
              <w:top w:val="nil"/>
              <w:left w:val="single" w:sz="4" w:space="0" w:color="auto"/>
            </w:tcBorders>
            <w:shd w:val="clear" w:color="auto" w:fill="auto"/>
            <w:noWrap/>
            <w:vAlign w:val="bottom"/>
            <w:hideMark/>
          </w:tcPr>
          <w:p w:rsidR="00374966" w:rsidRPr="000944D4" w:rsidRDefault="00374966" w:rsidP="00374966">
            <w:pPr>
              <w:tabs>
                <w:tab w:val="left" w:pos="284"/>
              </w:tabs>
              <w:contextualSpacing/>
              <w:jc w:val="both"/>
              <w:rPr>
                <w:rFonts w:ascii="Arial Narrow" w:hAnsi="Arial Narrow"/>
                <w:bCs/>
                <w:sz w:val="16"/>
                <w:szCs w:val="16"/>
              </w:rPr>
            </w:pPr>
            <w:r w:rsidRPr="000944D4">
              <w:rPr>
                <w:rFonts w:ascii="Arial Narrow" w:hAnsi="Arial Narrow"/>
                <w:bCs/>
                <w:sz w:val="16"/>
                <w:szCs w:val="16"/>
              </w:rPr>
              <w:t>Κεντρική Κυβέρνηση</w:t>
            </w:r>
          </w:p>
        </w:tc>
        <w:tc>
          <w:tcPr>
            <w:tcW w:w="1276" w:type="dxa"/>
            <w:tcBorders>
              <w:top w:val="nil"/>
            </w:tcBorders>
            <w:shd w:val="clear" w:color="auto" w:fill="auto"/>
            <w:noWrap/>
            <w:vAlign w:val="bottom"/>
            <w:hideMark/>
          </w:tcPr>
          <w:p w:rsidR="00374966" w:rsidRPr="000944D4" w:rsidRDefault="00374966" w:rsidP="000944D4">
            <w:pPr>
              <w:tabs>
                <w:tab w:val="decimal" w:pos="601"/>
              </w:tabs>
              <w:contextualSpacing/>
              <w:jc w:val="both"/>
              <w:rPr>
                <w:rFonts w:ascii="Arial Narrow" w:hAnsi="Arial Narrow"/>
                <w:bCs/>
                <w:sz w:val="16"/>
                <w:szCs w:val="16"/>
              </w:rPr>
            </w:pPr>
            <w:r w:rsidRPr="000944D4">
              <w:rPr>
                <w:rFonts w:ascii="Arial Narrow" w:hAnsi="Arial Narrow"/>
                <w:bCs/>
                <w:sz w:val="16"/>
                <w:szCs w:val="16"/>
              </w:rPr>
              <w:t>221,3</w:t>
            </w:r>
          </w:p>
        </w:tc>
        <w:tc>
          <w:tcPr>
            <w:tcW w:w="1134" w:type="dxa"/>
            <w:tcBorders>
              <w:top w:val="nil"/>
            </w:tcBorders>
            <w:shd w:val="clear" w:color="auto" w:fill="auto"/>
            <w:noWrap/>
            <w:vAlign w:val="bottom"/>
            <w:hideMark/>
          </w:tcPr>
          <w:p w:rsidR="00374966" w:rsidRPr="000944D4" w:rsidRDefault="00374966" w:rsidP="000944D4">
            <w:pPr>
              <w:tabs>
                <w:tab w:val="decimal" w:pos="601"/>
              </w:tabs>
              <w:contextualSpacing/>
              <w:jc w:val="both"/>
              <w:rPr>
                <w:rFonts w:ascii="Arial Narrow" w:hAnsi="Arial Narrow"/>
                <w:bCs/>
                <w:sz w:val="16"/>
                <w:szCs w:val="16"/>
              </w:rPr>
            </w:pPr>
            <w:r w:rsidRPr="000944D4">
              <w:rPr>
                <w:rFonts w:ascii="Arial Narrow" w:hAnsi="Arial Narrow"/>
                <w:bCs/>
                <w:sz w:val="16"/>
                <w:szCs w:val="16"/>
              </w:rPr>
              <w:t>233,95</w:t>
            </w:r>
          </w:p>
        </w:tc>
        <w:tc>
          <w:tcPr>
            <w:tcW w:w="1134" w:type="dxa"/>
            <w:tcBorders>
              <w:top w:val="nil"/>
              <w:right w:val="single" w:sz="4" w:space="0" w:color="auto"/>
            </w:tcBorders>
            <w:shd w:val="clear" w:color="auto" w:fill="auto"/>
            <w:noWrap/>
            <w:vAlign w:val="bottom"/>
            <w:hideMark/>
          </w:tcPr>
          <w:p w:rsidR="00374966" w:rsidRPr="000944D4" w:rsidRDefault="00374966" w:rsidP="000944D4">
            <w:pPr>
              <w:tabs>
                <w:tab w:val="decimal" w:pos="601"/>
              </w:tabs>
              <w:contextualSpacing/>
              <w:jc w:val="both"/>
              <w:rPr>
                <w:rFonts w:ascii="Arial Narrow" w:hAnsi="Arial Narrow"/>
                <w:bCs/>
                <w:sz w:val="16"/>
                <w:szCs w:val="16"/>
              </w:rPr>
            </w:pPr>
            <w:r w:rsidRPr="000944D4">
              <w:rPr>
                <w:rFonts w:ascii="Arial Narrow" w:hAnsi="Arial Narrow"/>
                <w:bCs/>
                <w:sz w:val="16"/>
                <w:szCs w:val="16"/>
              </w:rPr>
              <w:t>270,2</w:t>
            </w:r>
          </w:p>
        </w:tc>
      </w:tr>
      <w:tr w:rsidR="00374966" w:rsidRPr="000944D4" w:rsidTr="00A729F7">
        <w:trPr>
          <w:trHeight w:val="227"/>
          <w:jc w:val="center"/>
        </w:trPr>
        <w:tc>
          <w:tcPr>
            <w:tcW w:w="4550" w:type="dxa"/>
            <w:tcBorders>
              <w:top w:val="nil"/>
              <w:left w:val="single" w:sz="4" w:space="0" w:color="auto"/>
            </w:tcBorders>
            <w:shd w:val="clear" w:color="auto" w:fill="auto"/>
            <w:noWrap/>
            <w:vAlign w:val="bottom"/>
            <w:hideMark/>
          </w:tcPr>
          <w:p w:rsidR="00374966" w:rsidRPr="000944D4" w:rsidRDefault="00374966" w:rsidP="00374966">
            <w:pPr>
              <w:tabs>
                <w:tab w:val="left" w:pos="284"/>
              </w:tabs>
              <w:contextualSpacing/>
              <w:jc w:val="both"/>
              <w:rPr>
                <w:rFonts w:ascii="Arial Narrow" w:hAnsi="Arial Narrow"/>
                <w:bCs/>
                <w:sz w:val="16"/>
                <w:szCs w:val="16"/>
              </w:rPr>
            </w:pPr>
            <w:r w:rsidRPr="000944D4">
              <w:rPr>
                <w:rFonts w:ascii="Arial Narrow" w:hAnsi="Arial Narrow"/>
                <w:bCs/>
                <w:sz w:val="16"/>
                <w:szCs w:val="16"/>
              </w:rPr>
              <w:t>Τοπική Αυτοδιοίκηση</w:t>
            </w:r>
          </w:p>
        </w:tc>
        <w:tc>
          <w:tcPr>
            <w:tcW w:w="1276" w:type="dxa"/>
            <w:tcBorders>
              <w:top w:val="nil"/>
            </w:tcBorders>
            <w:shd w:val="clear" w:color="auto" w:fill="auto"/>
            <w:noWrap/>
            <w:vAlign w:val="bottom"/>
            <w:hideMark/>
          </w:tcPr>
          <w:p w:rsidR="00374966" w:rsidRPr="000944D4" w:rsidRDefault="00374966" w:rsidP="000944D4">
            <w:pPr>
              <w:tabs>
                <w:tab w:val="decimal" w:pos="601"/>
              </w:tabs>
              <w:contextualSpacing/>
              <w:jc w:val="both"/>
              <w:rPr>
                <w:rFonts w:ascii="Arial Narrow" w:hAnsi="Arial Narrow"/>
                <w:bCs/>
                <w:sz w:val="16"/>
                <w:szCs w:val="16"/>
              </w:rPr>
            </w:pPr>
            <w:r w:rsidRPr="000944D4">
              <w:rPr>
                <w:rFonts w:ascii="Arial Narrow" w:hAnsi="Arial Narrow"/>
                <w:bCs/>
                <w:sz w:val="16"/>
                <w:szCs w:val="16"/>
              </w:rPr>
              <w:t>0</w:t>
            </w:r>
          </w:p>
        </w:tc>
        <w:tc>
          <w:tcPr>
            <w:tcW w:w="1134" w:type="dxa"/>
            <w:tcBorders>
              <w:top w:val="nil"/>
            </w:tcBorders>
            <w:shd w:val="clear" w:color="auto" w:fill="auto"/>
            <w:noWrap/>
            <w:vAlign w:val="bottom"/>
            <w:hideMark/>
          </w:tcPr>
          <w:p w:rsidR="00374966" w:rsidRPr="000944D4" w:rsidRDefault="00374966" w:rsidP="000944D4">
            <w:pPr>
              <w:tabs>
                <w:tab w:val="decimal" w:pos="601"/>
              </w:tabs>
              <w:contextualSpacing/>
              <w:jc w:val="both"/>
              <w:rPr>
                <w:rFonts w:ascii="Arial Narrow" w:hAnsi="Arial Narrow"/>
                <w:bCs/>
                <w:sz w:val="16"/>
                <w:szCs w:val="16"/>
              </w:rPr>
            </w:pPr>
            <w:r w:rsidRPr="000944D4">
              <w:rPr>
                <w:rFonts w:ascii="Arial Narrow" w:hAnsi="Arial Narrow"/>
                <w:bCs/>
                <w:sz w:val="16"/>
                <w:szCs w:val="16"/>
              </w:rPr>
              <w:t>0</w:t>
            </w:r>
          </w:p>
        </w:tc>
        <w:tc>
          <w:tcPr>
            <w:tcW w:w="1134" w:type="dxa"/>
            <w:tcBorders>
              <w:top w:val="nil"/>
              <w:right w:val="single" w:sz="4" w:space="0" w:color="auto"/>
            </w:tcBorders>
            <w:shd w:val="clear" w:color="auto" w:fill="auto"/>
            <w:noWrap/>
            <w:vAlign w:val="bottom"/>
            <w:hideMark/>
          </w:tcPr>
          <w:p w:rsidR="00374966" w:rsidRPr="000944D4" w:rsidRDefault="00374966" w:rsidP="000944D4">
            <w:pPr>
              <w:tabs>
                <w:tab w:val="decimal" w:pos="601"/>
              </w:tabs>
              <w:contextualSpacing/>
              <w:jc w:val="both"/>
              <w:rPr>
                <w:rFonts w:ascii="Arial Narrow" w:hAnsi="Arial Narrow"/>
                <w:bCs/>
                <w:sz w:val="16"/>
                <w:szCs w:val="16"/>
              </w:rPr>
            </w:pPr>
            <w:r w:rsidRPr="000944D4">
              <w:rPr>
                <w:rFonts w:ascii="Arial Narrow" w:hAnsi="Arial Narrow"/>
                <w:bCs/>
                <w:sz w:val="16"/>
                <w:szCs w:val="16"/>
              </w:rPr>
              <w:t>0</w:t>
            </w:r>
          </w:p>
        </w:tc>
      </w:tr>
      <w:tr w:rsidR="00374966" w:rsidRPr="000944D4" w:rsidTr="00A729F7">
        <w:trPr>
          <w:trHeight w:val="227"/>
          <w:jc w:val="center"/>
        </w:trPr>
        <w:tc>
          <w:tcPr>
            <w:tcW w:w="4550" w:type="dxa"/>
            <w:tcBorders>
              <w:top w:val="nil"/>
              <w:left w:val="single" w:sz="4" w:space="0" w:color="auto"/>
              <w:bottom w:val="single" w:sz="4" w:space="0" w:color="auto"/>
            </w:tcBorders>
            <w:shd w:val="clear" w:color="auto" w:fill="auto"/>
            <w:noWrap/>
            <w:vAlign w:val="bottom"/>
            <w:hideMark/>
          </w:tcPr>
          <w:p w:rsidR="00374966" w:rsidRPr="000944D4" w:rsidRDefault="00374966" w:rsidP="00374966">
            <w:pPr>
              <w:tabs>
                <w:tab w:val="left" w:pos="284"/>
              </w:tabs>
              <w:contextualSpacing/>
              <w:jc w:val="both"/>
              <w:rPr>
                <w:rFonts w:ascii="Arial Narrow" w:hAnsi="Arial Narrow"/>
                <w:bCs/>
                <w:sz w:val="16"/>
                <w:szCs w:val="16"/>
              </w:rPr>
            </w:pPr>
            <w:r w:rsidRPr="000944D4">
              <w:rPr>
                <w:rFonts w:ascii="Arial Narrow" w:hAnsi="Arial Narrow"/>
                <w:bCs/>
                <w:sz w:val="16"/>
                <w:szCs w:val="16"/>
              </w:rPr>
              <w:t>Φορείς Κοινωνικής Ασφάλισης</w:t>
            </w:r>
          </w:p>
        </w:tc>
        <w:tc>
          <w:tcPr>
            <w:tcW w:w="1276" w:type="dxa"/>
            <w:tcBorders>
              <w:top w:val="nil"/>
              <w:bottom w:val="single" w:sz="4" w:space="0" w:color="auto"/>
            </w:tcBorders>
            <w:shd w:val="clear" w:color="auto" w:fill="auto"/>
            <w:noWrap/>
            <w:vAlign w:val="bottom"/>
            <w:hideMark/>
          </w:tcPr>
          <w:p w:rsidR="00374966" w:rsidRPr="000944D4" w:rsidRDefault="00374966" w:rsidP="000944D4">
            <w:pPr>
              <w:tabs>
                <w:tab w:val="decimal" w:pos="601"/>
              </w:tabs>
              <w:contextualSpacing/>
              <w:jc w:val="both"/>
              <w:rPr>
                <w:rFonts w:ascii="Arial Narrow" w:hAnsi="Arial Narrow"/>
                <w:bCs/>
                <w:sz w:val="16"/>
                <w:szCs w:val="16"/>
              </w:rPr>
            </w:pPr>
            <w:r w:rsidRPr="000944D4">
              <w:rPr>
                <w:rFonts w:ascii="Arial Narrow" w:hAnsi="Arial Narrow"/>
                <w:bCs/>
                <w:sz w:val="16"/>
                <w:szCs w:val="16"/>
              </w:rPr>
              <w:t>0</w:t>
            </w:r>
          </w:p>
        </w:tc>
        <w:tc>
          <w:tcPr>
            <w:tcW w:w="1134" w:type="dxa"/>
            <w:tcBorders>
              <w:top w:val="nil"/>
              <w:bottom w:val="single" w:sz="4" w:space="0" w:color="auto"/>
            </w:tcBorders>
            <w:shd w:val="clear" w:color="auto" w:fill="auto"/>
            <w:noWrap/>
            <w:vAlign w:val="bottom"/>
            <w:hideMark/>
          </w:tcPr>
          <w:p w:rsidR="00374966" w:rsidRPr="000944D4" w:rsidRDefault="00374966" w:rsidP="000944D4">
            <w:pPr>
              <w:tabs>
                <w:tab w:val="decimal" w:pos="601"/>
              </w:tabs>
              <w:contextualSpacing/>
              <w:jc w:val="both"/>
              <w:rPr>
                <w:rFonts w:ascii="Arial Narrow" w:hAnsi="Arial Narrow"/>
                <w:bCs/>
                <w:sz w:val="16"/>
                <w:szCs w:val="16"/>
              </w:rPr>
            </w:pPr>
            <w:r w:rsidRPr="000944D4">
              <w:rPr>
                <w:rFonts w:ascii="Arial Narrow" w:hAnsi="Arial Narrow"/>
                <w:bCs/>
                <w:sz w:val="16"/>
                <w:szCs w:val="16"/>
              </w:rPr>
              <w:t>0</w:t>
            </w:r>
          </w:p>
        </w:tc>
        <w:tc>
          <w:tcPr>
            <w:tcW w:w="1134" w:type="dxa"/>
            <w:tcBorders>
              <w:top w:val="nil"/>
              <w:bottom w:val="single" w:sz="4" w:space="0" w:color="auto"/>
              <w:right w:val="single" w:sz="4" w:space="0" w:color="auto"/>
            </w:tcBorders>
            <w:shd w:val="clear" w:color="auto" w:fill="auto"/>
            <w:noWrap/>
            <w:vAlign w:val="bottom"/>
            <w:hideMark/>
          </w:tcPr>
          <w:p w:rsidR="00374966" w:rsidRPr="000944D4" w:rsidRDefault="00374966" w:rsidP="000944D4">
            <w:pPr>
              <w:tabs>
                <w:tab w:val="decimal" w:pos="601"/>
              </w:tabs>
              <w:contextualSpacing/>
              <w:jc w:val="both"/>
              <w:rPr>
                <w:rFonts w:ascii="Arial Narrow" w:hAnsi="Arial Narrow"/>
                <w:bCs/>
                <w:sz w:val="16"/>
                <w:szCs w:val="16"/>
              </w:rPr>
            </w:pPr>
            <w:r w:rsidRPr="000944D4">
              <w:rPr>
                <w:rFonts w:ascii="Arial Narrow" w:hAnsi="Arial Narrow"/>
                <w:bCs/>
                <w:sz w:val="16"/>
                <w:szCs w:val="16"/>
              </w:rPr>
              <w:t>0</w:t>
            </w:r>
          </w:p>
        </w:tc>
      </w:tr>
      <w:tr w:rsidR="00374966" w:rsidRPr="000944D4" w:rsidTr="00A729F7">
        <w:trPr>
          <w:trHeight w:val="227"/>
          <w:jc w:val="center"/>
        </w:trPr>
        <w:tc>
          <w:tcPr>
            <w:tcW w:w="8094" w:type="dxa"/>
            <w:gridSpan w:val="4"/>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374966" w:rsidRPr="000944D4" w:rsidRDefault="00374966" w:rsidP="000944D4">
            <w:pPr>
              <w:tabs>
                <w:tab w:val="decimal" w:pos="601"/>
              </w:tabs>
              <w:contextualSpacing/>
              <w:jc w:val="both"/>
              <w:rPr>
                <w:rFonts w:ascii="Arial Narrow" w:hAnsi="Arial Narrow"/>
                <w:bCs/>
                <w:i/>
                <w:iCs/>
                <w:sz w:val="16"/>
                <w:szCs w:val="16"/>
              </w:rPr>
            </w:pPr>
            <w:r w:rsidRPr="000944D4">
              <w:rPr>
                <w:rFonts w:ascii="Arial Narrow" w:hAnsi="Arial Narrow"/>
                <w:bCs/>
                <w:i/>
                <w:iCs/>
                <w:sz w:val="16"/>
                <w:szCs w:val="16"/>
              </w:rPr>
              <w:t>ως % του ΑΕΠ</w:t>
            </w:r>
          </w:p>
        </w:tc>
      </w:tr>
      <w:tr w:rsidR="00374966" w:rsidRPr="000944D4" w:rsidTr="00A729F7">
        <w:trPr>
          <w:trHeight w:val="227"/>
          <w:jc w:val="center"/>
        </w:trPr>
        <w:tc>
          <w:tcPr>
            <w:tcW w:w="4550" w:type="dxa"/>
            <w:tcBorders>
              <w:top w:val="single" w:sz="4" w:space="0" w:color="auto"/>
              <w:left w:val="single" w:sz="4" w:space="0" w:color="auto"/>
            </w:tcBorders>
            <w:shd w:val="clear" w:color="auto" w:fill="auto"/>
            <w:noWrap/>
            <w:vAlign w:val="bottom"/>
            <w:hideMark/>
          </w:tcPr>
          <w:p w:rsidR="00374966" w:rsidRPr="000944D4" w:rsidRDefault="00374966" w:rsidP="00374966">
            <w:pPr>
              <w:tabs>
                <w:tab w:val="left" w:pos="284"/>
              </w:tabs>
              <w:contextualSpacing/>
              <w:jc w:val="both"/>
              <w:rPr>
                <w:rFonts w:ascii="Arial Narrow" w:hAnsi="Arial Narrow"/>
                <w:bCs/>
                <w:sz w:val="16"/>
                <w:szCs w:val="16"/>
              </w:rPr>
            </w:pPr>
            <w:r w:rsidRPr="000944D4">
              <w:rPr>
                <w:rFonts w:ascii="Arial Narrow" w:hAnsi="Arial Narrow"/>
                <w:bCs/>
                <w:sz w:val="16"/>
                <w:szCs w:val="16"/>
              </w:rPr>
              <w:t>Γενική κυβέρνηση</w:t>
            </w:r>
          </w:p>
        </w:tc>
        <w:tc>
          <w:tcPr>
            <w:tcW w:w="1276" w:type="dxa"/>
            <w:tcBorders>
              <w:top w:val="single" w:sz="4" w:space="0" w:color="auto"/>
            </w:tcBorders>
            <w:shd w:val="clear" w:color="auto" w:fill="auto"/>
            <w:noWrap/>
            <w:vAlign w:val="bottom"/>
            <w:hideMark/>
          </w:tcPr>
          <w:p w:rsidR="00374966" w:rsidRPr="000944D4" w:rsidRDefault="00374966" w:rsidP="000944D4">
            <w:pPr>
              <w:tabs>
                <w:tab w:val="decimal" w:pos="601"/>
              </w:tabs>
              <w:contextualSpacing/>
              <w:jc w:val="both"/>
              <w:rPr>
                <w:rFonts w:ascii="Arial Narrow" w:hAnsi="Arial Narrow"/>
                <w:bCs/>
                <w:sz w:val="16"/>
                <w:szCs w:val="16"/>
              </w:rPr>
            </w:pPr>
            <w:r w:rsidRPr="000944D4">
              <w:rPr>
                <w:rFonts w:ascii="Arial Narrow" w:hAnsi="Arial Narrow"/>
                <w:bCs/>
                <w:sz w:val="16"/>
                <w:szCs w:val="16"/>
              </w:rPr>
              <w:t>0,13</w:t>
            </w:r>
          </w:p>
        </w:tc>
        <w:tc>
          <w:tcPr>
            <w:tcW w:w="1134" w:type="dxa"/>
            <w:tcBorders>
              <w:top w:val="single" w:sz="4" w:space="0" w:color="auto"/>
            </w:tcBorders>
            <w:shd w:val="clear" w:color="auto" w:fill="auto"/>
            <w:noWrap/>
            <w:vAlign w:val="bottom"/>
            <w:hideMark/>
          </w:tcPr>
          <w:p w:rsidR="00374966" w:rsidRPr="000944D4" w:rsidRDefault="00374966" w:rsidP="000944D4">
            <w:pPr>
              <w:tabs>
                <w:tab w:val="decimal" w:pos="601"/>
              </w:tabs>
              <w:contextualSpacing/>
              <w:jc w:val="both"/>
              <w:rPr>
                <w:rFonts w:ascii="Arial Narrow" w:hAnsi="Arial Narrow"/>
                <w:bCs/>
                <w:sz w:val="16"/>
                <w:szCs w:val="16"/>
              </w:rPr>
            </w:pPr>
            <w:r w:rsidRPr="000944D4">
              <w:rPr>
                <w:rFonts w:ascii="Arial Narrow" w:hAnsi="Arial Narrow"/>
                <w:bCs/>
                <w:sz w:val="16"/>
                <w:szCs w:val="16"/>
              </w:rPr>
              <w:t>0,13</w:t>
            </w:r>
          </w:p>
        </w:tc>
        <w:tc>
          <w:tcPr>
            <w:tcW w:w="1134" w:type="dxa"/>
            <w:tcBorders>
              <w:top w:val="single" w:sz="4" w:space="0" w:color="auto"/>
              <w:right w:val="single" w:sz="4" w:space="0" w:color="auto"/>
            </w:tcBorders>
            <w:shd w:val="clear" w:color="auto" w:fill="auto"/>
            <w:noWrap/>
            <w:vAlign w:val="bottom"/>
            <w:hideMark/>
          </w:tcPr>
          <w:p w:rsidR="00374966" w:rsidRPr="000944D4" w:rsidRDefault="00374966" w:rsidP="000944D4">
            <w:pPr>
              <w:tabs>
                <w:tab w:val="decimal" w:pos="601"/>
              </w:tabs>
              <w:contextualSpacing/>
              <w:jc w:val="both"/>
              <w:rPr>
                <w:rFonts w:ascii="Arial Narrow" w:hAnsi="Arial Narrow"/>
                <w:bCs/>
                <w:sz w:val="16"/>
                <w:szCs w:val="16"/>
              </w:rPr>
            </w:pPr>
            <w:r w:rsidRPr="000944D4">
              <w:rPr>
                <w:rFonts w:ascii="Arial Narrow" w:hAnsi="Arial Narrow"/>
                <w:bCs/>
                <w:sz w:val="16"/>
                <w:szCs w:val="16"/>
              </w:rPr>
              <w:t>0,15</w:t>
            </w:r>
          </w:p>
        </w:tc>
      </w:tr>
      <w:tr w:rsidR="00374966" w:rsidRPr="000944D4" w:rsidTr="00A729F7">
        <w:trPr>
          <w:trHeight w:val="227"/>
          <w:jc w:val="center"/>
        </w:trPr>
        <w:tc>
          <w:tcPr>
            <w:tcW w:w="4550" w:type="dxa"/>
            <w:tcBorders>
              <w:top w:val="nil"/>
              <w:left w:val="single" w:sz="4" w:space="0" w:color="auto"/>
            </w:tcBorders>
            <w:shd w:val="clear" w:color="auto" w:fill="auto"/>
            <w:noWrap/>
            <w:vAlign w:val="bottom"/>
            <w:hideMark/>
          </w:tcPr>
          <w:p w:rsidR="00374966" w:rsidRPr="000944D4" w:rsidRDefault="00374966" w:rsidP="00374966">
            <w:pPr>
              <w:tabs>
                <w:tab w:val="left" w:pos="284"/>
              </w:tabs>
              <w:contextualSpacing/>
              <w:jc w:val="both"/>
              <w:rPr>
                <w:rFonts w:ascii="Arial Narrow" w:hAnsi="Arial Narrow"/>
                <w:bCs/>
                <w:sz w:val="16"/>
                <w:szCs w:val="16"/>
              </w:rPr>
            </w:pPr>
            <w:r w:rsidRPr="000944D4">
              <w:rPr>
                <w:rFonts w:ascii="Arial Narrow" w:hAnsi="Arial Narrow"/>
                <w:bCs/>
                <w:sz w:val="16"/>
                <w:szCs w:val="16"/>
              </w:rPr>
              <w:t>Κεντρική Κυβέρνηση</w:t>
            </w:r>
          </w:p>
        </w:tc>
        <w:tc>
          <w:tcPr>
            <w:tcW w:w="1276" w:type="dxa"/>
            <w:tcBorders>
              <w:top w:val="nil"/>
            </w:tcBorders>
            <w:shd w:val="clear" w:color="auto" w:fill="auto"/>
            <w:noWrap/>
            <w:vAlign w:val="bottom"/>
            <w:hideMark/>
          </w:tcPr>
          <w:p w:rsidR="00374966" w:rsidRPr="000944D4" w:rsidRDefault="00374966" w:rsidP="000944D4">
            <w:pPr>
              <w:tabs>
                <w:tab w:val="decimal" w:pos="601"/>
              </w:tabs>
              <w:contextualSpacing/>
              <w:jc w:val="both"/>
              <w:rPr>
                <w:rFonts w:ascii="Arial Narrow" w:hAnsi="Arial Narrow"/>
                <w:bCs/>
                <w:sz w:val="16"/>
                <w:szCs w:val="16"/>
              </w:rPr>
            </w:pPr>
            <w:r w:rsidRPr="000944D4">
              <w:rPr>
                <w:rFonts w:ascii="Arial Narrow" w:hAnsi="Arial Narrow"/>
                <w:bCs/>
                <w:sz w:val="16"/>
                <w:szCs w:val="16"/>
              </w:rPr>
              <w:t>0,13</w:t>
            </w:r>
          </w:p>
        </w:tc>
        <w:tc>
          <w:tcPr>
            <w:tcW w:w="1134" w:type="dxa"/>
            <w:tcBorders>
              <w:top w:val="nil"/>
            </w:tcBorders>
            <w:shd w:val="clear" w:color="auto" w:fill="auto"/>
            <w:noWrap/>
            <w:vAlign w:val="bottom"/>
            <w:hideMark/>
          </w:tcPr>
          <w:p w:rsidR="00374966" w:rsidRPr="000944D4" w:rsidRDefault="00374966" w:rsidP="000944D4">
            <w:pPr>
              <w:tabs>
                <w:tab w:val="decimal" w:pos="601"/>
              </w:tabs>
              <w:contextualSpacing/>
              <w:jc w:val="both"/>
              <w:rPr>
                <w:rFonts w:ascii="Arial Narrow" w:hAnsi="Arial Narrow"/>
                <w:bCs/>
                <w:sz w:val="16"/>
                <w:szCs w:val="16"/>
              </w:rPr>
            </w:pPr>
            <w:r w:rsidRPr="000944D4">
              <w:rPr>
                <w:rFonts w:ascii="Arial Narrow" w:hAnsi="Arial Narrow"/>
                <w:bCs/>
                <w:sz w:val="16"/>
                <w:szCs w:val="16"/>
              </w:rPr>
              <w:t>0,13</w:t>
            </w:r>
          </w:p>
        </w:tc>
        <w:tc>
          <w:tcPr>
            <w:tcW w:w="1134" w:type="dxa"/>
            <w:tcBorders>
              <w:top w:val="nil"/>
              <w:right w:val="single" w:sz="4" w:space="0" w:color="auto"/>
            </w:tcBorders>
            <w:shd w:val="clear" w:color="auto" w:fill="auto"/>
            <w:noWrap/>
            <w:vAlign w:val="bottom"/>
            <w:hideMark/>
          </w:tcPr>
          <w:p w:rsidR="00374966" w:rsidRPr="000944D4" w:rsidRDefault="00374966" w:rsidP="000944D4">
            <w:pPr>
              <w:tabs>
                <w:tab w:val="decimal" w:pos="601"/>
              </w:tabs>
              <w:contextualSpacing/>
              <w:jc w:val="both"/>
              <w:rPr>
                <w:rFonts w:ascii="Arial Narrow" w:hAnsi="Arial Narrow"/>
                <w:bCs/>
                <w:sz w:val="16"/>
                <w:szCs w:val="16"/>
              </w:rPr>
            </w:pPr>
            <w:r w:rsidRPr="000944D4">
              <w:rPr>
                <w:rFonts w:ascii="Arial Narrow" w:hAnsi="Arial Narrow"/>
                <w:bCs/>
                <w:sz w:val="16"/>
                <w:szCs w:val="16"/>
              </w:rPr>
              <w:t>0,15</w:t>
            </w:r>
          </w:p>
        </w:tc>
      </w:tr>
      <w:tr w:rsidR="00374966" w:rsidRPr="000944D4" w:rsidTr="00A729F7">
        <w:trPr>
          <w:trHeight w:val="227"/>
          <w:jc w:val="center"/>
        </w:trPr>
        <w:tc>
          <w:tcPr>
            <w:tcW w:w="4550" w:type="dxa"/>
            <w:tcBorders>
              <w:top w:val="nil"/>
              <w:left w:val="single" w:sz="4" w:space="0" w:color="auto"/>
            </w:tcBorders>
            <w:shd w:val="clear" w:color="auto" w:fill="auto"/>
            <w:noWrap/>
            <w:vAlign w:val="bottom"/>
            <w:hideMark/>
          </w:tcPr>
          <w:p w:rsidR="00374966" w:rsidRPr="000944D4" w:rsidRDefault="00374966" w:rsidP="00374966">
            <w:pPr>
              <w:tabs>
                <w:tab w:val="left" w:pos="284"/>
              </w:tabs>
              <w:contextualSpacing/>
              <w:jc w:val="both"/>
              <w:rPr>
                <w:rFonts w:ascii="Arial Narrow" w:hAnsi="Arial Narrow"/>
                <w:bCs/>
                <w:sz w:val="16"/>
                <w:szCs w:val="16"/>
              </w:rPr>
            </w:pPr>
            <w:r w:rsidRPr="000944D4">
              <w:rPr>
                <w:rFonts w:ascii="Arial Narrow" w:hAnsi="Arial Narrow"/>
                <w:bCs/>
                <w:sz w:val="16"/>
                <w:szCs w:val="16"/>
              </w:rPr>
              <w:t>Τοπική Αυτοδιοίκηση</w:t>
            </w:r>
          </w:p>
        </w:tc>
        <w:tc>
          <w:tcPr>
            <w:tcW w:w="1276" w:type="dxa"/>
            <w:tcBorders>
              <w:top w:val="nil"/>
            </w:tcBorders>
            <w:shd w:val="clear" w:color="auto" w:fill="auto"/>
            <w:noWrap/>
            <w:vAlign w:val="bottom"/>
            <w:hideMark/>
          </w:tcPr>
          <w:p w:rsidR="00374966" w:rsidRPr="000944D4" w:rsidRDefault="00374966" w:rsidP="000944D4">
            <w:pPr>
              <w:tabs>
                <w:tab w:val="decimal" w:pos="601"/>
              </w:tabs>
              <w:contextualSpacing/>
              <w:jc w:val="both"/>
              <w:rPr>
                <w:rFonts w:ascii="Arial Narrow" w:hAnsi="Arial Narrow"/>
                <w:bCs/>
                <w:sz w:val="16"/>
                <w:szCs w:val="16"/>
              </w:rPr>
            </w:pPr>
            <w:r w:rsidRPr="000944D4">
              <w:rPr>
                <w:rFonts w:ascii="Arial Narrow" w:hAnsi="Arial Narrow"/>
                <w:bCs/>
                <w:sz w:val="16"/>
                <w:szCs w:val="16"/>
              </w:rPr>
              <w:t>0</w:t>
            </w:r>
          </w:p>
        </w:tc>
        <w:tc>
          <w:tcPr>
            <w:tcW w:w="1134" w:type="dxa"/>
            <w:tcBorders>
              <w:top w:val="nil"/>
            </w:tcBorders>
            <w:shd w:val="clear" w:color="auto" w:fill="auto"/>
            <w:noWrap/>
            <w:vAlign w:val="bottom"/>
            <w:hideMark/>
          </w:tcPr>
          <w:p w:rsidR="00374966" w:rsidRPr="000944D4" w:rsidRDefault="00374966" w:rsidP="000944D4">
            <w:pPr>
              <w:tabs>
                <w:tab w:val="decimal" w:pos="601"/>
              </w:tabs>
              <w:contextualSpacing/>
              <w:jc w:val="both"/>
              <w:rPr>
                <w:rFonts w:ascii="Arial Narrow" w:hAnsi="Arial Narrow"/>
                <w:bCs/>
                <w:sz w:val="16"/>
                <w:szCs w:val="16"/>
              </w:rPr>
            </w:pPr>
            <w:r w:rsidRPr="000944D4">
              <w:rPr>
                <w:rFonts w:ascii="Arial Narrow" w:hAnsi="Arial Narrow"/>
                <w:bCs/>
                <w:sz w:val="16"/>
                <w:szCs w:val="16"/>
              </w:rPr>
              <w:t>0</w:t>
            </w:r>
          </w:p>
        </w:tc>
        <w:tc>
          <w:tcPr>
            <w:tcW w:w="1134" w:type="dxa"/>
            <w:tcBorders>
              <w:top w:val="nil"/>
              <w:right w:val="single" w:sz="4" w:space="0" w:color="auto"/>
            </w:tcBorders>
            <w:shd w:val="clear" w:color="auto" w:fill="auto"/>
            <w:noWrap/>
            <w:vAlign w:val="bottom"/>
            <w:hideMark/>
          </w:tcPr>
          <w:p w:rsidR="00374966" w:rsidRPr="000944D4" w:rsidRDefault="00374966" w:rsidP="000944D4">
            <w:pPr>
              <w:tabs>
                <w:tab w:val="decimal" w:pos="601"/>
              </w:tabs>
              <w:contextualSpacing/>
              <w:jc w:val="both"/>
              <w:rPr>
                <w:rFonts w:ascii="Arial Narrow" w:hAnsi="Arial Narrow"/>
                <w:bCs/>
                <w:sz w:val="16"/>
                <w:szCs w:val="16"/>
              </w:rPr>
            </w:pPr>
            <w:r w:rsidRPr="000944D4">
              <w:rPr>
                <w:rFonts w:ascii="Arial Narrow" w:hAnsi="Arial Narrow"/>
                <w:bCs/>
                <w:sz w:val="16"/>
                <w:szCs w:val="16"/>
              </w:rPr>
              <w:t>0</w:t>
            </w:r>
          </w:p>
        </w:tc>
      </w:tr>
      <w:tr w:rsidR="00374966" w:rsidRPr="000944D4" w:rsidTr="00A729F7">
        <w:trPr>
          <w:trHeight w:val="227"/>
          <w:jc w:val="center"/>
        </w:trPr>
        <w:tc>
          <w:tcPr>
            <w:tcW w:w="4550" w:type="dxa"/>
            <w:tcBorders>
              <w:top w:val="nil"/>
              <w:left w:val="single" w:sz="4" w:space="0" w:color="auto"/>
              <w:bottom w:val="single" w:sz="4" w:space="0" w:color="auto"/>
            </w:tcBorders>
            <w:shd w:val="clear" w:color="auto" w:fill="auto"/>
            <w:noWrap/>
            <w:vAlign w:val="bottom"/>
            <w:hideMark/>
          </w:tcPr>
          <w:p w:rsidR="00374966" w:rsidRPr="000944D4" w:rsidRDefault="00374966" w:rsidP="00374966">
            <w:pPr>
              <w:tabs>
                <w:tab w:val="left" w:pos="284"/>
              </w:tabs>
              <w:contextualSpacing/>
              <w:jc w:val="both"/>
              <w:rPr>
                <w:rFonts w:ascii="Arial Narrow" w:hAnsi="Arial Narrow"/>
                <w:bCs/>
                <w:sz w:val="16"/>
                <w:szCs w:val="16"/>
              </w:rPr>
            </w:pPr>
            <w:r w:rsidRPr="000944D4">
              <w:rPr>
                <w:rFonts w:ascii="Arial Narrow" w:hAnsi="Arial Narrow"/>
                <w:bCs/>
                <w:sz w:val="16"/>
                <w:szCs w:val="16"/>
              </w:rPr>
              <w:t>Φορείς Κοινωνικής Ασφάλισης</w:t>
            </w:r>
          </w:p>
        </w:tc>
        <w:tc>
          <w:tcPr>
            <w:tcW w:w="1276" w:type="dxa"/>
            <w:tcBorders>
              <w:top w:val="nil"/>
              <w:bottom w:val="single" w:sz="4" w:space="0" w:color="auto"/>
            </w:tcBorders>
            <w:shd w:val="clear" w:color="auto" w:fill="auto"/>
            <w:noWrap/>
            <w:vAlign w:val="bottom"/>
            <w:hideMark/>
          </w:tcPr>
          <w:p w:rsidR="00374966" w:rsidRPr="000944D4" w:rsidRDefault="00374966" w:rsidP="000944D4">
            <w:pPr>
              <w:tabs>
                <w:tab w:val="decimal" w:pos="601"/>
              </w:tabs>
              <w:contextualSpacing/>
              <w:jc w:val="both"/>
              <w:rPr>
                <w:rFonts w:ascii="Arial Narrow" w:hAnsi="Arial Narrow"/>
                <w:bCs/>
                <w:sz w:val="16"/>
                <w:szCs w:val="16"/>
              </w:rPr>
            </w:pPr>
            <w:r w:rsidRPr="000944D4">
              <w:rPr>
                <w:rFonts w:ascii="Arial Narrow" w:hAnsi="Arial Narrow"/>
                <w:bCs/>
                <w:sz w:val="16"/>
                <w:szCs w:val="16"/>
              </w:rPr>
              <w:t>0</w:t>
            </w:r>
          </w:p>
        </w:tc>
        <w:tc>
          <w:tcPr>
            <w:tcW w:w="1134" w:type="dxa"/>
            <w:tcBorders>
              <w:top w:val="nil"/>
              <w:bottom w:val="single" w:sz="4" w:space="0" w:color="auto"/>
            </w:tcBorders>
            <w:shd w:val="clear" w:color="auto" w:fill="auto"/>
            <w:noWrap/>
            <w:vAlign w:val="bottom"/>
            <w:hideMark/>
          </w:tcPr>
          <w:p w:rsidR="00374966" w:rsidRPr="000944D4" w:rsidRDefault="00374966" w:rsidP="000944D4">
            <w:pPr>
              <w:tabs>
                <w:tab w:val="decimal" w:pos="601"/>
              </w:tabs>
              <w:contextualSpacing/>
              <w:jc w:val="both"/>
              <w:rPr>
                <w:rFonts w:ascii="Arial Narrow" w:hAnsi="Arial Narrow"/>
                <w:bCs/>
                <w:sz w:val="16"/>
                <w:szCs w:val="16"/>
              </w:rPr>
            </w:pPr>
            <w:r w:rsidRPr="000944D4">
              <w:rPr>
                <w:rFonts w:ascii="Arial Narrow" w:hAnsi="Arial Narrow"/>
                <w:bCs/>
                <w:sz w:val="16"/>
                <w:szCs w:val="16"/>
              </w:rPr>
              <w:t>0</w:t>
            </w:r>
          </w:p>
        </w:tc>
        <w:tc>
          <w:tcPr>
            <w:tcW w:w="1134" w:type="dxa"/>
            <w:tcBorders>
              <w:top w:val="nil"/>
              <w:bottom w:val="single" w:sz="4" w:space="0" w:color="auto"/>
              <w:right w:val="single" w:sz="4" w:space="0" w:color="auto"/>
            </w:tcBorders>
            <w:shd w:val="clear" w:color="auto" w:fill="auto"/>
            <w:noWrap/>
            <w:vAlign w:val="bottom"/>
            <w:hideMark/>
          </w:tcPr>
          <w:p w:rsidR="00374966" w:rsidRPr="000944D4" w:rsidRDefault="00374966" w:rsidP="000944D4">
            <w:pPr>
              <w:tabs>
                <w:tab w:val="decimal" w:pos="601"/>
              </w:tabs>
              <w:contextualSpacing/>
              <w:jc w:val="both"/>
              <w:rPr>
                <w:rFonts w:ascii="Arial Narrow" w:hAnsi="Arial Narrow"/>
                <w:bCs/>
                <w:sz w:val="16"/>
                <w:szCs w:val="16"/>
              </w:rPr>
            </w:pPr>
            <w:r w:rsidRPr="000944D4">
              <w:rPr>
                <w:rFonts w:ascii="Arial Narrow" w:hAnsi="Arial Narrow"/>
                <w:bCs/>
                <w:sz w:val="16"/>
                <w:szCs w:val="16"/>
              </w:rPr>
              <w:t>0</w:t>
            </w:r>
          </w:p>
        </w:tc>
      </w:tr>
    </w:tbl>
    <w:p w:rsidR="00374966" w:rsidRPr="00A729F7" w:rsidRDefault="00A729F7" w:rsidP="00374966">
      <w:pPr>
        <w:tabs>
          <w:tab w:val="left" w:pos="284"/>
        </w:tabs>
        <w:contextualSpacing/>
        <w:jc w:val="both"/>
        <w:rPr>
          <w:rFonts w:ascii="Arial Narrow" w:hAnsi="Arial Narrow"/>
          <w:bCs/>
          <w:sz w:val="18"/>
          <w:szCs w:val="18"/>
        </w:rPr>
      </w:pPr>
      <w:r>
        <w:rPr>
          <w:rFonts w:ascii="Arial Narrow" w:hAnsi="Arial Narrow"/>
          <w:bCs/>
          <w:sz w:val="18"/>
          <w:szCs w:val="18"/>
        </w:rPr>
        <w:tab/>
        <w:t xml:space="preserve">        </w:t>
      </w:r>
      <w:r w:rsidR="00374966" w:rsidRPr="00A729F7">
        <w:rPr>
          <w:rFonts w:ascii="Arial Narrow" w:hAnsi="Arial Narrow"/>
          <w:bCs/>
          <w:sz w:val="16"/>
          <w:szCs w:val="18"/>
        </w:rPr>
        <w:t xml:space="preserve">Πηγή: </w:t>
      </w:r>
      <w:r w:rsidR="00374966" w:rsidRPr="00A729F7">
        <w:rPr>
          <w:rFonts w:ascii="Arial Narrow" w:hAnsi="Arial Narrow"/>
          <w:bCs/>
          <w:sz w:val="16"/>
          <w:szCs w:val="18"/>
          <w:lang w:val="en-US"/>
        </w:rPr>
        <w:t>Eurostat</w:t>
      </w:r>
    </w:p>
    <w:p w:rsidR="00374966" w:rsidRPr="00374966" w:rsidRDefault="00374966" w:rsidP="00374966">
      <w:pPr>
        <w:tabs>
          <w:tab w:val="left" w:pos="284"/>
        </w:tabs>
        <w:contextualSpacing/>
        <w:jc w:val="both"/>
        <w:rPr>
          <w:bCs/>
          <w:sz w:val="22"/>
          <w:szCs w:val="22"/>
        </w:rPr>
      </w:pPr>
    </w:p>
    <w:p w:rsidR="00374966" w:rsidRDefault="00374966" w:rsidP="00374966">
      <w:pPr>
        <w:tabs>
          <w:tab w:val="left" w:pos="284"/>
        </w:tabs>
        <w:contextualSpacing/>
        <w:jc w:val="both"/>
        <w:rPr>
          <w:bCs/>
          <w:sz w:val="22"/>
          <w:szCs w:val="22"/>
        </w:rPr>
      </w:pPr>
    </w:p>
    <w:p w:rsidR="00374966" w:rsidRPr="00374966" w:rsidRDefault="00374966" w:rsidP="00374966">
      <w:pPr>
        <w:tabs>
          <w:tab w:val="left" w:pos="284"/>
        </w:tabs>
        <w:contextualSpacing/>
        <w:jc w:val="both"/>
        <w:rPr>
          <w:bCs/>
          <w:sz w:val="22"/>
          <w:szCs w:val="22"/>
        </w:rPr>
      </w:pPr>
      <w:r w:rsidRPr="00374966">
        <w:rPr>
          <w:bCs/>
          <w:sz w:val="22"/>
          <w:szCs w:val="22"/>
        </w:rPr>
        <w:t>Τα στοιχεία σχετικά με τις τρεις ανωτέρω κατηγορίες ενδεχόμενων υποχρεώσεων παρατίθενται τόσο για το σύνολο της Γενικής Κυβέρνησης όσο και για κάθε υποτομέα αυτής ξεχωριστά, εφ’ όσον είναι διαθέσιμα. Τα στοιχεία για τις υποχρεώσεις που απορρέουν από εκτός προϋπολογισμού ΣΔΙΤ είναι εκφρασμένα σε όρους προσαρμοσμένης αξίας κεφαλαίου (</w:t>
      </w:r>
      <w:r w:rsidRPr="00374966">
        <w:rPr>
          <w:bCs/>
          <w:sz w:val="22"/>
          <w:szCs w:val="22"/>
          <w:lang w:val="en-US"/>
        </w:rPr>
        <w:t>adjusted</w:t>
      </w:r>
      <w:r w:rsidRPr="00374966">
        <w:rPr>
          <w:bCs/>
          <w:sz w:val="22"/>
          <w:szCs w:val="22"/>
        </w:rPr>
        <w:t xml:space="preserve"> </w:t>
      </w:r>
      <w:r w:rsidRPr="00374966">
        <w:rPr>
          <w:bCs/>
          <w:sz w:val="22"/>
          <w:szCs w:val="22"/>
          <w:lang w:val="en-US"/>
        </w:rPr>
        <w:t>capital</w:t>
      </w:r>
      <w:r w:rsidRPr="00374966">
        <w:rPr>
          <w:bCs/>
          <w:sz w:val="22"/>
          <w:szCs w:val="22"/>
        </w:rPr>
        <w:t xml:space="preserve"> </w:t>
      </w:r>
      <w:r w:rsidRPr="00374966">
        <w:rPr>
          <w:bCs/>
          <w:sz w:val="22"/>
          <w:szCs w:val="22"/>
          <w:lang w:val="en-US"/>
        </w:rPr>
        <w:t>value</w:t>
      </w:r>
      <w:r w:rsidRPr="00374966">
        <w:rPr>
          <w:bCs/>
          <w:sz w:val="22"/>
          <w:szCs w:val="22"/>
        </w:rPr>
        <w:t xml:space="preserve">), </w:t>
      </w:r>
      <w:r>
        <w:rPr>
          <w:bCs/>
          <w:sz w:val="22"/>
          <w:szCs w:val="22"/>
        </w:rPr>
        <w:t>η οποία λαμβάνει υπ’</w:t>
      </w:r>
      <w:r w:rsidRPr="00374966">
        <w:rPr>
          <w:bCs/>
          <w:sz w:val="22"/>
          <w:szCs w:val="22"/>
        </w:rPr>
        <w:t xml:space="preserve"> όψιν την απόσβεση των κεφαλαιουχικών αγαθών και αντανακλά την παρούσα αξία τους κατά την εκάστοτε χρονική στιγμή. Ως εκ τούτου, αντανακλά και τη δυνητική επίδραση στο δημόσιο χρέος σε περίπτωση μετατροπής της ενδεχόμενης υποχρέωσης σε πραγματική. </w:t>
      </w:r>
    </w:p>
    <w:p w:rsidR="00374966" w:rsidRDefault="00374966" w:rsidP="00374966">
      <w:pPr>
        <w:tabs>
          <w:tab w:val="left" w:pos="284"/>
        </w:tabs>
        <w:contextualSpacing/>
        <w:jc w:val="both"/>
        <w:rPr>
          <w:bCs/>
          <w:sz w:val="22"/>
          <w:szCs w:val="22"/>
        </w:rPr>
      </w:pPr>
    </w:p>
    <w:p w:rsidR="00374966" w:rsidRDefault="00374966" w:rsidP="00374966">
      <w:pPr>
        <w:tabs>
          <w:tab w:val="left" w:pos="284"/>
        </w:tabs>
        <w:contextualSpacing/>
        <w:jc w:val="both"/>
        <w:rPr>
          <w:bCs/>
          <w:sz w:val="22"/>
          <w:szCs w:val="22"/>
        </w:rPr>
      </w:pPr>
      <w:r w:rsidRPr="00374966">
        <w:rPr>
          <w:bCs/>
          <w:sz w:val="22"/>
          <w:szCs w:val="22"/>
        </w:rPr>
        <w:t>Τα στοιχεία για το ύψος των μη εξυπηρετούμενων δανείων που έχουν χορηγηθεί από φορείς της Γεν</w:t>
      </w:r>
      <w:r w:rsidRPr="00374966">
        <w:rPr>
          <w:bCs/>
          <w:sz w:val="22"/>
          <w:szCs w:val="22"/>
        </w:rPr>
        <w:t>ι</w:t>
      </w:r>
      <w:r w:rsidRPr="00374966">
        <w:rPr>
          <w:bCs/>
          <w:sz w:val="22"/>
          <w:szCs w:val="22"/>
        </w:rPr>
        <w:t xml:space="preserve">κής Κυβέρνησης </w:t>
      </w:r>
      <w:r w:rsidR="00A6773D">
        <w:rPr>
          <w:bCs/>
          <w:sz w:val="22"/>
          <w:szCs w:val="22"/>
        </w:rPr>
        <w:t>παρουσιάζονται στη συνέχεια</w:t>
      </w:r>
      <w:r w:rsidR="00A6773D" w:rsidRPr="00374966">
        <w:rPr>
          <w:bCs/>
          <w:sz w:val="22"/>
          <w:szCs w:val="22"/>
        </w:rPr>
        <w:t xml:space="preserve"> </w:t>
      </w:r>
      <w:r w:rsidRPr="00374966">
        <w:rPr>
          <w:bCs/>
          <w:sz w:val="22"/>
          <w:szCs w:val="22"/>
        </w:rPr>
        <w:t xml:space="preserve">ενοποιημένα σε επίπεδο Γενικής Κυβέρνησης. </w:t>
      </w:r>
    </w:p>
    <w:p w:rsidR="00A729F7" w:rsidRDefault="00A729F7" w:rsidP="00374966">
      <w:pPr>
        <w:tabs>
          <w:tab w:val="left" w:pos="284"/>
        </w:tabs>
        <w:contextualSpacing/>
        <w:jc w:val="both"/>
        <w:rPr>
          <w:bCs/>
          <w:sz w:val="22"/>
          <w:szCs w:val="22"/>
        </w:rPr>
      </w:pPr>
    </w:p>
    <w:p w:rsidR="00A729F7" w:rsidRDefault="00A729F7" w:rsidP="00374966">
      <w:pPr>
        <w:tabs>
          <w:tab w:val="left" w:pos="284"/>
        </w:tabs>
        <w:contextualSpacing/>
        <w:jc w:val="both"/>
        <w:rPr>
          <w:bCs/>
          <w:sz w:val="22"/>
          <w:szCs w:val="22"/>
        </w:rPr>
      </w:pPr>
    </w:p>
    <w:p w:rsidR="00374966" w:rsidRDefault="00374966" w:rsidP="00374966">
      <w:pPr>
        <w:tabs>
          <w:tab w:val="left" w:pos="284"/>
        </w:tabs>
        <w:contextualSpacing/>
        <w:jc w:val="both"/>
        <w:rPr>
          <w:bCs/>
          <w:sz w:val="22"/>
          <w:szCs w:val="22"/>
        </w:rPr>
      </w:pPr>
    </w:p>
    <w:tbl>
      <w:tblPr>
        <w:tblW w:w="8094" w:type="dxa"/>
        <w:jc w:val="center"/>
        <w:tblLook w:val="04A0"/>
      </w:tblPr>
      <w:tblGrid>
        <w:gridCol w:w="4550"/>
        <w:gridCol w:w="1276"/>
        <w:gridCol w:w="1134"/>
        <w:gridCol w:w="1134"/>
      </w:tblGrid>
      <w:tr w:rsidR="005722AA" w:rsidRPr="000944D4" w:rsidTr="00422D0C">
        <w:trPr>
          <w:trHeight w:val="1035"/>
          <w:jc w:val="center"/>
        </w:trPr>
        <w:tc>
          <w:tcPr>
            <w:tcW w:w="8094" w:type="dxa"/>
            <w:gridSpan w:val="4"/>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rsidR="005722AA" w:rsidRDefault="00655CC9" w:rsidP="005722AA">
            <w:pPr>
              <w:tabs>
                <w:tab w:val="left" w:pos="284"/>
              </w:tabs>
              <w:contextualSpacing/>
              <w:jc w:val="center"/>
              <w:rPr>
                <w:rFonts w:ascii="Arial Narrow" w:hAnsi="Arial Narrow"/>
                <w:b/>
                <w:bCs/>
                <w:color w:val="FFFFFF" w:themeColor="background1"/>
              </w:rPr>
            </w:pPr>
            <w:r>
              <w:rPr>
                <w:rFonts w:ascii="Arial Narrow" w:hAnsi="Arial Narrow"/>
                <w:b/>
                <w:bCs/>
                <w:color w:val="FFFFFF" w:themeColor="background1"/>
              </w:rPr>
              <w:lastRenderedPageBreak/>
              <w:t>Πίνακας 3.34</w:t>
            </w:r>
            <w:r w:rsidR="005722AA" w:rsidRPr="000944D4">
              <w:rPr>
                <w:rFonts w:ascii="Arial Narrow" w:hAnsi="Arial Narrow"/>
                <w:b/>
                <w:bCs/>
                <w:color w:val="FFFFFF" w:themeColor="background1"/>
              </w:rPr>
              <w:t xml:space="preserve">  </w:t>
            </w:r>
            <w:r w:rsidR="005722AA">
              <w:rPr>
                <w:rFonts w:ascii="Arial Narrow" w:hAnsi="Arial Narrow"/>
                <w:b/>
                <w:bCs/>
                <w:color w:val="FFFFFF" w:themeColor="background1"/>
              </w:rPr>
              <w:t>Μη εξυπηρετούμενα δάνεια χορηγηθέντα από φορείς της</w:t>
            </w:r>
          </w:p>
          <w:p w:rsidR="005722AA" w:rsidRPr="000944D4" w:rsidRDefault="005722AA" w:rsidP="005722AA">
            <w:pPr>
              <w:tabs>
                <w:tab w:val="left" w:pos="284"/>
              </w:tabs>
              <w:contextualSpacing/>
              <w:jc w:val="center"/>
              <w:rPr>
                <w:rFonts w:ascii="Arial Narrow" w:hAnsi="Arial Narrow"/>
                <w:b/>
                <w:bCs/>
                <w:color w:val="FFFFFF" w:themeColor="background1"/>
              </w:rPr>
            </w:pPr>
            <w:r w:rsidRPr="00A729F7">
              <w:rPr>
                <w:rFonts w:ascii="Arial Narrow" w:hAnsi="Arial Narrow"/>
                <w:b/>
                <w:bCs/>
                <w:color w:val="FFFFFF" w:themeColor="background1"/>
              </w:rPr>
              <w:t>Γενικής Κυβέρνησης</w:t>
            </w:r>
          </w:p>
        </w:tc>
      </w:tr>
      <w:tr w:rsidR="005722AA" w:rsidRPr="000944D4" w:rsidTr="00422D0C">
        <w:trPr>
          <w:trHeight w:val="227"/>
          <w:jc w:val="center"/>
        </w:trPr>
        <w:tc>
          <w:tcPr>
            <w:tcW w:w="809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2AA" w:rsidRDefault="005722AA" w:rsidP="00422D0C">
            <w:pPr>
              <w:tabs>
                <w:tab w:val="left" w:pos="284"/>
              </w:tabs>
              <w:contextualSpacing/>
              <w:jc w:val="center"/>
              <w:rPr>
                <w:rFonts w:ascii="Arial Narrow" w:hAnsi="Arial Narrow"/>
                <w:b/>
                <w:bCs/>
              </w:rPr>
            </w:pPr>
          </w:p>
        </w:tc>
      </w:tr>
      <w:tr w:rsidR="005722AA" w:rsidRPr="000944D4" w:rsidTr="00422D0C">
        <w:trPr>
          <w:trHeight w:val="227"/>
          <w:jc w:val="center"/>
        </w:trPr>
        <w:tc>
          <w:tcPr>
            <w:tcW w:w="4550" w:type="dxa"/>
            <w:tcBorders>
              <w:top w:val="nil"/>
              <w:left w:val="single" w:sz="4" w:space="0" w:color="auto"/>
              <w:bottom w:val="single" w:sz="4" w:space="0" w:color="auto"/>
              <w:right w:val="single" w:sz="4" w:space="0" w:color="auto"/>
            </w:tcBorders>
            <w:shd w:val="clear" w:color="auto" w:fill="auto"/>
            <w:noWrap/>
            <w:vAlign w:val="bottom"/>
            <w:hideMark/>
          </w:tcPr>
          <w:p w:rsidR="005722AA" w:rsidRPr="000944D4" w:rsidRDefault="005722AA" w:rsidP="00422D0C">
            <w:pPr>
              <w:tabs>
                <w:tab w:val="left" w:pos="284"/>
              </w:tabs>
              <w:contextualSpacing/>
              <w:jc w:val="both"/>
              <w:rPr>
                <w:rFonts w:ascii="Arial Narrow" w:hAnsi="Arial Narrow"/>
                <w:bCs/>
                <w:sz w:val="16"/>
                <w:szCs w:val="16"/>
              </w:rPr>
            </w:pPr>
            <w:r w:rsidRPr="000944D4">
              <w:rPr>
                <w:rFonts w:ascii="Arial Narrow" w:hAnsi="Arial Narrow"/>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722AA" w:rsidRPr="000944D4" w:rsidRDefault="005722AA" w:rsidP="00422D0C">
            <w:pPr>
              <w:tabs>
                <w:tab w:val="left" w:pos="284"/>
              </w:tabs>
              <w:contextualSpacing/>
              <w:jc w:val="center"/>
              <w:rPr>
                <w:rFonts w:ascii="Arial Narrow" w:hAnsi="Arial Narrow"/>
                <w:b/>
                <w:bCs/>
                <w:sz w:val="16"/>
                <w:szCs w:val="16"/>
              </w:rPr>
            </w:pPr>
            <w:r w:rsidRPr="000944D4">
              <w:rPr>
                <w:rFonts w:ascii="Arial Narrow" w:hAnsi="Arial Narrow"/>
                <w:b/>
                <w:bCs/>
                <w:sz w:val="16"/>
                <w:szCs w:val="16"/>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5722AA" w:rsidRPr="000944D4" w:rsidRDefault="005722AA" w:rsidP="00422D0C">
            <w:pPr>
              <w:tabs>
                <w:tab w:val="left" w:pos="284"/>
              </w:tabs>
              <w:contextualSpacing/>
              <w:jc w:val="center"/>
              <w:rPr>
                <w:rFonts w:ascii="Arial Narrow" w:hAnsi="Arial Narrow"/>
                <w:b/>
                <w:bCs/>
                <w:sz w:val="16"/>
                <w:szCs w:val="16"/>
              </w:rPr>
            </w:pPr>
            <w:r w:rsidRPr="000944D4">
              <w:rPr>
                <w:rFonts w:ascii="Arial Narrow" w:hAnsi="Arial Narrow"/>
                <w:b/>
                <w:bCs/>
                <w:sz w:val="16"/>
                <w:szCs w:val="16"/>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5722AA" w:rsidRPr="000944D4" w:rsidRDefault="005722AA" w:rsidP="00422D0C">
            <w:pPr>
              <w:tabs>
                <w:tab w:val="left" w:pos="284"/>
              </w:tabs>
              <w:contextualSpacing/>
              <w:jc w:val="center"/>
              <w:rPr>
                <w:rFonts w:ascii="Arial Narrow" w:hAnsi="Arial Narrow"/>
                <w:b/>
                <w:bCs/>
                <w:sz w:val="16"/>
                <w:szCs w:val="16"/>
              </w:rPr>
            </w:pPr>
            <w:r w:rsidRPr="000944D4">
              <w:rPr>
                <w:rFonts w:ascii="Arial Narrow" w:hAnsi="Arial Narrow"/>
                <w:b/>
                <w:bCs/>
                <w:sz w:val="16"/>
                <w:szCs w:val="16"/>
              </w:rPr>
              <w:t>2018</w:t>
            </w:r>
          </w:p>
        </w:tc>
      </w:tr>
      <w:tr w:rsidR="005722AA" w:rsidRPr="000944D4" w:rsidTr="00422D0C">
        <w:trPr>
          <w:trHeight w:val="227"/>
          <w:jc w:val="center"/>
        </w:trPr>
        <w:tc>
          <w:tcPr>
            <w:tcW w:w="8094" w:type="dxa"/>
            <w:gridSpan w:val="4"/>
            <w:tcBorders>
              <w:left w:val="single" w:sz="4" w:space="0" w:color="auto"/>
              <w:right w:val="single" w:sz="4" w:space="0" w:color="000000"/>
            </w:tcBorders>
            <w:shd w:val="clear" w:color="000000" w:fill="D8D8D8"/>
            <w:noWrap/>
            <w:vAlign w:val="bottom"/>
            <w:hideMark/>
          </w:tcPr>
          <w:p w:rsidR="005722AA" w:rsidRPr="000944D4" w:rsidRDefault="005722AA" w:rsidP="00422D0C">
            <w:pPr>
              <w:contextualSpacing/>
              <w:jc w:val="both"/>
              <w:rPr>
                <w:rFonts w:ascii="Arial Narrow" w:hAnsi="Arial Narrow"/>
                <w:bCs/>
                <w:i/>
                <w:iCs/>
                <w:sz w:val="16"/>
                <w:szCs w:val="16"/>
              </w:rPr>
            </w:pPr>
            <w:r>
              <w:rPr>
                <w:rFonts w:ascii="Arial Narrow" w:hAnsi="Arial Narrow"/>
                <w:bCs/>
                <w:i/>
                <w:iCs/>
                <w:sz w:val="16"/>
                <w:szCs w:val="16"/>
              </w:rPr>
              <w:t>σε εκατ. ευρώ</w:t>
            </w:r>
          </w:p>
        </w:tc>
      </w:tr>
      <w:tr w:rsidR="005722AA" w:rsidRPr="000944D4" w:rsidTr="00422D0C">
        <w:trPr>
          <w:trHeight w:val="227"/>
          <w:jc w:val="center"/>
        </w:trPr>
        <w:tc>
          <w:tcPr>
            <w:tcW w:w="4550" w:type="dxa"/>
            <w:tcBorders>
              <w:top w:val="single" w:sz="4" w:space="0" w:color="auto"/>
              <w:left w:val="single" w:sz="4" w:space="0" w:color="auto"/>
            </w:tcBorders>
            <w:shd w:val="clear" w:color="auto" w:fill="auto"/>
            <w:noWrap/>
            <w:vAlign w:val="bottom"/>
            <w:hideMark/>
          </w:tcPr>
          <w:p w:rsidR="005722AA" w:rsidRPr="000944D4" w:rsidRDefault="005722AA" w:rsidP="00422D0C">
            <w:pPr>
              <w:tabs>
                <w:tab w:val="left" w:pos="284"/>
              </w:tabs>
              <w:contextualSpacing/>
              <w:jc w:val="both"/>
              <w:rPr>
                <w:rFonts w:ascii="Arial Narrow" w:hAnsi="Arial Narrow"/>
                <w:bCs/>
                <w:sz w:val="16"/>
                <w:szCs w:val="16"/>
              </w:rPr>
            </w:pPr>
            <w:r w:rsidRPr="000944D4">
              <w:rPr>
                <w:rFonts w:ascii="Arial Narrow" w:hAnsi="Arial Narrow"/>
                <w:bCs/>
                <w:sz w:val="16"/>
                <w:szCs w:val="16"/>
              </w:rPr>
              <w:t>Γενική κυβέρνηση</w:t>
            </w:r>
          </w:p>
        </w:tc>
        <w:tc>
          <w:tcPr>
            <w:tcW w:w="1276" w:type="dxa"/>
            <w:tcBorders>
              <w:top w:val="single" w:sz="4" w:space="0" w:color="auto"/>
            </w:tcBorders>
            <w:shd w:val="clear" w:color="auto" w:fill="auto"/>
            <w:noWrap/>
            <w:vAlign w:val="bottom"/>
            <w:hideMark/>
          </w:tcPr>
          <w:p w:rsidR="005722AA" w:rsidRPr="00A729F7" w:rsidRDefault="005722AA" w:rsidP="000C7A54">
            <w:pPr>
              <w:tabs>
                <w:tab w:val="decimal" w:pos="666"/>
              </w:tabs>
              <w:contextualSpacing/>
              <w:jc w:val="both"/>
              <w:rPr>
                <w:rFonts w:ascii="Arial Narrow" w:hAnsi="Arial Narrow"/>
                <w:bCs/>
                <w:sz w:val="16"/>
                <w:szCs w:val="16"/>
              </w:rPr>
            </w:pPr>
            <w:r>
              <w:rPr>
                <w:rFonts w:ascii="Arial Narrow" w:hAnsi="Arial Narrow"/>
                <w:bCs/>
                <w:sz w:val="16"/>
                <w:szCs w:val="16"/>
              </w:rPr>
              <w:t>419,0</w:t>
            </w:r>
          </w:p>
        </w:tc>
        <w:tc>
          <w:tcPr>
            <w:tcW w:w="1134" w:type="dxa"/>
            <w:tcBorders>
              <w:top w:val="single" w:sz="4" w:space="0" w:color="auto"/>
            </w:tcBorders>
            <w:shd w:val="clear" w:color="auto" w:fill="auto"/>
            <w:noWrap/>
            <w:vAlign w:val="bottom"/>
            <w:hideMark/>
          </w:tcPr>
          <w:p w:rsidR="005722AA" w:rsidRPr="00A729F7" w:rsidRDefault="005722AA" w:rsidP="000C7A54">
            <w:pPr>
              <w:tabs>
                <w:tab w:val="decimal" w:pos="666"/>
              </w:tabs>
              <w:contextualSpacing/>
              <w:jc w:val="both"/>
              <w:rPr>
                <w:rFonts w:ascii="Arial Narrow" w:hAnsi="Arial Narrow"/>
                <w:bCs/>
                <w:sz w:val="16"/>
                <w:szCs w:val="16"/>
              </w:rPr>
            </w:pPr>
            <w:r>
              <w:rPr>
                <w:rFonts w:ascii="Arial Narrow" w:hAnsi="Arial Narrow"/>
                <w:bCs/>
                <w:sz w:val="16"/>
                <w:szCs w:val="16"/>
              </w:rPr>
              <w:t>549,0</w:t>
            </w:r>
          </w:p>
        </w:tc>
        <w:tc>
          <w:tcPr>
            <w:tcW w:w="1134" w:type="dxa"/>
            <w:tcBorders>
              <w:top w:val="single" w:sz="4" w:space="0" w:color="auto"/>
              <w:right w:val="single" w:sz="4" w:space="0" w:color="auto"/>
            </w:tcBorders>
            <w:shd w:val="clear" w:color="auto" w:fill="auto"/>
            <w:noWrap/>
            <w:vAlign w:val="bottom"/>
            <w:hideMark/>
          </w:tcPr>
          <w:p w:rsidR="005722AA" w:rsidRPr="00A729F7" w:rsidRDefault="005722AA" w:rsidP="000C7A54">
            <w:pPr>
              <w:tabs>
                <w:tab w:val="decimal" w:pos="666"/>
              </w:tabs>
              <w:contextualSpacing/>
              <w:jc w:val="both"/>
              <w:rPr>
                <w:rFonts w:ascii="Arial Narrow" w:hAnsi="Arial Narrow"/>
                <w:bCs/>
                <w:sz w:val="16"/>
                <w:szCs w:val="16"/>
              </w:rPr>
            </w:pPr>
            <w:r>
              <w:rPr>
                <w:rFonts w:ascii="Arial Narrow" w:hAnsi="Arial Narrow"/>
                <w:bCs/>
                <w:sz w:val="16"/>
                <w:szCs w:val="16"/>
              </w:rPr>
              <w:t>471,0</w:t>
            </w:r>
          </w:p>
        </w:tc>
      </w:tr>
      <w:tr w:rsidR="005722AA" w:rsidRPr="000944D4" w:rsidTr="00422D0C">
        <w:trPr>
          <w:trHeight w:val="227"/>
          <w:jc w:val="center"/>
        </w:trPr>
        <w:tc>
          <w:tcPr>
            <w:tcW w:w="4550" w:type="dxa"/>
            <w:tcBorders>
              <w:top w:val="nil"/>
              <w:left w:val="single" w:sz="4" w:space="0" w:color="auto"/>
            </w:tcBorders>
            <w:shd w:val="clear" w:color="auto" w:fill="auto"/>
            <w:noWrap/>
            <w:vAlign w:val="bottom"/>
            <w:hideMark/>
          </w:tcPr>
          <w:p w:rsidR="005722AA" w:rsidRPr="000944D4" w:rsidRDefault="005722AA" w:rsidP="00422D0C">
            <w:pPr>
              <w:tabs>
                <w:tab w:val="left" w:pos="284"/>
              </w:tabs>
              <w:contextualSpacing/>
              <w:jc w:val="both"/>
              <w:rPr>
                <w:rFonts w:ascii="Arial Narrow" w:hAnsi="Arial Narrow"/>
                <w:bCs/>
                <w:sz w:val="16"/>
                <w:szCs w:val="16"/>
              </w:rPr>
            </w:pPr>
            <w:r w:rsidRPr="000944D4">
              <w:rPr>
                <w:rFonts w:ascii="Arial Narrow" w:hAnsi="Arial Narrow"/>
                <w:bCs/>
                <w:sz w:val="16"/>
                <w:szCs w:val="16"/>
              </w:rPr>
              <w:t>Κεντρική Κυβέρνηση</w:t>
            </w:r>
          </w:p>
        </w:tc>
        <w:tc>
          <w:tcPr>
            <w:tcW w:w="1276" w:type="dxa"/>
            <w:tcBorders>
              <w:top w:val="nil"/>
            </w:tcBorders>
            <w:shd w:val="clear" w:color="auto" w:fill="auto"/>
            <w:noWrap/>
            <w:vAlign w:val="bottom"/>
            <w:hideMark/>
          </w:tcPr>
          <w:p w:rsidR="005722AA" w:rsidRPr="00A729F7" w:rsidRDefault="005722AA" w:rsidP="000C7A54">
            <w:pPr>
              <w:tabs>
                <w:tab w:val="decimal" w:pos="666"/>
              </w:tabs>
              <w:contextualSpacing/>
              <w:jc w:val="both"/>
              <w:rPr>
                <w:rFonts w:ascii="Arial Narrow" w:hAnsi="Arial Narrow"/>
                <w:bCs/>
                <w:sz w:val="16"/>
                <w:szCs w:val="16"/>
              </w:rPr>
            </w:pPr>
            <w:r>
              <w:rPr>
                <w:rFonts w:ascii="Arial Narrow" w:hAnsi="Arial Narrow"/>
                <w:bCs/>
                <w:sz w:val="16"/>
                <w:szCs w:val="16"/>
              </w:rPr>
              <w:t>419,0</w:t>
            </w:r>
          </w:p>
        </w:tc>
        <w:tc>
          <w:tcPr>
            <w:tcW w:w="1134" w:type="dxa"/>
            <w:tcBorders>
              <w:top w:val="nil"/>
            </w:tcBorders>
            <w:shd w:val="clear" w:color="auto" w:fill="auto"/>
            <w:noWrap/>
            <w:vAlign w:val="bottom"/>
            <w:hideMark/>
          </w:tcPr>
          <w:p w:rsidR="005722AA" w:rsidRPr="00A729F7" w:rsidRDefault="005722AA" w:rsidP="000C7A54">
            <w:pPr>
              <w:tabs>
                <w:tab w:val="decimal" w:pos="666"/>
              </w:tabs>
              <w:contextualSpacing/>
              <w:jc w:val="both"/>
              <w:rPr>
                <w:rFonts w:ascii="Arial Narrow" w:hAnsi="Arial Narrow"/>
                <w:bCs/>
                <w:sz w:val="16"/>
                <w:szCs w:val="16"/>
              </w:rPr>
            </w:pPr>
            <w:r>
              <w:rPr>
                <w:rFonts w:ascii="Arial Narrow" w:hAnsi="Arial Narrow"/>
                <w:bCs/>
                <w:sz w:val="16"/>
                <w:szCs w:val="16"/>
              </w:rPr>
              <w:t>549,0</w:t>
            </w:r>
          </w:p>
        </w:tc>
        <w:tc>
          <w:tcPr>
            <w:tcW w:w="1134" w:type="dxa"/>
            <w:tcBorders>
              <w:top w:val="nil"/>
              <w:right w:val="single" w:sz="4" w:space="0" w:color="auto"/>
            </w:tcBorders>
            <w:shd w:val="clear" w:color="auto" w:fill="auto"/>
            <w:noWrap/>
            <w:vAlign w:val="bottom"/>
            <w:hideMark/>
          </w:tcPr>
          <w:p w:rsidR="005722AA" w:rsidRPr="00A729F7" w:rsidRDefault="005722AA" w:rsidP="000C7A54">
            <w:pPr>
              <w:tabs>
                <w:tab w:val="decimal" w:pos="666"/>
              </w:tabs>
              <w:contextualSpacing/>
              <w:jc w:val="both"/>
              <w:rPr>
                <w:rFonts w:ascii="Arial Narrow" w:hAnsi="Arial Narrow"/>
                <w:bCs/>
                <w:sz w:val="16"/>
                <w:szCs w:val="16"/>
              </w:rPr>
            </w:pPr>
            <w:r>
              <w:rPr>
                <w:rFonts w:ascii="Arial Narrow" w:hAnsi="Arial Narrow"/>
                <w:bCs/>
                <w:sz w:val="16"/>
                <w:szCs w:val="16"/>
              </w:rPr>
              <w:t>471,0</w:t>
            </w:r>
          </w:p>
        </w:tc>
      </w:tr>
      <w:tr w:rsidR="005722AA" w:rsidRPr="000944D4" w:rsidTr="00422D0C">
        <w:trPr>
          <w:trHeight w:val="227"/>
          <w:jc w:val="center"/>
        </w:trPr>
        <w:tc>
          <w:tcPr>
            <w:tcW w:w="4550" w:type="dxa"/>
            <w:tcBorders>
              <w:top w:val="nil"/>
              <w:left w:val="single" w:sz="4" w:space="0" w:color="auto"/>
            </w:tcBorders>
            <w:shd w:val="clear" w:color="auto" w:fill="auto"/>
            <w:noWrap/>
            <w:vAlign w:val="bottom"/>
            <w:hideMark/>
          </w:tcPr>
          <w:p w:rsidR="005722AA" w:rsidRPr="000944D4" w:rsidRDefault="005722AA" w:rsidP="00422D0C">
            <w:pPr>
              <w:tabs>
                <w:tab w:val="left" w:pos="284"/>
              </w:tabs>
              <w:contextualSpacing/>
              <w:jc w:val="both"/>
              <w:rPr>
                <w:rFonts w:ascii="Arial Narrow" w:hAnsi="Arial Narrow"/>
                <w:bCs/>
                <w:sz w:val="16"/>
                <w:szCs w:val="16"/>
              </w:rPr>
            </w:pPr>
            <w:r w:rsidRPr="000944D4">
              <w:rPr>
                <w:rFonts w:ascii="Arial Narrow" w:hAnsi="Arial Narrow"/>
                <w:bCs/>
                <w:sz w:val="16"/>
                <w:szCs w:val="16"/>
              </w:rPr>
              <w:t>Τοπική Αυτοδιοίκηση</w:t>
            </w:r>
          </w:p>
        </w:tc>
        <w:tc>
          <w:tcPr>
            <w:tcW w:w="1276" w:type="dxa"/>
            <w:tcBorders>
              <w:top w:val="nil"/>
            </w:tcBorders>
            <w:shd w:val="clear" w:color="auto" w:fill="auto"/>
            <w:noWrap/>
            <w:vAlign w:val="bottom"/>
            <w:hideMark/>
          </w:tcPr>
          <w:p w:rsidR="005722AA" w:rsidRPr="00A729F7" w:rsidRDefault="005722AA" w:rsidP="000C7A54">
            <w:pPr>
              <w:tabs>
                <w:tab w:val="decimal" w:pos="666"/>
              </w:tabs>
              <w:contextualSpacing/>
              <w:jc w:val="both"/>
              <w:rPr>
                <w:rFonts w:ascii="Arial Narrow" w:hAnsi="Arial Narrow"/>
                <w:bCs/>
                <w:sz w:val="16"/>
                <w:szCs w:val="16"/>
              </w:rPr>
            </w:pPr>
            <w:r>
              <w:rPr>
                <w:rFonts w:ascii="Arial Narrow" w:hAnsi="Arial Narrow"/>
                <w:bCs/>
                <w:sz w:val="16"/>
                <w:szCs w:val="16"/>
              </w:rPr>
              <w:t>0</w:t>
            </w:r>
          </w:p>
        </w:tc>
        <w:tc>
          <w:tcPr>
            <w:tcW w:w="1134" w:type="dxa"/>
            <w:tcBorders>
              <w:top w:val="nil"/>
            </w:tcBorders>
            <w:shd w:val="clear" w:color="auto" w:fill="auto"/>
            <w:noWrap/>
            <w:vAlign w:val="bottom"/>
            <w:hideMark/>
          </w:tcPr>
          <w:p w:rsidR="005722AA" w:rsidRPr="00A729F7" w:rsidRDefault="005722AA" w:rsidP="000C7A54">
            <w:pPr>
              <w:tabs>
                <w:tab w:val="decimal" w:pos="666"/>
              </w:tabs>
              <w:contextualSpacing/>
              <w:jc w:val="both"/>
              <w:rPr>
                <w:rFonts w:ascii="Arial Narrow" w:hAnsi="Arial Narrow"/>
                <w:bCs/>
                <w:sz w:val="16"/>
                <w:szCs w:val="16"/>
              </w:rPr>
            </w:pPr>
            <w:r>
              <w:rPr>
                <w:rFonts w:ascii="Arial Narrow" w:hAnsi="Arial Narrow"/>
                <w:bCs/>
                <w:sz w:val="16"/>
                <w:szCs w:val="16"/>
              </w:rPr>
              <w:t>0</w:t>
            </w:r>
          </w:p>
        </w:tc>
        <w:tc>
          <w:tcPr>
            <w:tcW w:w="1134" w:type="dxa"/>
            <w:tcBorders>
              <w:top w:val="nil"/>
              <w:right w:val="single" w:sz="4" w:space="0" w:color="auto"/>
            </w:tcBorders>
            <w:shd w:val="clear" w:color="auto" w:fill="auto"/>
            <w:noWrap/>
            <w:vAlign w:val="bottom"/>
            <w:hideMark/>
          </w:tcPr>
          <w:p w:rsidR="005722AA" w:rsidRPr="00A729F7" w:rsidRDefault="005722AA" w:rsidP="000C7A54">
            <w:pPr>
              <w:tabs>
                <w:tab w:val="decimal" w:pos="666"/>
              </w:tabs>
              <w:contextualSpacing/>
              <w:jc w:val="both"/>
              <w:rPr>
                <w:rFonts w:ascii="Arial Narrow" w:hAnsi="Arial Narrow"/>
                <w:bCs/>
                <w:sz w:val="16"/>
                <w:szCs w:val="16"/>
              </w:rPr>
            </w:pPr>
            <w:r>
              <w:rPr>
                <w:rFonts w:ascii="Arial Narrow" w:hAnsi="Arial Narrow"/>
                <w:bCs/>
                <w:sz w:val="16"/>
                <w:szCs w:val="16"/>
              </w:rPr>
              <w:t>0</w:t>
            </w:r>
          </w:p>
        </w:tc>
      </w:tr>
      <w:tr w:rsidR="005722AA" w:rsidRPr="000944D4" w:rsidTr="00422D0C">
        <w:trPr>
          <w:trHeight w:val="227"/>
          <w:jc w:val="center"/>
        </w:trPr>
        <w:tc>
          <w:tcPr>
            <w:tcW w:w="4550" w:type="dxa"/>
            <w:tcBorders>
              <w:top w:val="nil"/>
              <w:left w:val="single" w:sz="4" w:space="0" w:color="auto"/>
              <w:bottom w:val="single" w:sz="4" w:space="0" w:color="auto"/>
            </w:tcBorders>
            <w:shd w:val="clear" w:color="auto" w:fill="auto"/>
            <w:noWrap/>
            <w:vAlign w:val="bottom"/>
            <w:hideMark/>
          </w:tcPr>
          <w:p w:rsidR="005722AA" w:rsidRPr="000944D4" w:rsidRDefault="005722AA" w:rsidP="00422D0C">
            <w:pPr>
              <w:tabs>
                <w:tab w:val="left" w:pos="284"/>
              </w:tabs>
              <w:contextualSpacing/>
              <w:jc w:val="both"/>
              <w:rPr>
                <w:rFonts w:ascii="Arial Narrow" w:hAnsi="Arial Narrow"/>
                <w:bCs/>
                <w:sz w:val="16"/>
                <w:szCs w:val="16"/>
              </w:rPr>
            </w:pPr>
            <w:r w:rsidRPr="000944D4">
              <w:rPr>
                <w:rFonts w:ascii="Arial Narrow" w:hAnsi="Arial Narrow"/>
                <w:bCs/>
                <w:sz w:val="16"/>
                <w:szCs w:val="16"/>
              </w:rPr>
              <w:t>Φορείς Κοινωνικής Ασφάλισης</w:t>
            </w:r>
          </w:p>
        </w:tc>
        <w:tc>
          <w:tcPr>
            <w:tcW w:w="1276" w:type="dxa"/>
            <w:tcBorders>
              <w:top w:val="nil"/>
              <w:bottom w:val="single" w:sz="4" w:space="0" w:color="auto"/>
            </w:tcBorders>
            <w:shd w:val="clear" w:color="auto" w:fill="auto"/>
            <w:noWrap/>
            <w:vAlign w:val="bottom"/>
            <w:hideMark/>
          </w:tcPr>
          <w:p w:rsidR="005722AA" w:rsidRPr="00A729F7" w:rsidRDefault="005722AA" w:rsidP="000C7A54">
            <w:pPr>
              <w:tabs>
                <w:tab w:val="decimal" w:pos="666"/>
              </w:tabs>
              <w:contextualSpacing/>
              <w:jc w:val="both"/>
              <w:rPr>
                <w:rFonts w:ascii="Arial Narrow" w:hAnsi="Arial Narrow"/>
                <w:bCs/>
                <w:sz w:val="16"/>
                <w:szCs w:val="16"/>
              </w:rPr>
            </w:pPr>
          </w:p>
        </w:tc>
        <w:tc>
          <w:tcPr>
            <w:tcW w:w="1134" w:type="dxa"/>
            <w:tcBorders>
              <w:top w:val="nil"/>
              <w:bottom w:val="single" w:sz="4" w:space="0" w:color="auto"/>
            </w:tcBorders>
            <w:shd w:val="clear" w:color="auto" w:fill="auto"/>
            <w:noWrap/>
            <w:vAlign w:val="bottom"/>
            <w:hideMark/>
          </w:tcPr>
          <w:p w:rsidR="005722AA" w:rsidRPr="00A729F7" w:rsidRDefault="005722AA" w:rsidP="000C7A54">
            <w:pPr>
              <w:tabs>
                <w:tab w:val="decimal" w:pos="666"/>
              </w:tabs>
              <w:contextualSpacing/>
              <w:jc w:val="both"/>
              <w:rPr>
                <w:rFonts w:ascii="Arial Narrow" w:hAnsi="Arial Narrow"/>
                <w:bCs/>
                <w:sz w:val="16"/>
                <w:szCs w:val="16"/>
              </w:rPr>
            </w:pPr>
          </w:p>
        </w:tc>
        <w:tc>
          <w:tcPr>
            <w:tcW w:w="1134" w:type="dxa"/>
            <w:tcBorders>
              <w:top w:val="nil"/>
              <w:bottom w:val="single" w:sz="4" w:space="0" w:color="auto"/>
              <w:right w:val="single" w:sz="4" w:space="0" w:color="auto"/>
            </w:tcBorders>
            <w:shd w:val="clear" w:color="auto" w:fill="auto"/>
            <w:noWrap/>
            <w:vAlign w:val="bottom"/>
            <w:hideMark/>
          </w:tcPr>
          <w:p w:rsidR="005722AA" w:rsidRPr="00A729F7" w:rsidRDefault="005722AA" w:rsidP="000C7A54">
            <w:pPr>
              <w:tabs>
                <w:tab w:val="decimal" w:pos="666"/>
              </w:tabs>
              <w:contextualSpacing/>
              <w:jc w:val="both"/>
              <w:rPr>
                <w:rFonts w:ascii="Arial Narrow" w:hAnsi="Arial Narrow"/>
                <w:bCs/>
                <w:sz w:val="16"/>
                <w:szCs w:val="16"/>
              </w:rPr>
            </w:pPr>
          </w:p>
        </w:tc>
      </w:tr>
      <w:tr w:rsidR="005722AA" w:rsidRPr="000944D4" w:rsidTr="00422D0C">
        <w:trPr>
          <w:trHeight w:val="227"/>
          <w:jc w:val="center"/>
        </w:trPr>
        <w:tc>
          <w:tcPr>
            <w:tcW w:w="8094" w:type="dxa"/>
            <w:gridSpan w:val="4"/>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5722AA" w:rsidRPr="000944D4" w:rsidRDefault="005722AA" w:rsidP="00422D0C">
            <w:pPr>
              <w:contextualSpacing/>
              <w:jc w:val="both"/>
              <w:rPr>
                <w:rFonts w:ascii="Arial Narrow" w:hAnsi="Arial Narrow"/>
                <w:bCs/>
                <w:i/>
                <w:iCs/>
                <w:sz w:val="16"/>
                <w:szCs w:val="16"/>
              </w:rPr>
            </w:pPr>
            <w:r>
              <w:rPr>
                <w:rFonts w:ascii="Arial Narrow" w:hAnsi="Arial Narrow"/>
                <w:bCs/>
                <w:i/>
                <w:iCs/>
                <w:sz w:val="16"/>
                <w:szCs w:val="16"/>
              </w:rPr>
              <w:t>ως % του ΑΕΠ</w:t>
            </w:r>
          </w:p>
        </w:tc>
      </w:tr>
      <w:tr w:rsidR="005722AA" w:rsidRPr="000944D4" w:rsidTr="00422D0C">
        <w:trPr>
          <w:trHeight w:val="227"/>
          <w:jc w:val="center"/>
        </w:trPr>
        <w:tc>
          <w:tcPr>
            <w:tcW w:w="4550" w:type="dxa"/>
            <w:tcBorders>
              <w:top w:val="single" w:sz="4" w:space="0" w:color="auto"/>
              <w:left w:val="single" w:sz="4" w:space="0" w:color="auto"/>
            </w:tcBorders>
            <w:shd w:val="clear" w:color="auto" w:fill="auto"/>
            <w:noWrap/>
            <w:vAlign w:val="bottom"/>
            <w:hideMark/>
          </w:tcPr>
          <w:p w:rsidR="005722AA" w:rsidRPr="000944D4" w:rsidRDefault="005722AA" w:rsidP="00422D0C">
            <w:pPr>
              <w:tabs>
                <w:tab w:val="left" w:pos="284"/>
              </w:tabs>
              <w:contextualSpacing/>
              <w:jc w:val="both"/>
              <w:rPr>
                <w:rFonts w:ascii="Arial Narrow" w:hAnsi="Arial Narrow"/>
                <w:bCs/>
                <w:sz w:val="16"/>
                <w:szCs w:val="16"/>
              </w:rPr>
            </w:pPr>
            <w:r w:rsidRPr="000944D4">
              <w:rPr>
                <w:rFonts w:ascii="Arial Narrow" w:hAnsi="Arial Narrow"/>
                <w:bCs/>
                <w:sz w:val="16"/>
                <w:szCs w:val="16"/>
              </w:rPr>
              <w:t>Γενική κυβέρνηση</w:t>
            </w:r>
          </w:p>
        </w:tc>
        <w:tc>
          <w:tcPr>
            <w:tcW w:w="1276" w:type="dxa"/>
            <w:tcBorders>
              <w:top w:val="single" w:sz="4" w:space="0" w:color="auto"/>
            </w:tcBorders>
            <w:shd w:val="clear" w:color="auto" w:fill="auto"/>
            <w:noWrap/>
            <w:vAlign w:val="bottom"/>
            <w:hideMark/>
          </w:tcPr>
          <w:p w:rsidR="005722AA" w:rsidRPr="00A729F7" w:rsidRDefault="005722AA" w:rsidP="000C7A54">
            <w:pPr>
              <w:tabs>
                <w:tab w:val="decimal" w:pos="666"/>
              </w:tabs>
              <w:contextualSpacing/>
              <w:jc w:val="both"/>
              <w:rPr>
                <w:rFonts w:ascii="Arial Narrow" w:hAnsi="Arial Narrow"/>
                <w:bCs/>
                <w:sz w:val="16"/>
                <w:szCs w:val="16"/>
              </w:rPr>
            </w:pPr>
            <w:r>
              <w:rPr>
                <w:rFonts w:ascii="Arial Narrow" w:hAnsi="Arial Narrow"/>
                <w:bCs/>
                <w:sz w:val="16"/>
                <w:szCs w:val="16"/>
              </w:rPr>
              <w:t>0,24</w:t>
            </w:r>
          </w:p>
        </w:tc>
        <w:tc>
          <w:tcPr>
            <w:tcW w:w="1134" w:type="dxa"/>
            <w:tcBorders>
              <w:top w:val="single" w:sz="4" w:space="0" w:color="auto"/>
            </w:tcBorders>
            <w:shd w:val="clear" w:color="auto" w:fill="auto"/>
            <w:noWrap/>
            <w:vAlign w:val="bottom"/>
            <w:hideMark/>
          </w:tcPr>
          <w:p w:rsidR="005722AA" w:rsidRPr="00A729F7" w:rsidRDefault="005722AA" w:rsidP="000C7A54">
            <w:pPr>
              <w:tabs>
                <w:tab w:val="decimal" w:pos="666"/>
              </w:tabs>
              <w:contextualSpacing/>
              <w:jc w:val="both"/>
              <w:rPr>
                <w:rFonts w:ascii="Arial Narrow" w:hAnsi="Arial Narrow"/>
                <w:bCs/>
                <w:sz w:val="16"/>
                <w:szCs w:val="16"/>
              </w:rPr>
            </w:pPr>
            <w:r>
              <w:rPr>
                <w:rFonts w:ascii="Arial Narrow" w:hAnsi="Arial Narrow"/>
                <w:bCs/>
                <w:sz w:val="16"/>
                <w:szCs w:val="16"/>
              </w:rPr>
              <w:t>0,31</w:t>
            </w:r>
          </w:p>
        </w:tc>
        <w:tc>
          <w:tcPr>
            <w:tcW w:w="1134" w:type="dxa"/>
            <w:tcBorders>
              <w:top w:val="single" w:sz="4" w:space="0" w:color="auto"/>
              <w:right w:val="single" w:sz="4" w:space="0" w:color="auto"/>
            </w:tcBorders>
            <w:shd w:val="clear" w:color="auto" w:fill="auto"/>
            <w:noWrap/>
            <w:vAlign w:val="bottom"/>
            <w:hideMark/>
          </w:tcPr>
          <w:p w:rsidR="005722AA" w:rsidRPr="00A729F7" w:rsidRDefault="005722AA" w:rsidP="000C7A54">
            <w:pPr>
              <w:tabs>
                <w:tab w:val="decimal" w:pos="666"/>
              </w:tabs>
              <w:contextualSpacing/>
              <w:jc w:val="both"/>
              <w:rPr>
                <w:rFonts w:ascii="Arial Narrow" w:hAnsi="Arial Narrow"/>
                <w:bCs/>
                <w:sz w:val="16"/>
                <w:szCs w:val="16"/>
              </w:rPr>
            </w:pPr>
            <w:r>
              <w:rPr>
                <w:rFonts w:ascii="Arial Narrow" w:hAnsi="Arial Narrow"/>
                <w:bCs/>
                <w:sz w:val="16"/>
                <w:szCs w:val="16"/>
              </w:rPr>
              <w:t>0,26</w:t>
            </w:r>
          </w:p>
        </w:tc>
      </w:tr>
      <w:tr w:rsidR="005722AA" w:rsidRPr="000944D4" w:rsidTr="00422D0C">
        <w:trPr>
          <w:trHeight w:val="227"/>
          <w:jc w:val="center"/>
        </w:trPr>
        <w:tc>
          <w:tcPr>
            <w:tcW w:w="4550" w:type="dxa"/>
            <w:tcBorders>
              <w:top w:val="nil"/>
              <w:left w:val="single" w:sz="4" w:space="0" w:color="auto"/>
            </w:tcBorders>
            <w:shd w:val="clear" w:color="auto" w:fill="auto"/>
            <w:noWrap/>
            <w:vAlign w:val="bottom"/>
            <w:hideMark/>
          </w:tcPr>
          <w:p w:rsidR="005722AA" w:rsidRPr="000944D4" w:rsidRDefault="005722AA" w:rsidP="00422D0C">
            <w:pPr>
              <w:tabs>
                <w:tab w:val="left" w:pos="284"/>
              </w:tabs>
              <w:contextualSpacing/>
              <w:jc w:val="both"/>
              <w:rPr>
                <w:rFonts w:ascii="Arial Narrow" w:hAnsi="Arial Narrow"/>
                <w:bCs/>
                <w:sz w:val="16"/>
                <w:szCs w:val="16"/>
              </w:rPr>
            </w:pPr>
            <w:r w:rsidRPr="000944D4">
              <w:rPr>
                <w:rFonts w:ascii="Arial Narrow" w:hAnsi="Arial Narrow"/>
                <w:bCs/>
                <w:sz w:val="16"/>
                <w:szCs w:val="16"/>
              </w:rPr>
              <w:t>Κεντρική Κυβέρνηση</w:t>
            </w:r>
          </w:p>
        </w:tc>
        <w:tc>
          <w:tcPr>
            <w:tcW w:w="1276" w:type="dxa"/>
            <w:tcBorders>
              <w:top w:val="nil"/>
            </w:tcBorders>
            <w:shd w:val="clear" w:color="auto" w:fill="auto"/>
            <w:noWrap/>
            <w:vAlign w:val="bottom"/>
            <w:hideMark/>
          </w:tcPr>
          <w:p w:rsidR="005722AA" w:rsidRPr="00A729F7" w:rsidRDefault="005722AA" w:rsidP="000C7A54">
            <w:pPr>
              <w:tabs>
                <w:tab w:val="decimal" w:pos="666"/>
              </w:tabs>
              <w:contextualSpacing/>
              <w:jc w:val="both"/>
              <w:rPr>
                <w:rFonts w:ascii="Arial Narrow" w:hAnsi="Arial Narrow"/>
                <w:bCs/>
                <w:sz w:val="16"/>
                <w:szCs w:val="16"/>
              </w:rPr>
            </w:pPr>
            <w:r>
              <w:rPr>
                <w:rFonts w:ascii="Arial Narrow" w:hAnsi="Arial Narrow"/>
                <w:bCs/>
                <w:sz w:val="16"/>
                <w:szCs w:val="16"/>
              </w:rPr>
              <w:t>0,24</w:t>
            </w:r>
          </w:p>
        </w:tc>
        <w:tc>
          <w:tcPr>
            <w:tcW w:w="1134" w:type="dxa"/>
            <w:tcBorders>
              <w:top w:val="nil"/>
            </w:tcBorders>
            <w:shd w:val="clear" w:color="auto" w:fill="auto"/>
            <w:noWrap/>
            <w:vAlign w:val="bottom"/>
            <w:hideMark/>
          </w:tcPr>
          <w:p w:rsidR="005722AA" w:rsidRPr="00A729F7" w:rsidRDefault="005722AA" w:rsidP="000C7A54">
            <w:pPr>
              <w:tabs>
                <w:tab w:val="decimal" w:pos="666"/>
              </w:tabs>
              <w:contextualSpacing/>
              <w:jc w:val="both"/>
              <w:rPr>
                <w:rFonts w:ascii="Arial Narrow" w:hAnsi="Arial Narrow"/>
                <w:bCs/>
                <w:sz w:val="16"/>
                <w:szCs w:val="16"/>
              </w:rPr>
            </w:pPr>
            <w:r>
              <w:rPr>
                <w:rFonts w:ascii="Arial Narrow" w:hAnsi="Arial Narrow"/>
                <w:bCs/>
                <w:sz w:val="16"/>
                <w:szCs w:val="16"/>
              </w:rPr>
              <w:t>0,31</w:t>
            </w:r>
          </w:p>
        </w:tc>
        <w:tc>
          <w:tcPr>
            <w:tcW w:w="1134" w:type="dxa"/>
            <w:tcBorders>
              <w:top w:val="nil"/>
              <w:right w:val="single" w:sz="4" w:space="0" w:color="auto"/>
            </w:tcBorders>
            <w:shd w:val="clear" w:color="auto" w:fill="auto"/>
            <w:noWrap/>
            <w:vAlign w:val="bottom"/>
            <w:hideMark/>
          </w:tcPr>
          <w:p w:rsidR="005722AA" w:rsidRPr="00A729F7" w:rsidRDefault="005722AA" w:rsidP="000C7A54">
            <w:pPr>
              <w:tabs>
                <w:tab w:val="decimal" w:pos="666"/>
              </w:tabs>
              <w:contextualSpacing/>
              <w:jc w:val="both"/>
              <w:rPr>
                <w:rFonts w:ascii="Arial Narrow" w:hAnsi="Arial Narrow"/>
                <w:bCs/>
                <w:sz w:val="16"/>
                <w:szCs w:val="16"/>
              </w:rPr>
            </w:pPr>
            <w:r>
              <w:rPr>
                <w:rFonts w:ascii="Arial Narrow" w:hAnsi="Arial Narrow"/>
                <w:bCs/>
                <w:sz w:val="16"/>
                <w:szCs w:val="16"/>
              </w:rPr>
              <w:t>0,26</w:t>
            </w:r>
          </w:p>
        </w:tc>
      </w:tr>
      <w:tr w:rsidR="005722AA" w:rsidRPr="000944D4" w:rsidTr="00422D0C">
        <w:trPr>
          <w:trHeight w:val="227"/>
          <w:jc w:val="center"/>
        </w:trPr>
        <w:tc>
          <w:tcPr>
            <w:tcW w:w="4550" w:type="dxa"/>
            <w:tcBorders>
              <w:top w:val="nil"/>
              <w:left w:val="single" w:sz="4" w:space="0" w:color="auto"/>
            </w:tcBorders>
            <w:shd w:val="clear" w:color="auto" w:fill="auto"/>
            <w:noWrap/>
            <w:vAlign w:val="bottom"/>
            <w:hideMark/>
          </w:tcPr>
          <w:p w:rsidR="005722AA" w:rsidRPr="000944D4" w:rsidRDefault="005722AA" w:rsidP="00422D0C">
            <w:pPr>
              <w:tabs>
                <w:tab w:val="left" w:pos="284"/>
              </w:tabs>
              <w:contextualSpacing/>
              <w:jc w:val="both"/>
              <w:rPr>
                <w:rFonts w:ascii="Arial Narrow" w:hAnsi="Arial Narrow"/>
                <w:bCs/>
                <w:sz w:val="16"/>
                <w:szCs w:val="16"/>
              </w:rPr>
            </w:pPr>
            <w:r w:rsidRPr="000944D4">
              <w:rPr>
                <w:rFonts w:ascii="Arial Narrow" w:hAnsi="Arial Narrow"/>
                <w:bCs/>
                <w:sz w:val="16"/>
                <w:szCs w:val="16"/>
              </w:rPr>
              <w:t>Τοπική Αυτοδιοίκηση</w:t>
            </w:r>
          </w:p>
        </w:tc>
        <w:tc>
          <w:tcPr>
            <w:tcW w:w="1276" w:type="dxa"/>
            <w:tcBorders>
              <w:top w:val="nil"/>
            </w:tcBorders>
            <w:shd w:val="clear" w:color="auto" w:fill="auto"/>
            <w:noWrap/>
            <w:vAlign w:val="bottom"/>
            <w:hideMark/>
          </w:tcPr>
          <w:p w:rsidR="005722AA" w:rsidRPr="00A729F7" w:rsidRDefault="005722AA" w:rsidP="000C7A54">
            <w:pPr>
              <w:tabs>
                <w:tab w:val="decimal" w:pos="666"/>
              </w:tabs>
              <w:contextualSpacing/>
              <w:jc w:val="both"/>
              <w:rPr>
                <w:rFonts w:ascii="Arial Narrow" w:hAnsi="Arial Narrow"/>
                <w:bCs/>
                <w:sz w:val="16"/>
                <w:szCs w:val="16"/>
              </w:rPr>
            </w:pPr>
            <w:r>
              <w:rPr>
                <w:rFonts w:ascii="Arial Narrow" w:hAnsi="Arial Narrow"/>
                <w:bCs/>
                <w:sz w:val="16"/>
                <w:szCs w:val="16"/>
              </w:rPr>
              <w:t>0</w:t>
            </w:r>
          </w:p>
        </w:tc>
        <w:tc>
          <w:tcPr>
            <w:tcW w:w="1134" w:type="dxa"/>
            <w:tcBorders>
              <w:top w:val="nil"/>
            </w:tcBorders>
            <w:shd w:val="clear" w:color="auto" w:fill="auto"/>
            <w:noWrap/>
            <w:vAlign w:val="bottom"/>
            <w:hideMark/>
          </w:tcPr>
          <w:p w:rsidR="005722AA" w:rsidRPr="00A729F7" w:rsidRDefault="005722AA" w:rsidP="000C7A54">
            <w:pPr>
              <w:tabs>
                <w:tab w:val="decimal" w:pos="666"/>
              </w:tabs>
              <w:contextualSpacing/>
              <w:jc w:val="both"/>
              <w:rPr>
                <w:rFonts w:ascii="Arial Narrow" w:hAnsi="Arial Narrow"/>
                <w:bCs/>
                <w:sz w:val="16"/>
                <w:szCs w:val="16"/>
              </w:rPr>
            </w:pPr>
            <w:r>
              <w:rPr>
                <w:rFonts w:ascii="Arial Narrow" w:hAnsi="Arial Narrow"/>
                <w:bCs/>
                <w:sz w:val="16"/>
                <w:szCs w:val="16"/>
              </w:rPr>
              <w:t>0</w:t>
            </w:r>
          </w:p>
        </w:tc>
        <w:tc>
          <w:tcPr>
            <w:tcW w:w="1134" w:type="dxa"/>
            <w:tcBorders>
              <w:top w:val="nil"/>
              <w:right w:val="single" w:sz="4" w:space="0" w:color="auto"/>
            </w:tcBorders>
            <w:shd w:val="clear" w:color="auto" w:fill="auto"/>
            <w:noWrap/>
            <w:vAlign w:val="bottom"/>
            <w:hideMark/>
          </w:tcPr>
          <w:p w:rsidR="005722AA" w:rsidRPr="00A729F7" w:rsidRDefault="005722AA" w:rsidP="000C7A54">
            <w:pPr>
              <w:tabs>
                <w:tab w:val="decimal" w:pos="666"/>
              </w:tabs>
              <w:contextualSpacing/>
              <w:jc w:val="both"/>
              <w:rPr>
                <w:rFonts w:ascii="Arial Narrow" w:hAnsi="Arial Narrow"/>
                <w:bCs/>
                <w:sz w:val="16"/>
                <w:szCs w:val="16"/>
              </w:rPr>
            </w:pPr>
            <w:r>
              <w:rPr>
                <w:rFonts w:ascii="Arial Narrow" w:hAnsi="Arial Narrow"/>
                <w:bCs/>
                <w:sz w:val="16"/>
                <w:szCs w:val="16"/>
              </w:rPr>
              <w:t>0</w:t>
            </w:r>
          </w:p>
        </w:tc>
      </w:tr>
      <w:tr w:rsidR="005722AA" w:rsidRPr="000944D4" w:rsidTr="00422D0C">
        <w:trPr>
          <w:trHeight w:val="227"/>
          <w:jc w:val="center"/>
        </w:trPr>
        <w:tc>
          <w:tcPr>
            <w:tcW w:w="4550" w:type="dxa"/>
            <w:tcBorders>
              <w:top w:val="nil"/>
              <w:left w:val="single" w:sz="4" w:space="0" w:color="auto"/>
              <w:bottom w:val="single" w:sz="4" w:space="0" w:color="auto"/>
            </w:tcBorders>
            <w:shd w:val="clear" w:color="auto" w:fill="auto"/>
            <w:noWrap/>
            <w:vAlign w:val="bottom"/>
            <w:hideMark/>
          </w:tcPr>
          <w:p w:rsidR="005722AA" w:rsidRPr="000944D4" w:rsidRDefault="005722AA" w:rsidP="00422D0C">
            <w:pPr>
              <w:tabs>
                <w:tab w:val="left" w:pos="284"/>
              </w:tabs>
              <w:contextualSpacing/>
              <w:jc w:val="both"/>
              <w:rPr>
                <w:rFonts w:ascii="Arial Narrow" w:hAnsi="Arial Narrow"/>
                <w:bCs/>
                <w:sz w:val="16"/>
                <w:szCs w:val="16"/>
              </w:rPr>
            </w:pPr>
            <w:r w:rsidRPr="000944D4">
              <w:rPr>
                <w:rFonts w:ascii="Arial Narrow" w:hAnsi="Arial Narrow"/>
                <w:bCs/>
                <w:sz w:val="16"/>
                <w:szCs w:val="16"/>
              </w:rPr>
              <w:t>Φορείς Κοινωνικής Ασφάλισης</w:t>
            </w:r>
          </w:p>
        </w:tc>
        <w:tc>
          <w:tcPr>
            <w:tcW w:w="1276" w:type="dxa"/>
            <w:tcBorders>
              <w:top w:val="nil"/>
              <w:bottom w:val="single" w:sz="4" w:space="0" w:color="auto"/>
            </w:tcBorders>
            <w:shd w:val="clear" w:color="auto" w:fill="auto"/>
            <w:noWrap/>
            <w:vAlign w:val="bottom"/>
            <w:hideMark/>
          </w:tcPr>
          <w:p w:rsidR="005722AA" w:rsidRPr="00A729F7" w:rsidRDefault="005722AA" w:rsidP="000C7A54">
            <w:pPr>
              <w:tabs>
                <w:tab w:val="decimal" w:pos="666"/>
              </w:tabs>
              <w:contextualSpacing/>
              <w:jc w:val="both"/>
              <w:rPr>
                <w:rFonts w:ascii="Arial Narrow" w:hAnsi="Arial Narrow"/>
                <w:bCs/>
                <w:sz w:val="16"/>
                <w:szCs w:val="16"/>
              </w:rPr>
            </w:pPr>
          </w:p>
        </w:tc>
        <w:tc>
          <w:tcPr>
            <w:tcW w:w="1134" w:type="dxa"/>
            <w:tcBorders>
              <w:top w:val="nil"/>
              <w:bottom w:val="single" w:sz="4" w:space="0" w:color="auto"/>
            </w:tcBorders>
            <w:shd w:val="clear" w:color="auto" w:fill="auto"/>
            <w:noWrap/>
            <w:vAlign w:val="bottom"/>
            <w:hideMark/>
          </w:tcPr>
          <w:p w:rsidR="005722AA" w:rsidRPr="00A729F7" w:rsidRDefault="005722AA" w:rsidP="000C7A54">
            <w:pPr>
              <w:tabs>
                <w:tab w:val="decimal" w:pos="666"/>
              </w:tabs>
              <w:contextualSpacing/>
              <w:jc w:val="both"/>
              <w:rPr>
                <w:rFonts w:ascii="Arial Narrow" w:hAnsi="Arial Narrow"/>
                <w:bCs/>
                <w:sz w:val="16"/>
                <w:szCs w:val="16"/>
              </w:rPr>
            </w:pPr>
          </w:p>
        </w:tc>
        <w:tc>
          <w:tcPr>
            <w:tcW w:w="1134" w:type="dxa"/>
            <w:tcBorders>
              <w:top w:val="nil"/>
              <w:bottom w:val="single" w:sz="4" w:space="0" w:color="auto"/>
              <w:right w:val="single" w:sz="4" w:space="0" w:color="auto"/>
            </w:tcBorders>
            <w:shd w:val="clear" w:color="auto" w:fill="auto"/>
            <w:noWrap/>
            <w:vAlign w:val="bottom"/>
            <w:hideMark/>
          </w:tcPr>
          <w:p w:rsidR="005722AA" w:rsidRPr="00A729F7" w:rsidRDefault="005722AA" w:rsidP="000C7A54">
            <w:pPr>
              <w:tabs>
                <w:tab w:val="decimal" w:pos="666"/>
              </w:tabs>
              <w:contextualSpacing/>
              <w:jc w:val="both"/>
              <w:rPr>
                <w:rFonts w:ascii="Arial Narrow" w:hAnsi="Arial Narrow"/>
                <w:bCs/>
                <w:sz w:val="16"/>
                <w:szCs w:val="16"/>
              </w:rPr>
            </w:pPr>
          </w:p>
        </w:tc>
      </w:tr>
    </w:tbl>
    <w:p w:rsidR="005722AA" w:rsidRDefault="005722AA" w:rsidP="005722AA">
      <w:pPr>
        <w:tabs>
          <w:tab w:val="left" w:pos="284"/>
        </w:tabs>
        <w:contextualSpacing/>
        <w:jc w:val="both"/>
        <w:rPr>
          <w:rFonts w:ascii="Arial Narrow" w:hAnsi="Arial Narrow"/>
          <w:bCs/>
          <w:sz w:val="16"/>
          <w:szCs w:val="18"/>
        </w:rPr>
      </w:pPr>
      <w:r>
        <w:rPr>
          <w:rFonts w:ascii="Arial Narrow" w:hAnsi="Arial Narrow"/>
          <w:bCs/>
          <w:sz w:val="18"/>
          <w:szCs w:val="18"/>
        </w:rPr>
        <w:tab/>
        <w:t xml:space="preserve">   </w:t>
      </w:r>
      <w:r w:rsidR="00E338D3">
        <w:rPr>
          <w:rFonts w:ascii="Arial Narrow" w:hAnsi="Arial Narrow"/>
          <w:bCs/>
          <w:sz w:val="18"/>
          <w:szCs w:val="18"/>
        </w:rPr>
        <w:t xml:space="preserve"> </w:t>
      </w:r>
      <w:r>
        <w:rPr>
          <w:rFonts w:ascii="Arial Narrow" w:hAnsi="Arial Narrow"/>
          <w:bCs/>
          <w:sz w:val="18"/>
          <w:szCs w:val="18"/>
        </w:rPr>
        <w:t xml:space="preserve"> </w:t>
      </w:r>
      <w:r w:rsidRPr="00A729F7">
        <w:rPr>
          <w:rFonts w:ascii="Arial Narrow" w:hAnsi="Arial Narrow"/>
          <w:bCs/>
          <w:sz w:val="16"/>
          <w:szCs w:val="18"/>
        </w:rPr>
        <w:t xml:space="preserve">Πηγή: </w:t>
      </w:r>
      <w:r>
        <w:rPr>
          <w:rFonts w:ascii="Arial Narrow" w:hAnsi="Arial Narrow"/>
          <w:bCs/>
          <w:sz w:val="16"/>
          <w:szCs w:val="18"/>
        </w:rPr>
        <w:t xml:space="preserve">  </w:t>
      </w:r>
      <w:r w:rsidRPr="00A729F7">
        <w:rPr>
          <w:rFonts w:ascii="Arial Narrow" w:hAnsi="Arial Narrow"/>
          <w:bCs/>
          <w:sz w:val="16"/>
          <w:szCs w:val="18"/>
          <w:lang w:val="en-US"/>
        </w:rPr>
        <w:t>Eurostat</w:t>
      </w:r>
      <w:r>
        <w:rPr>
          <w:rFonts w:ascii="Arial Narrow" w:hAnsi="Arial Narrow"/>
          <w:bCs/>
          <w:sz w:val="16"/>
          <w:szCs w:val="18"/>
        </w:rPr>
        <w:t xml:space="preserve">     </w:t>
      </w:r>
    </w:p>
    <w:sectPr w:rsidR="005722AA" w:rsidSect="002E3450">
      <w:headerReference w:type="even" r:id="rId9"/>
      <w:headerReference w:type="default" r:id="rId10"/>
      <w:footerReference w:type="even" r:id="rId11"/>
      <w:footerReference w:type="default" r:id="rId12"/>
      <w:pgSz w:w="11906" w:h="16838" w:code="9"/>
      <w:pgMar w:top="1418" w:right="1247" w:bottom="1418" w:left="1588" w:header="709" w:footer="709" w:gutter="0"/>
      <w:pgNumType w:start="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319" w:rsidRDefault="002B0319">
      <w:r>
        <w:separator/>
      </w:r>
    </w:p>
  </w:endnote>
  <w:endnote w:type="continuationSeparator" w:id="0">
    <w:p w:rsidR="002B0319" w:rsidRDefault="002B0319">
      <w:r>
        <w:continuationSeparator/>
      </w:r>
    </w:p>
  </w:endnote>
  <w:endnote w:type="continuationNotice" w:id="1">
    <w:p w:rsidR="002B0319" w:rsidRDefault="002B031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Arial Greek">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8F6" w:rsidRPr="00D00728" w:rsidRDefault="00260281" w:rsidP="00F85CFF">
    <w:pPr>
      <w:pStyle w:val="a4"/>
      <w:jc w:val="both"/>
      <w:rPr>
        <w:color w:val="333333"/>
      </w:rPr>
    </w:pPr>
    <w:r w:rsidRPr="00715F2C">
      <w:rPr>
        <w:rStyle w:val="a5"/>
        <w:b/>
        <w:sz w:val="28"/>
      </w:rPr>
      <w:fldChar w:fldCharType="begin"/>
    </w:r>
    <w:r w:rsidR="006D58F6" w:rsidRPr="00715F2C">
      <w:rPr>
        <w:rStyle w:val="a5"/>
        <w:b/>
        <w:sz w:val="28"/>
      </w:rPr>
      <w:instrText xml:space="preserve"> PAGE </w:instrText>
    </w:r>
    <w:r w:rsidRPr="00715F2C">
      <w:rPr>
        <w:rStyle w:val="a5"/>
        <w:b/>
        <w:sz w:val="28"/>
      </w:rPr>
      <w:fldChar w:fldCharType="separate"/>
    </w:r>
    <w:r w:rsidR="002E3450">
      <w:rPr>
        <w:rStyle w:val="a5"/>
        <w:b/>
        <w:noProof/>
        <w:sz w:val="28"/>
      </w:rPr>
      <w:t>144</w:t>
    </w:r>
    <w:r w:rsidRPr="00715F2C">
      <w:rPr>
        <w:rStyle w:val="a5"/>
        <w:b/>
        <w:sz w:val="28"/>
      </w:rPr>
      <w:fldChar w:fldCharType="end"/>
    </w:r>
    <w:r w:rsidR="006D58F6">
      <w:rPr>
        <w:rStyle w:val="a5"/>
        <w:b/>
        <w:color w:val="000080"/>
        <w:sz w:val="28"/>
      </w:rPr>
      <w:t xml:space="preserve">  </w:t>
    </w:r>
    <w:r w:rsidR="006D58F6">
      <w:rPr>
        <w:rFonts w:ascii="Arial Narrow" w:hAnsi="Arial Narrow"/>
        <w:color w:val="333333"/>
        <w:sz w:val="22"/>
      </w:rPr>
      <w:t>ΚΡΑΤΙΚΟΣ ΠΡΟΫΠΟΛΟΓΙΣΜΟΣ 2021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8F6" w:rsidRPr="00D40E4A" w:rsidRDefault="006D58F6" w:rsidP="00D40E4A">
    <w:pPr>
      <w:pStyle w:val="a4"/>
      <w:jc w:val="right"/>
      <w:rPr>
        <w:rFonts w:ascii="Arial Narrow" w:hAnsi="Arial Narrow"/>
        <w:sz w:val="22"/>
      </w:rPr>
    </w:pPr>
    <w:r>
      <w:rPr>
        <w:rFonts w:ascii="Arial Narrow" w:hAnsi="Arial Narrow"/>
        <w:color w:val="333333"/>
        <w:sz w:val="22"/>
      </w:rPr>
      <w:t xml:space="preserve">ΚΡΑΤΙΚΟΣ ΠΡΟΫΠΟΛΟΓΙΣΜΟΣ 2021 </w:t>
    </w:r>
    <w:r w:rsidRPr="008857CA">
      <w:rPr>
        <w:rFonts w:ascii="Arial Narrow" w:hAnsi="Arial Narrow"/>
        <w:color w:val="333333"/>
        <w:sz w:val="22"/>
      </w:rPr>
      <w:t xml:space="preserve">  </w:t>
    </w:r>
    <w:r w:rsidR="00260281" w:rsidRPr="00715F2C">
      <w:rPr>
        <w:rStyle w:val="a5"/>
        <w:b/>
        <w:sz w:val="28"/>
      </w:rPr>
      <w:fldChar w:fldCharType="begin"/>
    </w:r>
    <w:r w:rsidRPr="00715F2C">
      <w:rPr>
        <w:rStyle w:val="a5"/>
        <w:b/>
        <w:sz w:val="28"/>
      </w:rPr>
      <w:instrText xml:space="preserve"> PAGE </w:instrText>
    </w:r>
    <w:r w:rsidR="00260281" w:rsidRPr="00715F2C">
      <w:rPr>
        <w:rStyle w:val="a5"/>
        <w:b/>
        <w:sz w:val="28"/>
      </w:rPr>
      <w:fldChar w:fldCharType="separate"/>
    </w:r>
    <w:r w:rsidR="002E3450">
      <w:rPr>
        <w:rStyle w:val="a5"/>
        <w:b/>
        <w:noProof/>
        <w:sz w:val="28"/>
      </w:rPr>
      <w:t>145</w:t>
    </w:r>
    <w:r w:rsidR="00260281" w:rsidRPr="00715F2C">
      <w:rPr>
        <w:rStyle w:val="a5"/>
        <w:b/>
        <w:sz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319" w:rsidRDefault="002B0319">
      <w:r>
        <w:separator/>
      </w:r>
    </w:p>
  </w:footnote>
  <w:footnote w:type="continuationSeparator" w:id="0">
    <w:p w:rsidR="002B0319" w:rsidRDefault="002B0319">
      <w:r>
        <w:continuationSeparator/>
      </w:r>
    </w:p>
  </w:footnote>
  <w:footnote w:type="continuationNotice" w:id="1">
    <w:p w:rsidR="002B0319" w:rsidRDefault="002B0319"/>
  </w:footnote>
  <w:footnote w:id="2">
    <w:p w:rsidR="006D58F6" w:rsidRPr="002B212A" w:rsidRDefault="006D58F6" w:rsidP="00704E78">
      <w:pPr>
        <w:pStyle w:val="af"/>
        <w:tabs>
          <w:tab w:val="left" w:pos="284"/>
        </w:tabs>
        <w:ind w:left="284" w:hanging="284"/>
        <w:rPr>
          <w:rFonts w:ascii="Arial Narrow" w:hAnsi="Arial Narrow"/>
          <w:sz w:val="18"/>
          <w:szCs w:val="18"/>
          <w:lang w:val="en-US"/>
        </w:rPr>
      </w:pPr>
      <w:r w:rsidRPr="002B212A">
        <w:rPr>
          <w:rStyle w:val="af0"/>
          <w:rFonts w:ascii="Arial Narrow" w:hAnsi="Arial Narrow"/>
          <w:sz w:val="18"/>
          <w:szCs w:val="18"/>
        </w:rPr>
        <w:footnoteRef/>
      </w:r>
      <w:r w:rsidRPr="002B212A">
        <w:rPr>
          <w:rFonts w:ascii="Arial Narrow" w:hAnsi="Arial Narrow" w:cstheme="minorHAnsi"/>
          <w:sz w:val="18"/>
          <w:szCs w:val="18"/>
          <w:lang w:val="en-US"/>
        </w:rPr>
        <w:tab/>
      </w:r>
      <w:r w:rsidRPr="002B212A">
        <w:rPr>
          <w:rFonts w:ascii="Arial Narrow" w:hAnsi="Arial Narrow" w:cstheme="minorHAnsi"/>
          <w:sz w:val="18"/>
          <w:szCs w:val="18"/>
        </w:rPr>
        <w:t>Ε</w:t>
      </w:r>
      <w:r w:rsidRPr="002B212A">
        <w:rPr>
          <w:rFonts w:ascii="Arial Narrow" w:hAnsi="Arial Narrow" w:cstheme="minorHAnsi"/>
          <w:sz w:val="18"/>
          <w:szCs w:val="18"/>
          <w:lang w:val="en-US"/>
        </w:rPr>
        <w:t>U Commission, Enhanced Surveillance Report Greece, November 2019,</w:t>
      </w:r>
      <w:r w:rsidRPr="00704E78">
        <w:rPr>
          <w:rFonts w:ascii="Arial Narrow" w:hAnsi="Arial Narrow" w:cstheme="minorHAnsi"/>
          <w:sz w:val="18"/>
          <w:szCs w:val="18"/>
          <w:lang w:val="en-US"/>
        </w:rPr>
        <w:t xml:space="preserve"> </w:t>
      </w:r>
      <w:r w:rsidRPr="002B212A">
        <w:rPr>
          <w:rFonts w:ascii="Arial Narrow" w:hAnsi="Arial Narrow" w:cstheme="minorHAnsi"/>
          <w:sz w:val="18"/>
          <w:szCs w:val="18"/>
          <w:lang w:val="en-US"/>
        </w:rPr>
        <w:t>p. 1-145.</w:t>
      </w:r>
    </w:p>
  </w:footnote>
  <w:footnote w:id="3">
    <w:p w:rsidR="006D58F6" w:rsidRPr="002B212A" w:rsidRDefault="006D58F6" w:rsidP="00704E78">
      <w:pPr>
        <w:tabs>
          <w:tab w:val="left" w:pos="284"/>
        </w:tabs>
        <w:ind w:left="284" w:hanging="284"/>
        <w:jc w:val="both"/>
        <w:rPr>
          <w:rFonts w:ascii="Arial Narrow" w:hAnsi="Arial Narrow" w:cstheme="minorHAnsi"/>
          <w:sz w:val="18"/>
          <w:szCs w:val="18"/>
        </w:rPr>
      </w:pPr>
      <w:r w:rsidRPr="002B212A">
        <w:rPr>
          <w:rFonts w:ascii="Arial Narrow" w:hAnsi="Arial Narrow"/>
          <w:sz w:val="18"/>
          <w:szCs w:val="18"/>
          <w:vertAlign w:val="superscript"/>
        </w:rPr>
        <w:footnoteRef/>
      </w:r>
      <w:r>
        <w:rPr>
          <w:rFonts w:ascii="Arial Narrow" w:hAnsi="Arial Narrow"/>
          <w:sz w:val="18"/>
          <w:szCs w:val="18"/>
        </w:rPr>
        <w:tab/>
      </w:r>
      <w:r w:rsidRPr="002B212A">
        <w:rPr>
          <w:rFonts w:ascii="Arial Narrow" w:hAnsi="Arial Narrow"/>
          <w:sz w:val="18"/>
          <w:szCs w:val="18"/>
        </w:rPr>
        <w:t xml:space="preserve"> </w:t>
      </w:r>
      <w:r w:rsidRPr="002B212A">
        <w:rPr>
          <w:rFonts w:ascii="Arial Narrow" w:hAnsi="Arial Narrow" w:cstheme="minorHAnsi"/>
          <w:sz w:val="18"/>
          <w:szCs w:val="18"/>
        </w:rPr>
        <w:t>Η Επιτροπή συστάθηκε με την υπ’ αριθμ. 138560 ΕΞ 2019/5.12.2019 απόφαση του Γενικού Γραμματέα Δημοσιονομικής Πολιτικής (τ. Υ.Ο.Δ.Δ. 1056).</w:t>
      </w:r>
    </w:p>
  </w:footnote>
  <w:footnote w:id="4">
    <w:p w:rsidR="006D58F6" w:rsidRPr="002B212A" w:rsidRDefault="006D58F6" w:rsidP="00704E78">
      <w:pPr>
        <w:tabs>
          <w:tab w:val="left" w:pos="284"/>
        </w:tabs>
        <w:ind w:left="284" w:hanging="284"/>
        <w:jc w:val="both"/>
        <w:rPr>
          <w:rFonts w:ascii="Arial Narrow" w:hAnsi="Arial Narrow" w:cstheme="minorHAnsi"/>
          <w:sz w:val="18"/>
          <w:szCs w:val="18"/>
        </w:rPr>
      </w:pPr>
      <w:r w:rsidRPr="002B212A">
        <w:rPr>
          <w:rFonts w:ascii="Arial Narrow" w:hAnsi="Arial Narrow"/>
          <w:sz w:val="18"/>
          <w:szCs w:val="18"/>
          <w:vertAlign w:val="superscript"/>
        </w:rPr>
        <w:footnoteRef/>
      </w:r>
      <w:r>
        <w:rPr>
          <w:rFonts w:ascii="Arial Narrow" w:hAnsi="Arial Narrow" w:cstheme="minorHAnsi"/>
          <w:sz w:val="18"/>
          <w:szCs w:val="18"/>
        </w:rPr>
        <w:tab/>
      </w:r>
      <w:r w:rsidRPr="002B212A">
        <w:rPr>
          <w:rFonts w:ascii="Arial Narrow" w:hAnsi="Arial Narrow" w:cstheme="minorHAnsi"/>
          <w:sz w:val="18"/>
          <w:szCs w:val="18"/>
        </w:rPr>
        <w:t>Το ύψος των ληξιπρόθεσμων υποχρεώσεων σε καθαρή (net) βάση προκύπτει ύστερα από την αφαίρεση των υποχρεώσεων που συμψηφίζονται με clawback/rebate</w:t>
      </w:r>
      <w:r>
        <w:rPr>
          <w:rFonts w:ascii="Arial Narrow" w:hAnsi="Arial Narrow" w:cstheme="minorHAnsi"/>
          <w:sz w:val="18"/>
          <w:szCs w:val="18"/>
        </w:rPr>
        <w:t xml:space="preserve">. </w:t>
      </w:r>
      <w:r w:rsidRPr="002B212A">
        <w:rPr>
          <w:rFonts w:ascii="Arial Narrow" w:hAnsi="Arial Narrow" w:cstheme="minorHAnsi"/>
          <w:sz w:val="18"/>
          <w:szCs w:val="18"/>
        </w:rPr>
        <w:t>Εξαιρούνται, επίσης, αιτήσεις επιστροφής φόρων κάτω των ενενήντα (90) ημερών, καθώς και περιπτώσεις που ο δικαιούχος δεν έχει ανταποκριθεί παρά τη σχετική ειδοποίησή του και, τέλος, οι αιτήσεις επικουρικών συντάξεων. Επίσης, έχουν συμφωνηθεί λοιπές προσαρμογές (ιδίως οφειλές υπό δικαστική διαμάχη, κατασχέσεις, πάγιες προκαταβολές), για τις οποίες συλλέγονται μηνιαία στοιχεία από δείγμα φορέων.</w:t>
      </w:r>
    </w:p>
  </w:footnote>
  <w:footnote w:id="5">
    <w:p w:rsidR="006D58F6" w:rsidRPr="002B212A" w:rsidRDefault="006D58F6" w:rsidP="00704E78">
      <w:pPr>
        <w:pStyle w:val="af"/>
        <w:tabs>
          <w:tab w:val="left" w:pos="284"/>
        </w:tabs>
        <w:ind w:left="284" w:hanging="284"/>
        <w:rPr>
          <w:rFonts w:ascii="Arial Narrow" w:hAnsi="Arial Narrow"/>
          <w:sz w:val="18"/>
          <w:szCs w:val="18"/>
        </w:rPr>
      </w:pPr>
      <w:r w:rsidRPr="002B212A">
        <w:rPr>
          <w:rFonts w:ascii="Arial Narrow" w:hAnsi="Arial Narrow"/>
          <w:sz w:val="18"/>
          <w:szCs w:val="18"/>
          <w:vertAlign w:val="superscript"/>
        </w:rPr>
        <w:footnoteRef/>
      </w:r>
      <w:r w:rsidRPr="002B212A">
        <w:rPr>
          <w:rFonts w:ascii="Arial Narrow" w:hAnsi="Arial Narrow"/>
          <w:sz w:val="18"/>
          <w:szCs w:val="18"/>
        </w:rPr>
        <w:t xml:space="preserve"> </w:t>
      </w:r>
      <w:r>
        <w:rPr>
          <w:rFonts w:ascii="Arial Narrow" w:hAnsi="Arial Narrow"/>
          <w:sz w:val="18"/>
          <w:szCs w:val="18"/>
        </w:rPr>
        <w:tab/>
      </w:r>
      <w:r w:rsidRPr="002B212A">
        <w:rPr>
          <w:rFonts w:ascii="Arial Narrow" w:hAnsi="Arial Narrow"/>
          <w:sz w:val="18"/>
          <w:szCs w:val="18"/>
        </w:rPr>
        <w:t xml:space="preserve">Άρθρο 6 ν. 4281/2014 (Α΄ 160), όπως τροποποιήθηκε με το άρθρο 69 του ν. 4714/2020 (Α΄ 148) και υπ’ αριθμ. </w:t>
      </w:r>
      <w:r w:rsidRPr="002B212A">
        <w:rPr>
          <w:rStyle w:val="af8"/>
          <w:rFonts w:ascii="Arial Narrow" w:hAnsi="Arial Narrow" w:cs="Helvetica"/>
          <w:sz w:val="18"/>
          <w:szCs w:val="18"/>
        </w:rPr>
        <w:t>2/31648/</w:t>
      </w:r>
      <w:r w:rsidRPr="002B212A">
        <w:rPr>
          <w:rStyle w:val="af8"/>
          <w:rFonts w:ascii="Arial Narrow" w:hAnsi="Arial Narrow" w:cs="Arial"/>
          <w:sz w:val="18"/>
          <w:szCs w:val="18"/>
        </w:rPr>
        <w:t>ΔΠΓΚ/2020 (Β</w:t>
      </w:r>
      <w:r w:rsidRPr="002B212A">
        <w:rPr>
          <w:rStyle w:val="af8"/>
          <w:rFonts w:ascii="Arial Narrow" w:hAnsi="Arial Narrow" w:cs="Helvetica"/>
          <w:sz w:val="18"/>
          <w:szCs w:val="18"/>
        </w:rPr>
        <w:t>' 3238)</w:t>
      </w:r>
      <w:r w:rsidRPr="002B212A">
        <w:rPr>
          <w:rStyle w:val="af8"/>
          <w:rFonts w:ascii="Arial Narrow" w:hAnsi="Arial Narrow" w:cs="Arial"/>
          <w:sz w:val="18"/>
          <w:szCs w:val="18"/>
        </w:rPr>
        <w:t>, 2/35908/ΔΠΓΚ/2020 (Β’4211) υπουργικές αποφάσεις.</w:t>
      </w:r>
    </w:p>
  </w:footnote>
  <w:footnote w:id="6">
    <w:p w:rsidR="006D58F6" w:rsidRPr="002B212A" w:rsidRDefault="006D58F6" w:rsidP="00704E78">
      <w:pPr>
        <w:pStyle w:val="af"/>
        <w:tabs>
          <w:tab w:val="left" w:pos="284"/>
        </w:tabs>
        <w:ind w:left="284" w:hanging="284"/>
        <w:rPr>
          <w:rFonts w:ascii="Arial Narrow" w:hAnsi="Arial Narrow"/>
          <w:sz w:val="18"/>
          <w:szCs w:val="18"/>
        </w:rPr>
      </w:pPr>
      <w:r w:rsidRPr="002B212A">
        <w:rPr>
          <w:rFonts w:ascii="Arial Narrow" w:hAnsi="Arial Narrow"/>
          <w:sz w:val="18"/>
          <w:szCs w:val="18"/>
          <w:vertAlign w:val="superscript"/>
        </w:rPr>
        <w:footnoteRef/>
      </w:r>
      <w:r w:rsidRPr="002B212A">
        <w:rPr>
          <w:rFonts w:ascii="Arial Narrow" w:hAnsi="Arial Narrow"/>
          <w:sz w:val="18"/>
          <w:szCs w:val="18"/>
          <w:vertAlign w:val="superscript"/>
        </w:rPr>
        <w:t xml:space="preserve"> </w:t>
      </w:r>
      <w:r>
        <w:rPr>
          <w:rFonts w:ascii="Arial Narrow" w:hAnsi="Arial Narrow"/>
          <w:sz w:val="18"/>
          <w:szCs w:val="18"/>
          <w:vertAlign w:val="superscript"/>
        </w:rPr>
        <w:tab/>
      </w:r>
      <w:r w:rsidRPr="002B212A">
        <w:rPr>
          <w:rFonts w:ascii="Arial Narrow" w:hAnsi="Arial Narrow"/>
          <w:sz w:val="18"/>
          <w:szCs w:val="18"/>
        </w:rPr>
        <w:t>Άρθρο 107 ν. 4714/2020 (Α’148) και σχετική αιτιολογική έκθεση.</w:t>
      </w:r>
    </w:p>
  </w:footnote>
  <w:footnote w:id="7">
    <w:p w:rsidR="006D58F6" w:rsidRPr="002B212A" w:rsidRDefault="006D58F6" w:rsidP="00704E78">
      <w:pPr>
        <w:tabs>
          <w:tab w:val="left" w:pos="284"/>
        </w:tabs>
        <w:ind w:left="284" w:hanging="284"/>
        <w:rPr>
          <w:rFonts w:ascii="Arial Narrow" w:hAnsi="Arial Narrow"/>
          <w:sz w:val="18"/>
          <w:szCs w:val="18"/>
        </w:rPr>
      </w:pPr>
      <w:r w:rsidRPr="002B212A">
        <w:rPr>
          <w:rFonts w:ascii="Arial Narrow" w:hAnsi="Arial Narrow"/>
          <w:sz w:val="18"/>
          <w:szCs w:val="18"/>
          <w:vertAlign w:val="superscript"/>
        </w:rPr>
        <w:footnoteRef/>
      </w:r>
      <w:r w:rsidRPr="002B212A">
        <w:rPr>
          <w:rFonts w:ascii="Arial Narrow" w:hAnsi="Arial Narrow"/>
          <w:sz w:val="18"/>
          <w:szCs w:val="18"/>
        </w:rPr>
        <w:t xml:space="preserve"> </w:t>
      </w:r>
      <w:r>
        <w:rPr>
          <w:rFonts w:ascii="Arial Narrow" w:hAnsi="Arial Narrow"/>
          <w:sz w:val="18"/>
          <w:szCs w:val="18"/>
        </w:rPr>
        <w:tab/>
      </w:r>
      <w:r w:rsidRPr="002B212A">
        <w:rPr>
          <w:rFonts w:ascii="Arial Narrow" w:hAnsi="Arial Narrow"/>
          <w:sz w:val="18"/>
          <w:szCs w:val="18"/>
        </w:rPr>
        <w:t>Άρθρο 118 ν. 4714/2020(Α΄148) και την Κ.Υ.Α. υπ’ αριθμ. οικ. 32518/10263/10.8.2020 (Β΄ 3484) των Υπουργών Εργασίας &amp; Κοιν</w:t>
      </w:r>
      <w:r w:rsidRPr="002B212A">
        <w:rPr>
          <w:rFonts w:ascii="Arial Narrow" w:hAnsi="Arial Narrow"/>
          <w:sz w:val="18"/>
          <w:szCs w:val="18"/>
        </w:rPr>
        <w:t>ω</w:t>
      </w:r>
      <w:r w:rsidRPr="002B212A">
        <w:rPr>
          <w:rFonts w:ascii="Arial Narrow" w:hAnsi="Arial Narrow"/>
          <w:sz w:val="18"/>
          <w:szCs w:val="18"/>
        </w:rPr>
        <w:t>νικών Υποθέσεων και Επικρατείας, καθώς και Κ.Υ.Α. υπ’ αριθμ. οικ. 32377/1796/7.8.2020 (Β΄ 3520) των Υπουργών Οικονομικών και Εργασίας &amp; Κοινωνικών Υποθέσεων.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8F6" w:rsidRPr="00D40E4A" w:rsidRDefault="006D58F6" w:rsidP="00D40E4A">
    <w:pPr>
      <w:pStyle w:val="a3"/>
      <w:jc w:val="both"/>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Pr>
        <w:rFonts w:ascii="Arial Narrow" w:hAnsi="Arial Narrow"/>
        <w:b/>
        <w:color w:val="808080"/>
        <w:sz w:val="22"/>
      </w:rPr>
      <w:t>ΚΕΦΑΛΑΙΟ 3</w:t>
    </w:r>
    <w:r w:rsidRPr="00D40E4A">
      <w:rPr>
        <w:rFonts w:ascii="Arial Narrow" w:hAnsi="Arial Narrow"/>
        <w:b/>
        <w:color w:val="808080"/>
        <w:sz w:val="22"/>
      </w:rPr>
      <w:t xml:space="preserve">   </w:t>
    </w:r>
  </w:p>
  <w:p w:rsidR="006D58F6" w:rsidRDefault="006D58F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8F6" w:rsidRPr="00D40E4A" w:rsidRDefault="006D58F6" w:rsidP="00D40E4A">
    <w:pPr>
      <w:pStyle w:val="a3"/>
      <w:jc w:val="right"/>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Pr>
        <w:rFonts w:ascii="Arial Narrow" w:hAnsi="Arial Narrow"/>
        <w:b/>
        <w:color w:val="808080"/>
        <w:sz w:val="22"/>
      </w:rPr>
      <w:t>ΚΕΦΑΛΑΙΟ 3</w:t>
    </w:r>
    <w:r w:rsidRPr="00D40E4A">
      <w:rPr>
        <w:rFonts w:ascii="Arial Narrow" w:hAnsi="Arial Narrow"/>
        <w:b/>
        <w:color w:val="808080"/>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28A"/>
    <w:multiLevelType w:val="hybridMultilevel"/>
    <w:tmpl w:val="11F8A8A6"/>
    <w:lvl w:ilvl="0" w:tplc="DA5A451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1C00AF"/>
    <w:multiLevelType w:val="hybridMultilevel"/>
    <w:tmpl w:val="377CEE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876576"/>
    <w:multiLevelType w:val="hybridMultilevel"/>
    <w:tmpl w:val="30DA88B6"/>
    <w:lvl w:ilvl="0" w:tplc="101A2FE4">
      <w:start w:val="1"/>
      <w:numFmt w:val="decimal"/>
      <w:lvlText w:val="%1"/>
      <w:lvlJc w:val="left"/>
      <w:pPr>
        <w:ind w:left="644" w:hanging="360"/>
      </w:pPr>
      <w:rPr>
        <w:rFonts w:hint="default"/>
        <w:vertAlign w:val="baseline"/>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nsid w:val="09B93F0D"/>
    <w:multiLevelType w:val="hybridMultilevel"/>
    <w:tmpl w:val="7B0613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F17676"/>
    <w:multiLevelType w:val="hybridMultilevel"/>
    <w:tmpl w:val="B16E38C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F932DA3"/>
    <w:multiLevelType w:val="hybridMultilevel"/>
    <w:tmpl w:val="DF94CC4E"/>
    <w:lvl w:ilvl="0" w:tplc="04080001">
      <w:start w:val="1"/>
      <w:numFmt w:val="bullet"/>
      <w:lvlText w:val=""/>
      <w:lvlJc w:val="left"/>
      <w:pPr>
        <w:ind w:left="723" w:hanging="360"/>
      </w:pPr>
      <w:rPr>
        <w:rFonts w:ascii="Symbol" w:hAnsi="Symbol" w:hint="default"/>
      </w:rPr>
    </w:lvl>
    <w:lvl w:ilvl="1" w:tplc="04080003" w:tentative="1">
      <w:start w:val="1"/>
      <w:numFmt w:val="bullet"/>
      <w:lvlText w:val="o"/>
      <w:lvlJc w:val="left"/>
      <w:pPr>
        <w:ind w:left="1443" w:hanging="360"/>
      </w:pPr>
      <w:rPr>
        <w:rFonts w:ascii="Courier New" w:hAnsi="Courier New" w:cs="Courier New" w:hint="default"/>
      </w:rPr>
    </w:lvl>
    <w:lvl w:ilvl="2" w:tplc="04080005" w:tentative="1">
      <w:start w:val="1"/>
      <w:numFmt w:val="bullet"/>
      <w:lvlText w:val=""/>
      <w:lvlJc w:val="left"/>
      <w:pPr>
        <w:ind w:left="2163" w:hanging="360"/>
      </w:pPr>
      <w:rPr>
        <w:rFonts w:ascii="Wingdings" w:hAnsi="Wingdings" w:hint="default"/>
      </w:rPr>
    </w:lvl>
    <w:lvl w:ilvl="3" w:tplc="04080001" w:tentative="1">
      <w:start w:val="1"/>
      <w:numFmt w:val="bullet"/>
      <w:lvlText w:val=""/>
      <w:lvlJc w:val="left"/>
      <w:pPr>
        <w:ind w:left="2883" w:hanging="360"/>
      </w:pPr>
      <w:rPr>
        <w:rFonts w:ascii="Symbol" w:hAnsi="Symbol" w:hint="default"/>
      </w:rPr>
    </w:lvl>
    <w:lvl w:ilvl="4" w:tplc="04080003" w:tentative="1">
      <w:start w:val="1"/>
      <w:numFmt w:val="bullet"/>
      <w:lvlText w:val="o"/>
      <w:lvlJc w:val="left"/>
      <w:pPr>
        <w:ind w:left="3603" w:hanging="360"/>
      </w:pPr>
      <w:rPr>
        <w:rFonts w:ascii="Courier New" w:hAnsi="Courier New" w:cs="Courier New" w:hint="default"/>
      </w:rPr>
    </w:lvl>
    <w:lvl w:ilvl="5" w:tplc="04080005" w:tentative="1">
      <w:start w:val="1"/>
      <w:numFmt w:val="bullet"/>
      <w:lvlText w:val=""/>
      <w:lvlJc w:val="left"/>
      <w:pPr>
        <w:ind w:left="4323" w:hanging="360"/>
      </w:pPr>
      <w:rPr>
        <w:rFonts w:ascii="Wingdings" w:hAnsi="Wingdings" w:hint="default"/>
      </w:rPr>
    </w:lvl>
    <w:lvl w:ilvl="6" w:tplc="04080001" w:tentative="1">
      <w:start w:val="1"/>
      <w:numFmt w:val="bullet"/>
      <w:lvlText w:val=""/>
      <w:lvlJc w:val="left"/>
      <w:pPr>
        <w:ind w:left="5043" w:hanging="360"/>
      </w:pPr>
      <w:rPr>
        <w:rFonts w:ascii="Symbol" w:hAnsi="Symbol" w:hint="default"/>
      </w:rPr>
    </w:lvl>
    <w:lvl w:ilvl="7" w:tplc="04080003" w:tentative="1">
      <w:start w:val="1"/>
      <w:numFmt w:val="bullet"/>
      <w:lvlText w:val="o"/>
      <w:lvlJc w:val="left"/>
      <w:pPr>
        <w:ind w:left="5763" w:hanging="360"/>
      </w:pPr>
      <w:rPr>
        <w:rFonts w:ascii="Courier New" w:hAnsi="Courier New" w:cs="Courier New" w:hint="default"/>
      </w:rPr>
    </w:lvl>
    <w:lvl w:ilvl="8" w:tplc="04080005" w:tentative="1">
      <w:start w:val="1"/>
      <w:numFmt w:val="bullet"/>
      <w:lvlText w:val=""/>
      <w:lvlJc w:val="left"/>
      <w:pPr>
        <w:ind w:left="6483" w:hanging="360"/>
      </w:pPr>
      <w:rPr>
        <w:rFonts w:ascii="Wingdings" w:hAnsi="Wingdings" w:hint="default"/>
      </w:rPr>
    </w:lvl>
  </w:abstractNum>
  <w:abstractNum w:abstractNumId="6">
    <w:nsid w:val="13FD091D"/>
    <w:multiLevelType w:val="hybridMultilevel"/>
    <w:tmpl w:val="BDDC2FFC"/>
    <w:lvl w:ilvl="0" w:tplc="04080001">
      <w:start w:val="1"/>
      <w:numFmt w:val="bullet"/>
      <w:lvlText w:val=""/>
      <w:lvlJc w:val="left"/>
      <w:pPr>
        <w:ind w:left="782" w:hanging="360"/>
      </w:pPr>
      <w:rPr>
        <w:rFonts w:ascii="Symbol" w:hAnsi="Symbol" w:hint="default"/>
      </w:rPr>
    </w:lvl>
    <w:lvl w:ilvl="1" w:tplc="04080003" w:tentative="1">
      <w:start w:val="1"/>
      <w:numFmt w:val="bullet"/>
      <w:lvlText w:val="o"/>
      <w:lvlJc w:val="left"/>
      <w:pPr>
        <w:ind w:left="1502" w:hanging="360"/>
      </w:pPr>
      <w:rPr>
        <w:rFonts w:ascii="Courier New" w:hAnsi="Courier New" w:cs="Courier New" w:hint="default"/>
      </w:rPr>
    </w:lvl>
    <w:lvl w:ilvl="2" w:tplc="04080005" w:tentative="1">
      <w:start w:val="1"/>
      <w:numFmt w:val="bullet"/>
      <w:lvlText w:val=""/>
      <w:lvlJc w:val="left"/>
      <w:pPr>
        <w:ind w:left="2222" w:hanging="360"/>
      </w:pPr>
      <w:rPr>
        <w:rFonts w:ascii="Wingdings" w:hAnsi="Wingdings" w:hint="default"/>
      </w:rPr>
    </w:lvl>
    <w:lvl w:ilvl="3" w:tplc="04080001" w:tentative="1">
      <w:start w:val="1"/>
      <w:numFmt w:val="bullet"/>
      <w:lvlText w:val=""/>
      <w:lvlJc w:val="left"/>
      <w:pPr>
        <w:ind w:left="2942" w:hanging="360"/>
      </w:pPr>
      <w:rPr>
        <w:rFonts w:ascii="Symbol" w:hAnsi="Symbol" w:hint="default"/>
      </w:rPr>
    </w:lvl>
    <w:lvl w:ilvl="4" w:tplc="04080003" w:tentative="1">
      <w:start w:val="1"/>
      <w:numFmt w:val="bullet"/>
      <w:lvlText w:val="o"/>
      <w:lvlJc w:val="left"/>
      <w:pPr>
        <w:ind w:left="3662" w:hanging="360"/>
      </w:pPr>
      <w:rPr>
        <w:rFonts w:ascii="Courier New" w:hAnsi="Courier New" w:cs="Courier New" w:hint="default"/>
      </w:rPr>
    </w:lvl>
    <w:lvl w:ilvl="5" w:tplc="04080005" w:tentative="1">
      <w:start w:val="1"/>
      <w:numFmt w:val="bullet"/>
      <w:lvlText w:val=""/>
      <w:lvlJc w:val="left"/>
      <w:pPr>
        <w:ind w:left="4382" w:hanging="360"/>
      </w:pPr>
      <w:rPr>
        <w:rFonts w:ascii="Wingdings" w:hAnsi="Wingdings" w:hint="default"/>
      </w:rPr>
    </w:lvl>
    <w:lvl w:ilvl="6" w:tplc="04080001" w:tentative="1">
      <w:start w:val="1"/>
      <w:numFmt w:val="bullet"/>
      <w:lvlText w:val=""/>
      <w:lvlJc w:val="left"/>
      <w:pPr>
        <w:ind w:left="5102" w:hanging="360"/>
      </w:pPr>
      <w:rPr>
        <w:rFonts w:ascii="Symbol" w:hAnsi="Symbol" w:hint="default"/>
      </w:rPr>
    </w:lvl>
    <w:lvl w:ilvl="7" w:tplc="04080003" w:tentative="1">
      <w:start w:val="1"/>
      <w:numFmt w:val="bullet"/>
      <w:lvlText w:val="o"/>
      <w:lvlJc w:val="left"/>
      <w:pPr>
        <w:ind w:left="5822" w:hanging="360"/>
      </w:pPr>
      <w:rPr>
        <w:rFonts w:ascii="Courier New" w:hAnsi="Courier New" w:cs="Courier New" w:hint="default"/>
      </w:rPr>
    </w:lvl>
    <w:lvl w:ilvl="8" w:tplc="04080005" w:tentative="1">
      <w:start w:val="1"/>
      <w:numFmt w:val="bullet"/>
      <w:lvlText w:val=""/>
      <w:lvlJc w:val="left"/>
      <w:pPr>
        <w:ind w:left="6542" w:hanging="360"/>
      </w:pPr>
      <w:rPr>
        <w:rFonts w:ascii="Wingdings" w:hAnsi="Wingdings" w:hint="default"/>
      </w:rPr>
    </w:lvl>
  </w:abstractNum>
  <w:abstractNum w:abstractNumId="7">
    <w:nsid w:val="18A64718"/>
    <w:multiLevelType w:val="hybridMultilevel"/>
    <w:tmpl w:val="735E4D64"/>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8">
    <w:nsid w:val="1A0F685B"/>
    <w:multiLevelType w:val="hybridMultilevel"/>
    <w:tmpl w:val="4D26208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9">
    <w:nsid w:val="1FB47B48"/>
    <w:multiLevelType w:val="hybridMultilevel"/>
    <w:tmpl w:val="A8AA324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0">
    <w:nsid w:val="217C40E0"/>
    <w:multiLevelType w:val="hybridMultilevel"/>
    <w:tmpl w:val="481A6984"/>
    <w:lvl w:ilvl="0" w:tplc="D07CE20A">
      <w:start w:val="2"/>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3B926D3"/>
    <w:multiLevelType w:val="hybridMultilevel"/>
    <w:tmpl w:val="58681058"/>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12">
    <w:nsid w:val="24087BFB"/>
    <w:multiLevelType w:val="hybridMultilevel"/>
    <w:tmpl w:val="74CC10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7D26E31"/>
    <w:multiLevelType w:val="hybridMultilevel"/>
    <w:tmpl w:val="56B267F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2EEB3177"/>
    <w:multiLevelType w:val="hybridMultilevel"/>
    <w:tmpl w:val="A490D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325F42"/>
    <w:multiLevelType w:val="hybridMultilevel"/>
    <w:tmpl w:val="1B70E186"/>
    <w:lvl w:ilvl="0" w:tplc="8EA82FF4">
      <w:start w:val="1"/>
      <w:numFmt w:val="decimal"/>
      <w:lvlText w:val="%1"/>
      <w:lvlJc w:val="left"/>
      <w:pPr>
        <w:ind w:left="1073" w:hanging="360"/>
      </w:pPr>
      <w:rPr>
        <w:rFonts w:cs="Times New Roman" w:hint="default"/>
        <w:vertAlign w:val="superscript"/>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6">
    <w:nsid w:val="353314F3"/>
    <w:multiLevelType w:val="multilevel"/>
    <w:tmpl w:val="D2C8CD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645252"/>
    <w:multiLevelType w:val="hybridMultilevel"/>
    <w:tmpl w:val="AA10B3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9C9148A"/>
    <w:multiLevelType w:val="hybridMultilevel"/>
    <w:tmpl w:val="55E0E4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D551A28"/>
    <w:multiLevelType w:val="multilevel"/>
    <w:tmpl w:val="34A2B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24A53A7"/>
    <w:multiLevelType w:val="hybridMultilevel"/>
    <w:tmpl w:val="8766F45E"/>
    <w:lvl w:ilvl="0" w:tplc="1864268E">
      <w:numFmt w:val="bullet"/>
      <w:lvlText w:val="-"/>
      <w:lvlJc w:val="left"/>
      <w:pPr>
        <w:ind w:left="720" w:hanging="360"/>
      </w:pPr>
      <w:rPr>
        <w:rFonts w:ascii="Arial" w:eastAsia="Times New Roman" w:hAnsi="Arial" w:cs="Aria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4FE0F58"/>
    <w:multiLevelType w:val="hybridMultilevel"/>
    <w:tmpl w:val="CFE632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67F3B10"/>
    <w:multiLevelType w:val="hybridMultilevel"/>
    <w:tmpl w:val="F2FA12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B247961"/>
    <w:multiLevelType w:val="hybridMultilevel"/>
    <w:tmpl w:val="A19A1F08"/>
    <w:lvl w:ilvl="0" w:tplc="0D724474">
      <w:start w:val="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24">
    <w:nsid w:val="4B2B0159"/>
    <w:multiLevelType w:val="hybridMultilevel"/>
    <w:tmpl w:val="E2D47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FEA79FC"/>
    <w:multiLevelType w:val="hybridMultilevel"/>
    <w:tmpl w:val="1CDA4B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7D67EB0"/>
    <w:multiLevelType w:val="multilevel"/>
    <w:tmpl w:val="334C543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59236582"/>
    <w:multiLevelType w:val="hybridMultilevel"/>
    <w:tmpl w:val="07AC9DD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8">
    <w:nsid w:val="5C951134"/>
    <w:multiLevelType w:val="hybridMultilevel"/>
    <w:tmpl w:val="3FBEE00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nsid w:val="5D1F36F8"/>
    <w:multiLevelType w:val="hybridMultilevel"/>
    <w:tmpl w:val="32368B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F767F03"/>
    <w:multiLevelType w:val="hybridMultilevel"/>
    <w:tmpl w:val="DCAE9A9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19C56EE"/>
    <w:multiLevelType w:val="hybridMultilevel"/>
    <w:tmpl w:val="7FC05A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9830C53"/>
    <w:multiLevelType w:val="hybridMultilevel"/>
    <w:tmpl w:val="C9DCBB8E"/>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6A9C421B"/>
    <w:multiLevelType w:val="hybridMultilevel"/>
    <w:tmpl w:val="3034AB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AF46304"/>
    <w:multiLevelType w:val="hybridMultilevel"/>
    <w:tmpl w:val="A880D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C5C58FB"/>
    <w:multiLevelType w:val="hybridMultilevel"/>
    <w:tmpl w:val="A4DE616A"/>
    <w:lvl w:ilvl="0" w:tplc="D39EE250">
      <w:start w:val="1"/>
      <w:numFmt w:val="bullet"/>
      <w:lvlText w:val=""/>
      <w:lvlJc w:val="left"/>
      <w:pPr>
        <w:ind w:left="720" w:hanging="360"/>
      </w:pPr>
      <w:rPr>
        <w:rFonts w:ascii="Symbol" w:eastAsia="Calibri" w:hAnsi="Symbol"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6">
    <w:nsid w:val="6F4E45FF"/>
    <w:multiLevelType w:val="hybridMultilevel"/>
    <w:tmpl w:val="FD2C2B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1E112B1"/>
    <w:multiLevelType w:val="multilevel"/>
    <w:tmpl w:val="9C0E4694"/>
    <w:lvl w:ilvl="0">
      <w:start w:val="1"/>
      <w:numFmt w:val="bullet"/>
      <w:lvlText w:val=""/>
      <w:lvlJc w:val="left"/>
      <w:pPr>
        <w:tabs>
          <w:tab w:val="num" w:pos="0"/>
        </w:tabs>
        <w:ind w:left="363" w:hanging="360"/>
      </w:pPr>
      <w:rPr>
        <w:rFonts w:ascii="Wingdings" w:hAnsi="Wingdings" w:cs="Wingdings" w:hint="default"/>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38">
    <w:nsid w:val="72796290"/>
    <w:multiLevelType w:val="hybridMultilevel"/>
    <w:tmpl w:val="0FAA7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4216A73"/>
    <w:multiLevelType w:val="hybridMultilevel"/>
    <w:tmpl w:val="27EAC8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7734FEA"/>
    <w:multiLevelType w:val="hybridMultilevel"/>
    <w:tmpl w:val="F8CE88D8"/>
    <w:lvl w:ilvl="0" w:tplc="1864268E">
      <w:numFmt w:val="bullet"/>
      <w:lvlText w:val="-"/>
      <w:lvlJc w:val="left"/>
      <w:pPr>
        <w:ind w:left="360" w:hanging="360"/>
      </w:pPr>
      <w:rPr>
        <w:rFonts w:ascii="Arial" w:eastAsia="Times New Roman" w:hAnsi="Arial" w:cs="Arial" w:hint="default"/>
        <w:sz w:val="24"/>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nsid w:val="7B54260C"/>
    <w:multiLevelType w:val="hybridMultilevel"/>
    <w:tmpl w:val="9B661EC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CD00323"/>
    <w:multiLevelType w:val="hybridMultilevel"/>
    <w:tmpl w:val="057CC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E3B74D1"/>
    <w:multiLevelType w:val="hybridMultilevel"/>
    <w:tmpl w:val="1354CCEE"/>
    <w:lvl w:ilvl="0" w:tplc="A5AC56D2">
      <w:start w:val="1"/>
      <w:numFmt w:val="decimal"/>
      <w:lvlText w:val="(%1)"/>
      <w:lvlJc w:val="left"/>
      <w:pPr>
        <w:ind w:left="1428" w:hanging="435"/>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num w:numId="1">
    <w:abstractNumId w:val="38"/>
  </w:num>
  <w:num w:numId="2">
    <w:abstractNumId w:val="39"/>
  </w:num>
  <w:num w:numId="3">
    <w:abstractNumId w:val="43"/>
  </w:num>
  <w:num w:numId="4">
    <w:abstractNumId w:val="0"/>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25"/>
  </w:num>
  <w:num w:numId="10">
    <w:abstractNumId w:val="40"/>
  </w:num>
  <w:num w:numId="11">
    <w:abstractNumId w:val="31"/>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1"/>
  </w:num>
  <w:num w:numId="15">
    <w:abstractNumId w:val="13"/>
  </w:num>
  <w:num w:numId="16">
    <w:abstractNumId w:val="42"/>
  </w:num>
  <w:num w:numId="17">
    <w:abstractNumId w:val="28"/>
  </w:num>
  <w:num w:numId="18">
    <w:abstractNumId w:val="30"/>
  </w:num>
  <w:num w:numId="19">
    <w:abstractNumId w:val="32"/>
  </w:num>
  <w:num w:numId="20">
    <w:abstractNumId w:val="15"/>
  </w:num>
  <w:num w:numId="21">
    <w:abstractNumId w:val="7"/>
  </w:num>
  <w:num w:numId="22">
    <w:abstractNumId w:val="2"/>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5"/>
  </w:num>
  <w:num w:numId="26">
    <w:abstractNumId w:val="27"/>
  </w:num>
  <w:num w:numId="27">
    <w:abstractNumId w:val="18"/>
  </w:num>
  <w:num w:numId="28">
    <w:abstractNumId w:val="4"/>
  </w:num>
  <w:num w:numId="29">
    <w:abstractNumId w:val="10"/>
  </w:num>
  <w:num w:numId="30">
    <w:abstractNumId w:val="36"/>
  </w:num>
  <w:num w:numId="31">
    <w:abstractNumId w:val="12"/>
  </w:num>
  <w:num w:numId="32">
    <w:abstractNumId w:val="3"/>
  </w:num>
  <w:num w:numId="33">
    <w:abstractNumId w:val="22"/>
  </w:num>
  <w:num w:numId="34">
    <w:abstractNumId w:val="8"/>
  </w:num>
  <w:num w:numId="35">
    <w:abstractNumId w:val="14"/>
  </w:num>
  <w:num w:numId="36">
    <w:abstractNumId w:val="29"/>
  </w:num>
  <w:num w:numId="37">
    <w:abstractNumId w:val="26"/>
  </w:num>
  <w:num w:numId="38">
    <w:abstractNumId w:val="17"/>
  </w:num>
  <w:num w:numId="39">
    <w:abstractNumId w:val="6"/>
  </w:num>
  <w:num w:numId="40">
    <w:abstractNumId w:val="21"/>
  </w:num>
  <w:num w:numId="41">
    <w:abstractNumId w:val="24"/>
  </w:num>
  <w:num w:numId="42">
    <w:abstractNumId w:val="19"/>
  </w:num>
  <w:num w:numId="43">
    <w:abstractNumId w:val="16"/>
  </w:num>
  <w:num w:numId="44">
    <w:abstractNumId w:val="23"/>
  </w:num>
  <w:num w:numId="45">
    <w:abstractNumId w:val="11"/>
  </w:num>
  <w:num w:numId="46">
    <w:abstractNumId w:val="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eodoros skylakakis">
    <w15:presenceInfo w15:providerId="Windows Live" w15:userId="0f1b625b181b8a6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mirrorMargins/>
  <w:hideGrammaticalErrors/>
  <w:attachedTemplate r:id="rId1"/>
  <w:stylePaneFormatFilter w:val="3F01"/>
  <w:defaultTabStop w:val="720"/>
  <w:autoHyphenation/>
  <w:hyphenationZone w:val="284"/>
  <w:doNotHyphenateCaps/>
  <w:evenAndOddHeaders/>
  <w:noPunctuationKerning/>
  <w:characterSpacingControl w:val="doNotCompress"/>
  <w:footnotePr>
    <w:footnote w:id="-1"/>
    <w:footnote w:id="0"/>
    <w:footnote w:id="1"/>
  </w:footnotePr>
  <w:endnotePr>
    <w:endnote w:id="-1"/>
    <w:endnote w:id="0"/>
    <w:endnote w:id="1"/>
  </w:endnotePr>
  <w:compat/>
  <w:rsids>
    <w:rsidRoot w:val="00D40E4A"/>
    <w:rsid w:val="00000523"/>
    <w:rsid w:val="00000E7F"/>
    <w:rsid w:val="000016A4"/>
    <w:rsid w:val="0000191B"/>
    <w:rsid w:val="00001979"/>
    <w:rsid w:val="00001B80"/>
    <w:rsid w:val="0000202D"/>
    <w:rsid w:val="00002691"/>
    <w:rsid w:val="00002780"/>
    <w:rsid w:val="00002E06"/>
    <w:rsid w:val="00002F45"/>
    <w:rsid w:val="0000327E"/>
    <w:rsid w:val="00003351"/>
    <w:rsid w:val="0000337D"/>
    <w:rsid w:val="00003438"/>
    <w:rsid w:val="000039AA"/>
    <w:rsid w:val="00003F4B"/>
    <w:rsid w:val="00003F8A"/>
    <w:rsid w:val="00004244"/>
    <w:rsid w:val="00004326"/>
    <w:rsid w:val="0000442E"/>
    <w:rsid w:val="000045FD"/>
    <w:rsid w:val="000054A8"/>
    <w:rsid w:val="00005AC0"/>
    <w:rsid w:val="0000608D"/>
    <w:rsid w:val="000060B5"/>
    <w:rsid w:val="00006293"/>
    <w:rsid w:val="000067ED"/>
    <w:rsid w:val="00006AD5"/>
    <w:rsid w:val="000074CC"/>
    <w:rsid w:val="00007FCB"/>
    <w:rsid w:val="000103B1"/>
    <w:rsid w:val="000105DB"/>
    <w:rsid w:val="0001090A"/>
    <w:rsid w:val="00011064"/>
    <w:rsid w:val="0001130A"/>
    <w:rsid w:val="00011444"/>
    <w:rsid w:val="000118BF"/>
    <w:rsid w:val="00011A34"/>
    <w:rsid w:val="00011A48"/>
    <w:rsid w:val="00011C2D"/>
    <w:rsid w:val="00011C6A"/>
    <w:rsid w:val="00011F9E"/>
    <w:rsid w:val="00012457"/>
    <w:rsid w:val="000124AA"/>
    <w:rsid w:val="0001256E"/>
    <w:rsid w:val="000125F1"/>
    <w:rsid w:val="00012755"/>
    <w:rsid w:val="000130BC"/>
    <w:rsid w:val="0001319E"/>
    <w:rsid w:val="00013241"/>
    <w:rsid w:val="0001350B"/>
    <w:rsid w:val="00013626"/>
    <w:rsid w:val="000138F7"/>
    <w:rsid w:val="00013A09"/>
    <w:rsid w:val="00014281"/>
    <w:rsid w:val="00014353"/>
    <w:rsid w:val="0001442D"/>
    <w:rsid w:val="00014E23"/>
    <w:rsid w:val="00015D84"/>
    <w:rsid w:val="00015E30"/>
    <w:rsid w:val="00016312"/>
    <w:rsid w:val="0001645F"/>
    <w:rsid w:val="00016550"/>
    <w:rsid w:val="000165C7"/>
    <w:rsid w:val="00016C55"/>
    <w:rsid w:val="00016FA2"/>
    <w:rsid w:val="00017056"/>
    <w:rsid w:val="00017096"/>
    <w:rsid w:val="000178C5"/>
    <w:rsid w:val="00017C78"/>
    <w:rsid w:val="000200FF"/>
    <w:rsid w:val="00020143"/>
    <w:rsid w:val="000204D1"/>
    <w:rsid w:val="00021035"/>
    <w:rsid w:val="0002124A"/>
    <w:rsid w:val="00021391"/>
    <w:rsid w:val="00021997"/>
    <w:rsid w:val="00021AB4"/>
    <w:rsid w:val="00021B0C"/>
    <w:rsid w:val="00021F01"/>
    <w:rsid w:val="00022171"/>
    <w:rsid w:val="000224EA"/>
    <w:rsid w:val="00022501"/>
    <w:rsid w:val="0002273A"/>
    <w:rsid w:val="000228C8"/>
    <w:rsid w:val="0002297E"/>
    <w:rsid w:val="00022E48"/>
    <w:rsid w:val="000238F9"/>
    <w:rsid w:val="00023AF6"/>
    <w:rsid w:val="00023D94"/>
    <w:rsid w:val="00023EFF"/>
    <w:rsid w:val="00024596"/>
    <w:rsid w:val="000246CD"/>
    <w:rsid w:val="00024B44"/>
    <w:rsid w:val="00024E55"/>
    <w:rsid w:val="000250ED"/>
    <w:rsid w:val="00025ADB"/>
    <w:rsid w:val="00025AFB"/>
    <w:rsid w:val="00025DB9"/>
    <w:rsid w:val="00025DE2"/>
    <w:rsid w:val="0002678E"/>
    <w:rsid w:val="000267CB"/>
    <w:rsid w:val="00026CA6"/>
    <w:rsid w:val="00026EC2"/>
    <w:rsid w:val="000271BF"/>
    <w:rsid w:val="000271D7"/>
    <w:rsid w:val="000271E3"/>
    <w:rsid w:val="00027349"/>
    <w:rsid w:val="000279A2"/>
    <w:rsid w:val="00027FDC"/>
    <w:rsid w:val="0003013A"/>
    <w:rsid w:val="000302FC"/>
    <w:rsid w:val="000306FC"/>
    <w:rsid w:val="000308AA"/>
    <w:rsid w:val="00030AFE"/>
    <w:rsid w:val="00030C7A"/>
    <w:rsid w:val="00031224"/>
    <w:rsid w:val="00031376"/>
    <w:rsid w:val="00031CB9"/>
    <w:rsid w:val="00031F0A"/>
    <w:rsid w:val="000326D0"/>
    <w:rsid w:val="00032BA2"/>
    <w:rsid w:val="00032DA8"/>
    <w:rsid w:val="00032EE0"/>
    <w:rsid w:val="0003308B"/>
    <w:rsid w:val="00033CF7"/>
    <w:rsid w:val="00034183"/>
    <w:rsid w:val="000341C7"/>
    <w:rsid w:val="00034289"/>
    <w:rsid w:val="00034693"/>
    <w:rsid w:val="000346C2"/>
    <w:rsid w:val="00034A5D"/>
    <w:rsid w:val="000358BB"/>
    <w:rsid w:val="00035936"/>
    <w:rsid w:val="00035DC4"/>
    <w:rsid w:val="00036271"/>
    <w:rsid w:val="0003634E"/>
    <w:rsid w:val="000364C6"/>
    <w:rsid w:val="00036799"/>
    <w:rsid w:val="000367BD"/>
    <w:rsid w:val="00036803"/>
    <w:rsid w:val="00037BA2"/>
    <w:rsid w:val="00037C95"/>
    <w:rsid w:val="00037F13"/>
    <w:rsid w:val="00040347"/>
    <w:rsid w:val="00040481"/>
    <w:rsid w:val="0004148C"/>
    <w:rsid w:val="000417F5"/>
    <w:rsid w:val="00041E64"/>
    <w:rsid w:val="00041EE7"/>
    <w:rsid w:val="00041F10"/>
    <w:rsid w:val="000422C0"/>
    <w:rsid w:val="00042374"/>
    <w:rsid w:val="0004253D"/>
    <w:rsid w:val="0004281C"/>
    <w:rsid w:val="00042B68"/>
    <w:rsid w:val="00042E69"/>
    <w:rsid w:val="0004308B"/>
    <w:rsid w:val="00043154"/>
    <w:rsid w:val="0004389F"/>
    <w:rsid w:val="00043E1D"/>
    <w:rsid w:val="0004408E"/>
    <w:rsid w:val="000443D6"/>
    <w:rsid w:val="00044888"/>
    <w:rsid w:val="00044A21"/>
    <w:rsid w:val="00044A88"/>
    <w:rsid w:val="000456CE"/>
    <w:rsid w:val="00045742"/>
    <w:rsid w:val="000459AE"/>
    <w:rsid w:val="00045F21"/>
    <w:rsid w:val="0004605A"/>
    <w:rsid w:val="0004633A"/>
    <w:rsid w:val="00046378"/>
    <w:rsid w:val="00046473"/>
    <w:rsid w:val="0004658B"/>
    <w:rsid w:val="00046741"/>
    <w:rsid w:val="0004677F"/>
    <w:rsid w:val="00046B94"/>
    <w:rsid w:val="00046BA4"/>
    <w:rsid w:val="000471D9"/>
    <w:rsid w:val="00047240"/>
    <w:rsid w:val="000473DE"/>
    <w:rsid w:val="00047445"/>
    <w:rsid w:val="00047996"/>
    <w:rsid w:val="0005023F"/>
    <w:rsid w:val="000505BB"/>
    <w:rsid w:val="00050CC4"/>
    <w:rsid w:val="00050E12"/>
    <w:rsid w:val="00050E4F"/>
    <w:rsid w:val="000510FC"/>
    <w:rsid w:val="00051116"/>
    <w:rsid w:val="000513F6"/>
    <w:rsid w:val="00051B8B"/>
    <w:rsid w:val="00051BCA"/>
    <w:rsid w:val="00052258"/>
    <w:rsid w:val="00052A45"/>
    <w:rsid w:val="000532DE"/>
    <w:rsid w:val="0005338D"/>
    <w:rsid w:val="00053B41"/>
    <w:rsid w:val="00054177"/>
    <w:rsid w:val="00054F64"/>
    <w:rsid w:val="00055430"/>
    <w:rsid w:val="0005567A"/>
    <w:rsid w:val="00055741"/>
    <w:rsid w:val="00055756"/>
    <w:rsid w:val="00055CBD"/>
    <w:rsid w:val="00055D37"/>
    <w:rsid w:val="00055DF4"/>
    <w:rsid w:val="00055E83"/>
    <w:rsid w:val="00055F0E"/>
    <w:rsid w:val="00055F4D"/>
    <w:rsid w:val="00056306"/>
    <w:rsid w:val="0005656B"/>
    <w:rsid w:val="000565DE"/>
    <w:rsid w:val="000565E0"/>
    <w:rsid w:val="00056834"/>
    <w:rsid w:val="00056CA9"/>
    <w:rsid w:val="00056F64"/>
    <w:rsid w:val="000570D5"/>
    <w:rsid w:val="000574DA"/>
    <w:rsid w:val="000578D4"/>
    <w:rsid w:val="00057905"/>
    <w:rsid w:val="0005798B"/>
    <w:rsid w:val="000600C3"/>
    <w:rsid w:val="000603A9"/>
    <w:rsid w:val="000603C4"/>
    <w:rsid w:val="00060676"/>
    <w:rsid w:val="00060825"/>
    <w:rsid w:val="00060AA3"/>
    <w:rsid w:val="00060F49"/>
    <w:rsid w:val="000610B4"/>
    <w:rsid w:val="00061BCC"/>
    <w:rsid w:val="000625F6"/>
    <w:rsid w:val="000630B0"/>
    <w:rsid w:val="00063853"/>
    <w:rsid w:val="00063994"/>
    <w:rsid w:val="00063AAC"/>
    <w:rsid w:val="00063E27"/>
    <w:rsid w:val="00064257"/>
    <w:rsid w:val="000646BA"/>
    <w:rsid w:val="00064A32"/>
    <w:rsid w:val="00064BC0"/>
    <w:rsid w:val="00064C09"/>
    <w:rsid w:val="00065156"/>
    <w:rsid w:val="0006526E"/>
    <w:rsid w:val="00065914"/>
    <w:rsid w:val="00065AFD"/>
    <w:rsid w:val="00066017"/>
    <w:rsid w:val="00066063"/>
    <w:rsid w:val="000663DB"/>
    <w:rsid w:val="00066754"/>
    <w:rsid w:val="00066860"/>
    <w:rsid w:val="00066A96"/>
    <w:rsid w:val="000677B4"/>
    <w:rsid w:val="00067C6A"/>
    <w:rsid w:val="00067CFB"/>
    <w:rsid w:val="00070E38"/>
    <w:rsid w:val="00071132"/>
    <w:rsid w:val="00071218"/>
    <w:rsid w:val="00071223"/>
    <w:rsid w:val="000714F1"/>
    <w:rsid w:val="000716AD"/>
    <w:rsid w:val="000716EA"/>
    <w:rsid w:val="00071CCB"/>
    <w:rsid w:val="00071ECF"/>
    <w:rsid w:val="00071ED5"/>
    <w:rsid w:val="000724D7"/>
    <w:rsid w:val="000725C4"/>
    <w:rsid w:val="0007323C"/>
    <w:rsid w:val="000733D2"/>
    <w:rsid w:val="000735C1"/>
    <w:rsid w:val="000739F5"/>
    <w:rsid w:val="00073DEF"/>
    <w:rsid w:val="00074096"/>
    <w:rsid w:val="00074A5C"/>
    <w:rsid w:val="00074B73"/>
    <w:rsid w:val="000750C6"/>
    <w:rsid w:val="00075389"/>
    <w:rsid w:val="000758BF"/>
    <w:rsid w:val="000759E7"/>
    <w:rsid w:val="00075A26"/>
    <w:rsid w:val="00075EE7"/>
    <w:rsid w:val="0007699F"/>
    <w:rsid w:val="00076A2E"/>
    <w:rsid w:val="00076B4F"/>
    <w:rsid w:val="00076BD2"/>
    <w:rsid w:val="00076C7F"/>
    <w:rsid w:val="000775B1"/>
    <w:rsid w:val="000776C5"/>
    <w:rsid w:val="000778F1"/>
    <w:rsid w:val="000779D9"/>
    <w:rsid w:val="00077C02"/>
    <w:rsid w:val="00077CC1"/>
    <w:rsid w:val="00080048"/>
    <w:rsid w:val="00080209"/>
    <w:rsid w:val="000809C7"/>
    <w:rsid w:val="00080B24"/>
    <w:rsid w:val="000811A0"/>
    <w:rsid w:val="00081614"/>
    <w:rsid w:val="00081668"/>
    <w:rsid w:val="0008183D"/>
    <w:rsid w:val="00081923"/>
    <w:rsid w:val="00081B7E"/>
    <w:rsid w:val="00081C2B"/>
    <w:rsid w:val="00081E60"/>
    <w:rsid w:val="000822D0"/>
    <w:rsid w:val="000822FB"/>
    <w:rsid w:val="000823EA"/>
    <w:rsid w:val="000824A8"/>
    <w:rsid w:val="00082988"/>
    <w:rsid w:val="00082A43"/>
    <w:rsid w:val="00082EB5"/>
    <w:rsid w:val="00082F09"/>
    <w:rsid w:val="00082F54"/>
    <w:rsid w:val="000832B3"/>
    <w:rsid w:val="000833FE"/>
    <w:rsid w:val="0008348B"/>
    <w:rsid w:val="00083D48"/>
    <w:rsid w:val="000842AD"/>
    <w:rsid w:val="0008441E"/>
    <w:rsid w:val="00084459"/>
    <w:rsid w:val="00084585"/>
    <w:rsid w:val="00084713"/>
    <w:rsid w:val="00084BD6"/>
    <w:rsid w:val="00084F72"/>
    <w:rsid w:val="000850CE"/>
    <w:rsid w:val="000854BF"/>
    <w:rsid w:val="000855D4"/>
    <w:rsid w:val="00085743"/>
    <w:rsid w:val="0008593B"/>
    <w:rsid w:val="000860BC"/>
    <w:rsid w:val="00086C12"/>
    <w:rsid w:val="00086E3B"/>
    <w:rsid w:val="00086FAB"/>
    <w:rsid w:val="00087408"/>
    <w:rsid w:val="00087A28"/>
    <w:rsid w:val="00087C11"/>
    <w:rsid w:val="00087F4D"/>
    <w:rsid w:val="000904FA"/>
    <w:rsid w:val="0009063D"/>
    <w:rsid w:val="00090979"/>
    <w:rsid w:val="00090BBD"/>
    <w:rsid w:val="000911C2"/>
    <w:rsid w:val="00091B3B"/>
    <w:rsid w:val="00091C75"/>
    <w:rsid w:val="00091C95"/>
    <w:rsid w:val="00091D38"/>
    <w:rsid w:val="00091ED8"/>
    <w:rsid w:val="00092563"/>
    <w:rsid w:val="000925EB"/>
    <w:rsid w:val="00092662"/>
    <w:rsid w:val="00092A3E"/>
    <w:rsid w:val="00092D06"/>
    <w:rsid w:val="00093265"/>
    <w:rsid w:val="000932E2"/>
    <w:rsid w:val="00093A9B"/>
    <w:rsid w:val="00093B89"/>
    <w:rsid w:val="00093FCB"/>
    <w:rsid w:val="0009408B"/>
    <w:rsid w:val="000944D4"/>
    <w:rsid w:val="0009493E"/>
    <w:rsid w:val="00094B87"/>
    <w:rsid w:val="00094BC0"/>
    <w:rsid w:val="00094C23"/>
    <w:rsid w:val="00094D6F"/>
    <w:rsid w:val="00094FE4"/>
    <w:rsid w:val="00095122"/>
    <w:rsid w:val="000954A4"/>
    <w:rsid w:val="0009576B"/>
    <w:rsid w:val="00095AAD"/>
    <w:rsid w:val="0009604B"/>
    <w:rsid w:val="000961E8"/>
    <w:rsid w:val="0009638C"/>
    <w:rsid w:val="00096C99"/>
    <w:rsid w:val="00096F16"/>
    <w:rsid w:val="00097610"/>
    <w:rsid w:val="000976EF"/>
    <w:rsid w:val="000977CA"/>
    <w:rsid w:val="000A0B59"/>
    <w:rsid w:val="000A0BC0"/>
    <w:rsid w:val="000A1461"/>
    <w:rsid w:val="000A148A"/>
    <w:rsid w:val="000A14D9"/>
    <w:rsid w:val="000A193D"/>
    <w:rsid w:val="000A1C3E"/>
    <w:rsid w:val="000A20F6"/>
    <w:rsid w:val="000A237F"/>
    <w:rsid w:val="000A2381"/>
    <w:rsid w:val="000A2B3E"/>
    <w:rsid w:val="000A2E12"/>
    <w:rsid w:val="000A3A24"/>
    <w:rsid w:val="000A3B33"/>
    <w:rsid w:val="000A3FDF"/>
    <w:rsid w:val="000A41CF"/>
    <w:rsid w:val="000A4661"/>
    <w:rsid w:val="000A495A"/>
    <w:rsid w:val="000A4982"/>
    <w:rsid w:val="000A4993"/>
    <w:rsid w:val="000A4ABE"/>
    <w:rsid w:val="000A5089"/>
    <w:rsid w:val="000A5121"/>
    <w:rsid w:val="000A5296"/>
    <w:rsid w:val="000A552D"/>
    <w:rsid w:val="000A558B"/>
    <w:rsid w:val="000A5A0B"/>
    <w:rsid w:val="000A5A3E"/>
    <w:rsid w:val="000A5D36"/>
    <w:rsid w:val="000A61EE"/>
    <w:rsid w:val="000A6210"/>
    <w:rsid w:val="000A6840"/>
    <w:rsid w:val="000A6DE0"/>
    <w:rsid w:val="000A6EFE"/>
    <w:rsid w:val="000A7087"/>
    <w:rsid w:val="000A71E6"/>
    <w:rsid w:val="000A783C"/>
    <w:rsid w:val="000A7AF2"/>
    <w:rsid w:val="000A7EB9"/>
    <w:rsid w:val="000B0280"/>
    <w:rsid w:val="000B03A8"/>
    <w:rsid w:val="000B0509"/>
    <w:rsid w:val="000B05C4"/>
    <w:rsid w:val="000B0866"/>
    <w:rsid w:val="000B0898"/>
    <w:rsid w:val="000B1284"/>
    <w:rsid w:val="000B1483"/>
    <w:rsid w:val="000B1842"/>
    <w:rsid w:val="000B25E9"/>
    <w:rsid w:val="000B27AC"/>
    <w:rsid w:val="000B27B0"/>
    <w:rsid w:val="000B2924"/>
    <w:rsid w:val="000B2A60"/>
    <w:rsid w:val="000B2C18"/>
    <w:rsid w:val="000B2C2D"/>
    <w:rsid w:val="000B3582"/>
    <w:rsid w:val="000B35AB"/>
    <w:rsid w:val="000B3D58"/>
    <w:rsid w:val="000B4981"/>
    <w:rsid w:val="000B4CB6"/>
    <w:rsid w:val="000B4D9D"/>
    <w:rsid w:val="000B4F20"/>
    <w:rsid w:val="000B4FF0"/>
    <w:rsid w:val="000B5D94"/>
    <w:rsid w:val="000B60AD"/>
    <w:rsid w:val="000B63B7"/>
    <w:rsid w:val="000B6406"/>
    <w:rsid w:val="000B6550"/>
    <w:rsid w:val="000B6618"/>
    <w:rsid w:val="000B66E8"/>
    <w:rsid w:val="000B6945"/>
    <w:rsid w:val="000B69DB"/>
    <w:rsid w:val="000B6A5A"/>
    <w:rsid w:val="000B71B8"/>
    <w:rsid w:val="000B734E"/>
    <w:rsid w:val="000B75A5"/>
    <w:rsid w:val="000B7913"/>
    <w:rsid w:val="000B7ABB"/>
    <w:rsid w:val="000B7BF4"/>
    <w:rsid w:val="000B7CFB"/>
    <w:rsid w:val="000B7E91"/>
    <w:rsid w:val="000C02A6"/>
    <w:rsid w:val="000C0D0E"/>
    <w:rsid w:val="000C0EBB"/>
    <w:rsid w:val="000C1425"/>
    <w:rsid w:val="000C1C28"/>
    <w:rsid w:val="000C22E4"/>
    <w:rsid w:val="000C253F"/>
    <w:rsid w:val="000C25F4"/>
    <w:rsid w:val="000C27FE"/>
    <w:rsid w:val="000C2B2C"/>
    <w:rsid w:val="000C2F09"/>
    <w:rsid w:val="000C3640"/>
    <w:rsid w:val="000C3AEC"/>
    <w:rsid w:val="000C3D02"/>
    <w:rsid w:val="000C42CD"/>
    <w:rsid w:val="000C4A39"/>
    <w:rsid w:val="000C5120"/>
    <w:rsid w:val="000C5D3F"/>
    <w:rsid w:val="000C5E2C"/>
    <w:rsid w:val="000C6228"/>
    <w:rsid w:val="000C625F"/>
    <w:rsid w:val="000C627F"/>
    <w:rsid w:val="000C6811"/>
    <w:rsid w:val="000C6AA2"/>
    <w:rsid w:val="000C6AAB"/>
    <w:rsid w:val="000C6D23"/>
    <w:rsid w:val="000C7501"/>
    <w:rsid w:val="000C7681"/>
    <w:rsid w:val="000C7A54"/>
    <w:rsid w:val="000C7BFC"/>
    <w:rsid w:val="000D097F"/>
    <w:rsid w:val="000D0AD6"/>
    <w:rsid w:val="000D0D74"/>
    <w:rsid w:val="000D1219"/>
    <w:rsid w:val="000D14BD"/>
    <w:rsid w:val="000D1890"/>
    <w:rsid w:val="000D198A"/>
    <w:rsid w:val="000D23F9"/>
    <w:rsid w:val="000D284B"/>
    <w:rsid w:val="000D2DC2"/>
    <w:rsid w:val="000D2DE5"/>
    <w:rsid w:val="000D2ED8"/>
    <w:rsid w:val="000D3368"/>
    <w:rsid w:val="000D350A"/>
    <w:rsid w:val="000D3894"/>
    <w:rsid w:val="000D3994"/>
    <w:rsid w:val="000D3A7D"/>
    <w:rsid w:val="000D3ABA"/>
    <w:rsid w:val="000D3D43"/>
    <w:rsid w:val="000D3EEC"/>
    <w:rsid w:val="000D40E9"/>
    <w:rsid w:val="000D4290"/>
    <w:rsid w:val="000D44BA"/>
    <w:rsid w:val="000D50F4"/>
    <w:rsid w:val="000D5514"/>
    <w:rsid w:val="000D56F7"/>
    <w:rsid w:val="000D6044"/>
    <w:rsid w:val="000D6126"/>
    <w:rsid w:val="000D649B"/>
    <w:rsid w:val="000D66E5"/>
    <w:rsid w:val="000D68E2"/>
    <w:rsid w:val="000D6BF1"/>
    <w:rsid w:val="000D6E27"/>
    <w:rsid w:val="000D6F37"/>
    <w:rsid w:val="000D6FF5"/>
    <w:rsid w:val="000D6FFB"/>
    <w:rsid w:val="000D71F8"/>
    <w:rsid w:val="000D770A"/>
    <w:rsid w:val="000D7870"/>
    <w:rsid w:val="000D790E"/>
    <w:rsid w:val="000D7BE5"/>
    <w:rsid w:val="000E02E1"/>
    <w:rsid w:val="000E0657"/>
    <w:rsid w:val="000E10B4"/>
    <w:rsid w:val="000E1D0C"/>
    <w:rsid w:val="000E208A"/>
    <w:rsid w:val="000E2EB5"/>
    <w:rsid w:val="000E3190"/>
    <w:rsid w:val="000E3A66"/>
    <w:rsid w:val="000E3CE8"/>
    <w:rsid w:val="000E5314"/>
    <w:rsid w:val="000E53CF"/>
    <w:rsid w:val="000E59A5"/>
    <w:rsid w:val="000E6269"/>
    <w:rsid w:val="000E629A"/>
    <w:rsid w:val="000E69E1"/>
    <w:rsid w:val="000E6ADB"/>
    <w:rsid w:val="000E6B70"/>
    <w:rsid w:val="000E6BAF"/>
    <w:rsid w:val="000E7053"/>
    <w:rsid w:val="000E7288"/>
    <w:rsid w:val="000E72B0"/>
    <w:rsid w:val="000E776A"/>
    <w:rsid w:val="000E7978"/>
    <w:rsid w:val="000E7D91"/>
    <w:rsid w:val="000F0823"/>
    <w:rsid w:val="000F082D"/>
    <w:rsid w:val="000F0EBB"/>
    <w:rsid w:val="000F1010"/>
    <w:rsid w:val="000F2533"/>
    <w:rsid w:val="000F297B"/>
    <w:rsid w:val="000F3989"/>
    <w:rsid w:val="000F40E4"/>
    <w:rsid w:val="000F4288"/>
    <w:rsid w:val="000F4437"/>
    <w:rsid w:val="000F443E"/>
    <w:rsid w:val="000F44A6"/>
    <w:rsid w:val="000F4512"/>
    <w:rsid w:val="000F4580"/>
    <w:rsid w:val="000F49C5"/>
    <w:rsid w:val="000F4D21"/>
    <w:rsid w:val="000F4DB1"/>
    <w:rsid w:val="000F5117"/>
    <w:rsid w:val="000F5340"/>
    <w:rsid w:val="000F551C"/>
    <w:rsid w:val="000F5616"/>
    <w:rsid w:val="000F56BF"/>
    <w:rsid w:val="000F5A38"/>
    <w:rsid w:val="000F5C59"/>
    <w:rsid w:val="000F5E2A"/>
    <w:rsid w:val="000F608D"/>
    <w:rsid w:val="000F6126"/>
    <w:rsid w:val="000F6CBF"/>
    <w:rsid w:val="000F6D4B"/>
    <w:rsid w:val="000F6E08"/>
    <w:rsid w:val="000F6E14"/>
    <w:rsid w:val="000F73CF"/>
    <w:rsid w:val="000F74A3"/>
    <w:rsid w:val="000F7634"/>
    <w:rsid w:val="000F77DC"/>
    <w:rsid w:val="000F7FD6"/>
    <w:rsid w:val="00100059"/>
    <w:rsid w:val="001003C2"/>
    <w:rsid w:val="00100514"/>
    <w:rsid w:val="001005DA"/>
    <w:rsid w:val="0010068D"/>
    <w:rsid w:val="00100891"/>
    <w:rsid w:val="0010090C"/>
    <w:rsid w:val="001009FF"/>
    <w:rsid w:val="00100C2E"/>
    <w:rsid w:val="00101148"/>
    <w:rsid w:val="00101366"/>
    <w:rsid w:val="00101553"/>
    <w:rsid w:val="00101844"/>
    <w:rsid w:val="001022F6"/>
    <w:rsid w:val="00102B19"/>
    <w:rsid w:val="00102CF4"/>
    <w:rsid w:val="00103347"/>
    <w:rsid w:val="00103451"/>
    <w:rsid w:val="0010349C"/>
    <w:rsid w:val="001036C7"/>
    <w:rsid w:val="00103A33"/>
    <w:rsid w:val="00103F55"/>
    <w:rsid w:val="00104336"/>
    <w:rsid w:val="00104429"/>
    <w:rsid w:val="001044FC"/>
    <w:rsid w:val="00104E5F"/>
    <w:rsid w:val="00105340"/>
    <w:rsid w:val="00105796"/>
    <w:rsid w:val="00105952"/>
    <w:rsid w:val="00105C42"/>
    <w:rsid w:val="00105FA1"/>
    <w:rsid w:val="00106D3E"/>
    <w:rsid w:val="00107278"/>
    <w:rsid w:val="00107FB5"/>
    <w:rsid w:val="0011067E"/>
    <w:rsid w:val="00111971"/>
    <w:rsid w:val="00111AAD"/>
    <w:rsid w:val="00111C80"/>
    <w:rsid w:val="00111FC8"/>
    <w:rsid w:val="00112CDE"/>
    <w:rsid w:val="00113147"/>
    <w:rsid w:val="00113D2F"/>
    <w:rsid w:val="00113DA5"/>
    <w:rsid w:val="00114120"/>
    <w:rsid w:val="001143D5"/>
    <w:rsid w:val="00115015"/>
    <w:rsid w:val="001150E3"/>
    <w:rsid w:val="001157DF"/>
    <w:rsid w:val="00116A45"/>
    <w:rsid w:val="00116C21"/>
    <w:rsid w:val="00117303"/>
    <w:rsid w:val="00117320"/>
    <w:rsid w:val="00117789"/>
    <w:rsid w:val="001178F9"/>
    <w:rsid w:val="00117933"/>
    <w:rsid w:val="00117D58"/>
    <w:rsid w:val="001200DC"/>
    <w:rsid w:val="001200DF"/>
    <w:rsid w:val="00120977"/>
    <w:rsid w:val="001209F8"/>
    <w:rsid w:val="00120B5A"/>
    <w:rsid w:val="00120EA0"/>
    <w:rsid w:val="001212B2"/>
    <w:rsid w:val="001212DD"/>
    <w:rsid w:val="00121309"/>
    <w:rsid w:val="00121805"/>
    <w:rsid w:val="00121867"/>
    <w:rsid w:val="0012187A"/>
    <w:rsid w:val="00121BEF"/>
    <w:rsid w:val="00121C04"/>
    <w:rsid w:val="00121C8D"/>
    <w:rsid w:val="00121E53"/>
    <w:rsid w:val="001226D2"/>
    <w:rsid w:val="001228B0"/>
    <w:rsid w:val="00122B08"/>
    <w:rsid w:val="00122D3F"/>
    <w:rsid w:val="001233E8"/>
    <w:rsid w:val="00123E4B"/>
    <w:rsid w:val="0012422B"/>
    <w:rsid w:val="001244BB"/>
    <w:rsid w:val="00124551"/>
    <w:rsid w:val="0012464D"/>
    <w:rsid w:val="00124A78"/>
    <w:rsid w:val="00124CBB"/>
    <w:rsid w:val="00124F5E"/>
    <w:rsid w:val="001250CA"/>
    <w:rsid w:val="00125A9E"/>
    <w:rsid w:val="00125FFE"/>
    <w:rsid w:val="001260D9"/>
    <w:rsid w:val="00126181"/>
    <w:rsid w:val="00126268"/>
    <w:rsid w:val="0012659E"/>
    <w:rsid w:val="00126AE1"/>
    <w:rsid w:val="00127538"/>
    <w:rsid w:val="00127B00"/>
    <w:rsid w:val="00127BAB"/>
    <w:rsid w:val="00130049"/>
    <w:rsid w:val="001300BF"/>
    <w:rsid w:val="00130502"/>
    <w:rsid w:val="00130F1A"/>
    <w:rsid w:val="00131475"/>
    <w:rsid w:val="001314F8"/>
    <w:rsid w:val="00131C1A"/>
    <w:rsid w:val="00131C63"/>
    <w:rsid w:val="00131EF0"/>
    <w:rsid w:val="00132280"/>
    <w:rsid w:val="00132318"/>
    <w:rsid w:val="00132352"/>
    <w:rsid w:val="0013248B"/>
    <w:rsid w:val="00132565"/>
    <w:rsid w:val="00132672"/>
    <w:rsid w:val="00132B8E"/>
    <w:rsid w:val="00132E3C"/>
    <w:rsid w:val="00133371"/>
    <w:rsid w:val="00133594"/>
    <w:rsid w:val="00133DD0"/>
    <w:rsid w:val="00134459"/>
    <w:rsid w:val="0013462D"/>
    <w:rsid w:val="00134750"/>
    <w:rsid w:val="001347EB"/>
    <w:rsid w:val="0013511B"/>
    <w:rsid w:val="001354BA"/>
    <w:rsid w:val="00135622"/>
    <w:rsid w:val="001359E4"/>
    <w:rsid w:val="00135C5D"/>
    <w:rsid w:val="00135E3F"/>
    <w:rsid w:val="00135EDB"/>
    <w:rsid w:val="001362CC"/>
    <w:rsid w:val="0013654E"/>
    <w:rsid w:val="00136683"/>
    <w:rsid w:val="00136686"/>
    <w:rsid w:val="00136B8A"/>
    <w:rsid w:val="00136C9E"/>
    <w:rsid w:val="00136DD5"/>
    <w:rsid w:val="00136DEE"/>
    <w:rsid w:val="0013705A"/>
    <w:rsid w:val="00137450"/>
    <w:rsid w:val="001374E3"/>
    <w:rsid w:val="00137527"/>
    <w:rsid w:val="0013775B"/>
    <w:rsid w:val="0013796F"/>
    <w:rsid w:val="0014040C"/>
    <w:rsid w:val="001406EA"/>
    <w:rsid w:val="00140717"/>
    <w:rsid w:val="00140C19"/>
    <w:rsid w:val="00140E1C"/>
    <w:rsid w:val="001418C5"/>
    <w:rsid w:val="00141CD6"/>
    <w:rsid w:val="001422B3"/>
    <w:rsid w:val="001422C6"/>
    <w:rsid w:val="00142458"/>
    <w:rsid w:val="00142521"/>
    <w:rsid w:val="00142539"/>
    <w:rsid w:val="00142E5C"/>
    <w:rsid w:val="0014303B"/>
    <w:rsid w:val="00143414"/>
    <w:rsid w:val="0014356E"/>
    <w:rsid w:val="001436F0"/>
    <w:rsid w:val="001439AA"/>
    <w:rsid w:val="00143E34"/>
    <w:rsid w:val="001446A7"/>
    <w:rsid w:val="00144A36"/>
    <w:rsid w:val="00145118"/>
    <w:rsid w:val="0014559D"/>
    <w:rsid w:val="00145809"/>
    <w:rsid w:val="00145E8B"/>
    <w:rsid w:val="0014623D"/>
    <w:rsid w:val="001463E5"/>
    <w:rsid w:val="00146BDF"/>
    <w:rsid w:val="00146D89"/>
    <w:rsid w:val="0014719E"/>
    <w:rsid w:val="001476C2"/>
    <w:rsid w:val="001476C5"/>
    <w:rsid w:val="00147730"/>
    <w:rsid w:val="00147961"/>
    <w:rsid w:val="0014796F"/>
    <w:rsid w:val="00147979"/>
    <w:rsid w:val="00147DC1"/>
    <w:rsid w:val="00150229"/>
    <w:rsid w:val="00150426"/>
    <w:rsid w:val="00150D1F"/>
    <w:rsid w:val="0015134D"/>
    <w:rsid w:val="001515B3"/>
    <w:rsid w:val="00151806"/>
    <w:rsid w:val="00151871"/>
    <w:rsid w:val="00151A8D"/>
    <w:rsid w:val="00151B71"/>
    <w:rsid w:val="00151EF9"/>
    <w:rsid w:val="001520C6"/>
    <w:rsid w:val="00152146"/>
    <w:rsid w:val="001528EA"/>
    <w:rsid w:val="001528FC"/>
    <w:rsid w:val="00152F87"/>
    <w:rsid w:val="00153229"/>
    <w:rsid w:val="0015367B"/>
    <w:rsid w:val="00153A29"/>
    <w:rsid w:val="00153B38"/>
    <w:rsid w:val="00154109"/>
    <w:rsid w:val="0015466F"/>
    <w:rsid w:val="001546F1"/>
    <w:rsid w:val="001554F4"/>
    <w:rsid w:val="00156075"/>
    <w:rsid w:val="001561CD"/>
    <w:rsid w:val="00156522"/>
    <w:rsid w:val="001565CD"/>
    <w:rsid w:val="001567E0"/>
    <w:rsid w:val="00156DD9"/>
    <w:rsid w:val="00156E94"/>
    <w:rsid w:val="00156EC3"/>
    <w:rsid w:val="00156F09"/>
    <w:rsid w:val="0015764E"/>
    <w:rsid w:val="00157A0D"/>
    <w:rsid w:val="00157EA6"/>
    <w:rsid w:val="0016004E"/>
    <w:rsid w:val="0016075B"/>
    <w:rsid w:val="001608F9"/>
    <w:rsid w:val="00160F2E"/>
    <w:rsid w:val="00161333"/>
    <w:rsid w:val="00161906"/>
    <w:rsid w:val="00161920"/>
    <w:rsid w:val="00161AA5"/>
    <w:rsid w:val="001625F9"/>
    <w:rsid w:val="0016260A"/>
    <w:rsid w:val="0016264B"/>
    <w:rsid w:val="00162AC5"/>
    <w:rsid w:val="00162F7C"/>
    <w:rsid w:val="00163C6F"/>
    <w:rsid w:val="00163FA7"/>
    <w:rsid w:val="00164DB6"/>
    <w:rsid w:val="001657DD"/>
    <w:rsid w:val="001659CB"/>
    <w:rsid w:val="00165D2D"/>
    <w:rsid w:val="00165EB2"/>
    <w:rsid w:val="00166094"/>
    <w:rsid w:val="00166224"/>
    <w:rsid w:val="00166A87"/>
    <w:rsid w:val="00166E31"/>
    <w:rsid w:val="00167192"/>
    <w:rsid w:val="0016731B"/>
    <w:rsid w:val="001673CD"/>
    <w:rsid w:val="0016756A"/>
    <w:rsid w:val="001675A8"/>
    <w:rsid w:val="00167B76"/>
    <w:rsid w:val="00167FC4"/>
    <w:rsid w:val="0017041D"/>
    <w:rsid w:val="00170B06"/>
    <w:rsid w:val="00170BE6"/>
    <w:rsid w:val="00170CBC"/>
    <w:rsid w:val="00170E32"/>
    <w:rsid w:val="00171115"/>
    <w:rsid w:val="001715C3"/>
    <w:rsid w:val="00171655"/>
    <w:rsid w:val="00171890"/>
    <w:rsid w:val="001718F4"/>
    <w:rsid w:val="00171921"/>
    <w:rsid w:val="00171928"/>
    <w:rsid w:val="00171DED"/>
    <w:rsid w:val="00171E53"/>
    <w:rsid w:val="00172006"/>
    <w:rsid w:val="00172206"/>
    <w:rsid w:val="00172288"/>
    <w:rsid w:val="00172566"/>
    <w:rsid w:val="001725E0"/>
    <w:rsid w:val="00173660"/>
    <w:rsid w:val="00173792"/>
    <w:rsid w:val="00174516"/>
    <w:rsid w:val="00174A83"/>
    <w:rsid w:val="00174C87"/>
    <w:rsid w:val="00174CCA"/>
    <w:rsid w:val="00175205"/>
    <w:rsid w:val="001753CE"/>
    <w:rsid w:val="00175730"/>
    <w:rsid w:val="001757B7"/>
    <w:rsid w:val="00175A16"/>
    <w:rsid w:val="00175B20"/>
    <w:rsid w:val="00175D66"/>
    <w:rsid w:val="0017614E"/>
    <w:rsid w:val="001769DA"/>
    <w:rsid w:val="00177136"/>
    <w:rsid w:val="00177305"/>
    <w:rsid w:val="001773CB"/>
    <w:rsid w:val="001778DD"/>
    <w:rsid w:val="00177EEC"/>
    <w:rsid w:val="001804E8"/>
    <w:rsid w:val="001805B6"/>
    <w:rsid w:val="001809F3"/>
    <w:rsid w:val="00180BD3"/>
    <w:rsid w:val="00180E5B"/>
    <w:rsid w:val="00180E7E"/>
    <w:rsid w:val="001816DC"/>
    <w:rsid w:val="001818D9"/>
    <w:rsid w:val="001819BB"/>
    <w:rsid w:val="00181B2F"/>
    <w:rsid w:val="001821DB"/>
    <w:rsid w:val="00182281"/>
    <w:rsid w:val="0018277F"/>
    <w:rsid w:val="00182790"/>
    <w:rsid w:val="00182AE9"/>
    <w:rsid w:val="001830EF"/>
    <w:rsid w:val="001834CA"/>
    <w:rsid w:val="00183C25"/>
    <w:rsid w:val="00184213"/>
    <w:rsid w:val="0018439B"/>
    <w:rsid w:val="001846E3"/>
    <w:rsid w:val="00185151"/>
    <w:rsid w:val="00185230"/>
    <w:rsid w:val="0018537E"/>
    <w:rsid w:val="00185504"/>
    <w:rsid w:val="00185817"/>
    <w:rsid w:val="00185B9E"/>
    <w:rsid w:val="001862B1"/>
    <w:rsid w:val="0018636C"/>
    <w:rsid w:val="0018650C"/>
    <w:rsid w:val="001866E5"/>
    <w:rsid w:val="0018684F"/>
    <w:rsid w:val="00186E49"/>
    <w:rsid w:val="00186FCF"/>
    <w:rsid w:val="0018703C"/>
    <w:rsid w:val="0018743C"/>
    <w:rsid w:val="001876FF"/>
    <w:rsid w:val="00187841"/>
    <w:rsid w:val="0018787A"/>
    <w:rsid w:val="00187A32"/>
    <w:rsid w:val="00190627"/>
    <w:rsid w:val="0019094D"/>
    <w:rsid w:val="00190AA5"/>
    <w:rsid w:val="00190E65"/>
    <w:rsid w:val="00191067"/>
    <w:rsid w:val="00191466"/>
    <w:rsid w:val="00191766"/>
    <w:rsid w:val="00191C1E"/>
    <w:rsid w:val="00191F24"/>
    <w:rsid w:val="001921A0"/>
    <w:rsid w:val="0019241B"/>
    <w:rsid w:val="00192B1E"/>
    <w:rsid w:val="001932DD"/>
    <w:rsid w:val="001932EA"/>
    <w:rsid w:val="00193394"/>
    <w:rsid w:val="00193E02"/>
    <w:rsid w:val="0019439D"/>
    <w:rsid w:val="00194521"/>
    <w:rsid w:val="001945B9"/>
    <w:rsid w:val="00194D43"/>
    <w:rsid w:val="00194E79"/>
    <w:rsid w:val="00195062"/>
    <w:rsid w:val="001952B5"/>
    <w:rsid w:val="00195356"/>
    <w:rsid w:val="0019537B"/>
    <w:rsid w:val="001954AA"/>
    <w:rsid w:val="00195772"/>
    <w:rsid w:val="0019610E"/>
    <w:rsid w:val="00196F95"/>
    <w:rsid w:val="00197A52"/>
    <w:rsid w:val="00197B90"/>
    <w:rsid w:val="00197BE1"/>
    <w:rsid w:val="001A0368"/>
    <w:rsid w:val="001A044E"/>
    <w:rsid w:val="001A060A"/>
    <w:rsid w:val="001A0725"/>
    <w:rsid w:val="001A0A25"/>
    <w:rsid w:val="001A0CB1"/>
    <w:rsid w:val="001A10BD"/>
    <w:rsid w:val="001A12FE"/>
    <w:rsid w:val="001A1563"/>
    <w:rsid w:val="001A159A"/>
    <w:rsid w:val="001A1679"/>
    <w:rsid w:val="001A19E2"/>
    <w:rsid w:val="001A1A4D"/>
    <w:rsid w:val="001A1C71"/>
    <w:rsid w:val="001A1CBD"/>
    <w:rsid w:val="001A2169"/>
    <w:rsid w:val="001A27FF"/>
    <w:rsid w:val="001A2C74"/>
    <w:rsid w:val="001A377C"/>
    <w:rsid w:val="001A3D1B"/>
    <w:rsid w:val="001A3DE1"/>
    <w:rsid w:val="001A4194"/>
    <w:rsid w:val="001A440D"/>
    <w:rsid w:val="001A4741"/>
    <w:rsid w:val="001A481D"/>
    <w:rsid w:val="001A4A6C"/>
    <w:rsid w:val="001A5015"/>
    <w:rsid w:val="001A53CF"/>
    <w:rsid w:val="001A5408"/>
    <w:rsid w:val="001A586C"/>
    <w:rsid w:val="001A59B7"/>
    <w:rsid w:val="001A5A43"/>
    <w:rsid w:val="001A5B0E"/>
    <w:rsid w:val="001A6126"/>
    <w:rsid w:val="001A63B1"/>
    <w:rsid w:val="001A63FC"/>
    <w:rsid w:val="001A6A0A"/>
    <w:rsid w:val="001A6F68"/>
    <w:rsid w:val="001A78C0"/>
    <w:rsid w:val="001A796F"/>
    <w:rsid w:val="001A7999"/>
    <w:rsid w:val="001A79D7"/>
    <w:rsid w:val="001A7C58"/>
    <w:rsid w:val="001B01CD"/>
    <w:rsid w:val="001B01DE"/>
    <w:rsid w:val="001B063B"/>
    <w:rsid w:val="001B0B4A"/>
    <w:rsid w:val="001B191F"/>
    <w:rsid w:val="001B1D50"/>
    <w:rsid w:val="001B2582"/>
    <w:rsid w:val="001B27DB"/>
    <w:rsid w:val="001B2911"/>
    <w:rsid w:val="001B2945"/>
    <w:rsid w:val="001B2C6A"/>
    <w:rsid w:val="001B2D11"/>
    <w:rsid w:val="001B2D31"/>
    <w:rsid w:val="001B332D"/>
    <w:rsid w:val="001B35F8"/>
    <w:rsid w:val="001B3884"/>
    <w:rsid w:val="001B38B8"/>
    <w:rsid w:val="001B4526"/>
    <w:rsid w:val="001B4685"/>
    <w:rsid w:val="001B49C9"/>
    <w:rsid w:val="001B4ABD"/>
    <w:rsid w:val="001B52AA"/>
    <w:rsid w:val="001B5490"/>
    <w:rsid w:val="001B54DC"/>
    <w:rsid w:val="001B5874"/>
    <w:rsid w:val="001B59CB"/>
    <w:rsid w:val="001B5AB0"/>
    <w:rsid w:val="001B5B85"/>
    <w:rsid w:val="001B5F66"/>
    <w:rsid w:val="001B60E5"/>
    <w:rsid w:val="001B63B7"/>
    <w:rsid w:val="001B6893"/>
    <w:rsid w:val="001B69A7"/>
    <w:rsid w:val="001B6E67"/>
    <w:rsid w:val="001B6F7A"/>
    <w:rsid w:val="001B75E9"/>
    <w:rsid w:val="001B773D"/>
    <w:rsid w:val="001B7AFF"/>
    <w:rsid w:val="001B7D61"/>
    <w:rsid w:val="001B7EBC"/>
    <w:rsid w:val="001C09DC"/>
    <w:rsid w:val="001C0D0A"/>
    <w:rsid w:val="001C11E2"/>
    <w:rsid w:val="001C1222"/>
    <w:rsid w:val="001C12FA"/>
    <w:rsid w:val="001C1B83"/>
    <w:rsid w:val="001C1C5C"/>
    <w:rsid w:val="001C1F9A"/>
    <w:rsid w:val="001C20A6"/>
    <w:rsid w:val="001C20F6"/>
    <w:rsid w:val="001C2190"/>
    <w:rsid w:val="001C21F5"/>
    <w:rsid w:val="001C225C"/>
    <w:rsid w:val="001C22AC"/>
    <w:rsid w:val="001C23FE"/>
    <w:rsid w:val="001C24EA"/>
    <w:rsid w:val="001C2531"/>
    <w:rsid w:val="001C25DE"/>
    <w:rsid w:val="001C281B"/>
    <w:rsid w:val="001C31B8"/>
    <w:rsid w:val="001C333F"/>
    <w:rsid w:val="001C337C"/>
    <w:rsid w:val="001C389C"/>
    <w:rsid w:val="001C3A19"/>
    <w:rsid w:val="001C3BE9"/>
    <w:rsid w:val="001C3CFC"/>
    <w:rsid w:val="001C3F33"/>
    <w:rsid w:val="001C42E5"/>
    <w:rsid w:val="001C464E"/>
    <w:rsid w:val="001C4A4E"/>
    <w:rsid w:val="001C4E55"/>
    <w:rsid w:val="001C5137"/>
    <w:rsid w:val="001C5941"/>
    <w:rsid w:val="001C5AAD"/>
    <w:rsid w:val="001C5B62"/>
    <w:rsid w:val="001C5BDF"/>
    <w:rsid w:val="001C5C74"/>
    <w:rsid w:val="001C5C75"/>
    <w:rsid w:val="001C6090"/>
    <w:rsid w:val="001C62DA"/>
    <w:rsid w:val="001C6A3E"/>
    <w:rsid w:val="001C73F5"/>
    <w:rsid w:val="001C7593"/>
    <w:rsid w:val="001C7953"/>
    <w:rsid w:val="001C7C5D"/>
    <w:rsid w:val="001C7DFC"/>
    <w:rsid w:val="001D0044"/>
    <w:rsid w:val="001D0295"/>
    <w:rsid w:val="001D037D"/>
    <w:rsid w:val="001D047F"/>
    <w:rsid w:val="001D0689"/>
    <w:rsid w:val="001D071A"/>
    <w:rsid w:val="001D094F"/>
    <w:rsid w:val="001D0B81"/>
    <w:rsid w:val="001D14C9"/>
    <w:rsid w:val="001D1782"/>
    <w:rsid w:val="001D19C1"/>
    <w:rsid w:val="001D1C54"/>
    <w:rsid w:val="001D23A9"/>
    <w:rsid w:val="001D269E"/>
    <w:rsid w:val="001D2CEE"/>
    <w:rsid w:val="001D329D"/>
    <w:rsid w:val="001D35B5"/>
    <w:rsid w:val="001D37F6"/>
    <w:rsid w:val="001D3D3C"/>
    <w:rsid w:val="001D417D"/>
    <w:rsid w:val="001D4597"/>
    <w:rsid w:val="001D4976"/>
    <w:rsid w:val="001D4AA2"/>
    <w:rsid w:val="001D4E40"/>
    <w:rsid w:val="001D4F10"/>
    <w:rsid w:val="001D50A1"/>
    <w:rsid w:val="001D54E9"/>
    <w:rsid w:val="001D567C"/>
    <w:rsid w:val="001D583D"/>
    <w:rsid w:val="001D5AC2"/>
    <w:rsid w:val="001D5BC0"/>
    <w:rsid w:val="001D5D00"/>
    <w:rsid w:val="001D61F6"/>
    <w:rsid w:val="001D65E8"/>
    <w:rsid w:val="001D6659"/>
    <w:rsid w:val="001D6846"/>
    <w:rsid w:val="001D6902"/>
    <w:rsid w:val="001D6F16"/>
    <w:rsid w:val="001D733B"/>
    <w:rsid w:val="001D75D4"/>
    <w:rsid w:val="001E06DB"/>
    <w:rsid w:val="001E0B7A"/>
    <w:rsid w:val="001E1281"/>
    <w:rsid w:val="001E1347"/>
    <w:rsid w:val="001E1AAE"/>
    <w:rsid w:val="001E1C2D"/>
    <w:rsid w:val="001E208C"/>
    <w:rsid w:val="001E2848"/>
    <w:rsid w:val="001E2B76"/>
    <w:rsid w:val="001E2E1C"/>
    <w:rsid w:val="001E312F"/>
    <w:rsid w:val="001E3430"/>
    <w:rsid w:val="001E371F"/>
    <w:rsid w:val="001E3A1F"/>
    <w:rsid w:val="001E3AFF"/>
    <w:rsid w:val="001E3DF7"/>
    <w:rsid w:val="001E3E4C"/>
    <w:rsid w:val="001E4265"/>
    <w:rsid w:val="001E439F"/>
    <w:rsid w:val="001E46AF"/>
    <w:rsid w:val="001E4928"/>
    <w:rsid w:val="001E4CC1"/>
    <w:rsid w:val="001E4D17"/>
    <w:rsid w:val="001E5675"/>
    <w:rsid w:val="001E5AEE"/>
    <w:rsid w:val="001E5E3C"/>
    <w:rsid w:val="001E5F0D"/>
    <w:rsid w:val="001E6533"/>
    <w:rsid w:val="001E6E3E"/>
    <w:rsid w:val="001E75B3"/>
    <w:rsid w:val="001E75ED"/>
    <w:rsid w:val="001E7B22"/>
    <w:rsid w:val="001E7CB8"/>
    <w:rsid w:val="001F0119"/>
    <w:rsid w:val="001F082F"/>
    <w:rsid w:val="001F0937"/>
    <w:rsid w:val="001F125D"/>
    <w:rsid w:val="001F16CC"/>
    <w:rsid w:val="001F19C6"/>
    <w:rsid w:val="001F1E10"/>
    <w:rsid w:val="001F1ED3"/>
    <w:rsid w:val="001F21B1"/>
    <w:rsid w:val="001F21B6"/>
    <w:rsid w:val="001F2972"/>
    <w:rsid w:val="001F32D7"/>
    <w:rsid w:val="001F32E3"/>
    <w:rsid w:val="001F343E"/>
    <w:rsid w:val="001F39A8"/>
    <w:rsid w:val="001F3B4A"/>
    <w:rsid w:val="001F3E95"/>
    <w:rsid w:val="001F3F5F"/>
    <w:rsid w:val="001F444C"/>
    <w:rsid w:val="001F46F2"/>
    <w:rsid w:val="001F47F1"/>
    <w:rsid w:val="001F48C4"/>
    <w:rsid w:val="001F4AB9"/>
    <w:rsid w:val="001F4FAB"/>
    <w:rsid w:val="001F511A"/>
    <w:rsid w:val="001F60BA"/>
    <w:rsid w:val="001F6119"/>
    <w:rsid w:val="001F66AB"/>
    <w:rsid w:val="001F67A2"/>
    <w:rsid w:val="001F715B"/>
    <w:rsid w:val="001F7326"/>
    <w:rsid w:val="001F7DD7"/>
    <w:rsid w:val="001F7F57"/>
    <w:rsid w:val="00200212"/>
    <w:rsid w:val="00200354"/>
    <w:rsid w:val="00200564"/>
    <w:rsid w:val="00200B94"/>
    <w:rsid w:val="00200C79"/>
    <w:rsid w:val="00200DDE"/>
    <w:rsid w:val="00201096"/>
    <w:rsid w:val="0020170A"/>
    <w:rsid w:val="0020190F"/>
    <w:rsid w:val="00201A51"/>
    <w:rsid w:val="00202514"/>
    <w:rsid w:val="00202BC1"/>
    <w:rsid w:val="00202E49"/>
    <w:rsid w:val="00202F08"/>
    <w:rsid w:val="002030AC"/>
    <w:rsid w:val="0020331D"/>
    <w:rsid w:val="00203404"/>
    <w:rsid w:val="00203422"/>
    <w:rsid w:val="00203EE7"/>
    <w:rsid w:val="00203F9B"/>
    <w:rsid w:val="0020470C"/>
    <w:rsid w:val="00204AC4"/>
    <w:rsid w:val="00204D94"/>
    <w:rsid w:val="002050C9"/>
    <w:rsid w:val="002053C5"/>
    <w:rsid w:val="0020561C"/>
    <w:rsid w:val="002058B1"/>
    <w:rsid w:val="002061C2"/>
    <w:rsid w:val="002061E6"/>
    <w:rsid w:val="002062CC"/>
    <w:rsid w:val="002063BA"/>
    <w:rsid w:val="002064DB"/>
    <w:rsid w:val="00206BBB"/>
    <w:rsid w:val="00206DF7"/>
    <w:rsid w:val="00206FD0"/>
    <w:rsid w:val="002075F4"/>
    <w:rsid w:val="00207AA9"/>
    <w:rsid w:val="002101BD"/>
    <w:rsid w:val="0021046B"/>
    <w:rsid w:val="002104E3"/>
    <w:rsid w:val="0021079B"/>
    <w:rsid w:val="00210BB9"/>
    <w:rsid w:val="002113F5"/>
    <w:rsid w:val="00211494"/>
    <w:rsid w:val="00211CE1"/>
    <w:rsid w:val="002120F6"/>
    <w:rsid w:val="002121EF"/>
    <w:rsid w:val="0021236B"/>
    <w:rsid w:val="0021237F"/>
    <w:rsid w:val="00212629"/>
    <w:rsid w:val="002130BD"/>
    <w:rsid w:val="0021332C"/>
    <w:rsid w:val="002133A8"/>
    <w:rsid w:val="00213A0A"/>
    <w:rsid w:val="002147CD"/>
    <w:rsid w:val="002148EB"/>
    <w:rsid w:val="00214B03"/>
    <w:rsid w:val="00214C3F"/>
    <w:rsid w:val="00214FAA"/>
    <w:rsid w:val="00215212"/>
    <w:rsid w:val="002163A9"/>
    <w:rsid w:val="0021735F"/>
    <w:rsid w:val="0022044B"/>
    <w:rsid w:val="0022046F"/>
    <w:rsid w:val="00220872"/>
    <w:rsid w:val="00220E47"/>
    <w:rsid w:val="0022123F"/>
    <w:rsid w:val="002217A2"/>
    <w:rsid w:val="00221A73"/>
    <w:rsid w:val="00221A99"/>
    <w:rsid w:val="00221E18"/>
    <w:rsid w:val="0022201B"/>
    <w:rsid w:val="0022210D"/>
    <w:rsid w:val="002224B3"/>
    <w:rsid w:val="0022298D"/>
    <w:rsid w:val="00222A57"/>
    <w:rsid w:val="00222CF2"/>
    <w:rsid w:val="00222D38"/>
    <w:rsid w:val="00222EFA"/>
    <w:rsid w:val="002236CE"/>
    <w:rsid w:val="00224070"/>
    <w:rsid w:val="002241C2"/>
    <w:rsid w:val="00224303"/>
    <w:rsid w:val="002244BF"/>
    <w:rsid w:val="00224558"/>
    <w:rsid w:val="0022482F"/>
    <w:rsid w:val="0022494D"/>
    <w:rsid w:val="00224BA6"/>
    <w:rsid w:val="00224BAB"/>
    <w:rsid w:val="00224E94"/>
    <w:rsid w:val="00224F0E"/>
    <w:rsid w:val="0022502F"/>
    <w:rsid w:val="00225039"/>
    <w:rsid w:val="0022549F"/>
    <w:rsid w:val="0022569E"/>
    <w:rsid w:val="002257D2"/>
    <w:rsid w:val="00225D52"/>
    <w:rsid w:val="002263CA"/>
    <w:rsid w:val="00226852"/>
    <w:rsid w:val="00226DCF"/>
    <w:rsid w:val="002271ED"/>
    <w:rsid w:val="00227356"/>
    <w:rsid w:val="00227950"/>
    <w:rsid w:val="00227E68"/>
    <w:rsid w:val="0023005C"/>
    <w:rsid w:val="002303D6"/>
    <w:rsid w:val="0023046D"/>
    <w:rsid w:val="002304F8"/>
    <w:rsid w:val="00230564"/>
    <w:rsid w:val="00230E6B"/>
    <w:rsid w:val="0023113C"/>
    <w:rsid w:val="002313AE"/>
    <w:rsid w:val="00231A6C"/>
    <w:rsid w:val="00231B46"/>
    <w:rsid w:val="00231C32"/>
    <w:rsid w:val="00231F05"/>
    <w:rsid w:val="00232090"/>
    <w:rsid w:val="00232440"/>
    <w:rsid w:val="002329F3"/>
    <w:rsid w:val="00232EE9"/>
    <w:rsid w:val="002330CD"/>
    <w:rsid w:val="00233219"/>
    <w:rsid w:val="00233629"/>
    <w:rsid w:val="00234A2D"/>
    <w:rsid w:val="00234AAC"/>
    <w:rsid w:val="00234DE4"/>
    <w:rsid w:val="00234F00"/>
    <w:rsid w:val="0023508C"/>
    <w:rsid w:val="002352A6"/>
    <w:rsid w:val="00235527"/>
    <w:rsid w:val="002356AF"/>
    <w:rsid w:val="002356BD"/>
    <w:rsid w:val="00235A3C"/>
    <w:rsid w:val="00235CC1"/>
    <w:rsid w:val="00235E4C"/>
    <w:rsid w:val="00235EF9"/>
    <w:rsid w:val="0023601E"/>
    <w:rsid w:val="002361C2"/>
    <w:rsid w:val="00236900"/>
    <w:rsid w:val="00236ABD"/>
    <w:rsid w:val="0023792F"/>
    <w:rsid w:val="00237A1A"/>
    <w:rsid w:val="002403FE"/>
    <w:rsid w:val="0024082E"/>
    <w:rsid w:val="00240956"/>
    <w:rsid w:val="002409EA"/>
    <w:rsid w:val="00240D07"/>
    <w:rsid w:val="00240E2D"/>
    <w:rsid w:val="002411FA"/>
    <w:rsid w:val="002413CA"/>
    <w:rsid w:val="00241D38"/>
    <w:rsid w:val="00241DF9"/>
    <w:rsid w:val="00242091"/>
    <w:rsid w:val="002422FD"/>
    <w:rsid w:val="002423DF"/>
    <w:rsid w:val="00242500"/>
    <w:rsid w:val="002427E6"/>
    <w:rsid w:val="00242DCD"/>
    <w:rsid w:val="0024304C"/>
    <w:rsid w:val="002430E0"/>
    <w:rsid w:val="0024322C"/>
    <w:rsid w:val="002433DC"/>
    <w:rsid w:val="00243EF0"/>
    <w:rsid w:val="00244606"/>
    <w:rsid w:val="00244E79"/>
    <w:rsid w:val="002452E0"/>
    <w:rsid w:val="002454D8"/>
    <w:rsid w:val="002454E2"/>
    <w:rsid w:val="002457A5"/>
    <w:rsid w:val="002457E6"/>
    <w:rsid w:val="00245B4B"/>
    <w:rsid w:val="00245B62"/>
    <w:rsid w:val="00246113"/>
    <w:rsid w:val="00246311"/>
    <w:rsid w:val="00247989"/>
    <w:rsid w:val="00247ED5"/>
    <w:rsid w:val="00247F64"/>
    <w:rsid w:val="0025016C"/>
    <w:rsid w:val="002505CA"/>
    <w:rsid w:val="00250A3F"/>
    <w:rsid w:val="00250B10"/>
    <w:rsid w:val="00250B22"/>
    <w:rsid w:val="002512EF"/>
    <w:rsid w:val="00251483"/>
    <w:rsid w:val="002517FB"/>
    <w:rsid w:val="002519C6"/>
    <w:rsid w:val="00252F91"/>
    <w:rsid w:val="0025341A"/>
    <w:rsid w:val="002537C0"/>
    <w:rsid w:val="002540C2"/>
    <w:rsid w:val="00254551"/>
    <w:rsid w:val="00254C86"/>
    <w:rsid w:val="00255039"/>
    <w:rsid w:val="00255104"/>
    <w:rsid w:val="0025538A"/>
    <w:rsid w:val="00255530"/>
    <w:rsid w:val="00255EB4"/>
    <w:rsid w:val="002566ED"/>
    <w:rsid w:val="00256726"/>
    <w:rsid w:val="00256965"/>
    <w:rsid w:val="002572B7"/>
    <w:rsid w:val="00257976"/>
    <w:rsid w:val="00257EB0"/>
    <w:rsid w:val="002600EB"/>
    <w:rsid w:val="00260281"/>
    <w:rsid w:val="00260310"/>
    <w:rsid w:val="0026037F"/>
    <w:rsid w:val="00260EB6"/>
    <w:rsid w:val="0026119D"/>
    <w:rsid w:val="002619D5"/>
    <w:rsid w:val="00262343"/>
    <w:rsid w:val="00262A30"/>
    <w:rsid w:val="00262FD5"/>
    <w:rsid w:val="002633CC"/>
    <w:rsid w:val="002638AE"/>
    <w:rsid w:val="002638DC"/>
    <w:rsid w:val="002638DD"/>
    <w:rsid w:val="00263F72"/>
    <w:rsid w:val="00263FD9"/>
    <w:rsid w:val="002641FB"/>
    <w:rsid w:val="0026560A"/>
    <w:rsid w:val="002657DE"/>
    <w:rsid w:val="00266474"/>
    <w:rsid w:val="002664F3"/>
    <w:rsid w:val="00266723"/>
    <w:rsid w:val="002668BB"/>
    <w:rsid w:val="00266AB0"/>
    <w:rsid w:val="00266ADF"/>
    <w:rsid w:val="00266EA1"/>
    <w:rsid w:val="00266ED7"/>
    <w:rsid w:val="00267240"/>
    <w:rsid w:val="002676F9"/>
    <w:rsid w:val="00267B46"/>
    <w:rsid w:val="00267B5D"/>
    <w:rsid w:val="00267BD0"/>
    <w:rsid w:val="00267F32"/>
    <w:rsid w:val="002700FA"/>
    <w:rsid w:val="0027038C"/>
    <w:rsid w:val="00270962"/>
    <w:rsid w:val="002711D5"/>
    <w:rsid w:val="00271450"/>
    <w:rsid w:val="00271BFF"/>
    <w:rsid w:val="00271D01"/>
    <w:rsid w:val="002721EE"/>
    <w:rsid w:val="002722DF"/>
    <w:rsid w:val="00272571"/>
    <w:rsid w:val="0027277C"/>
    <w:rsid w:val="00272BC8"/>
    <w:rsid w:val="00272F28"/>
    <w:rsid w:val="00273242"/>
    <w:rsid w:val="00273481"/>
    <w:rsid w:val="00273CDF"/>
    <w:rsid w:val="0027401D"/>
    <w:rsid w:val="00274191"/>
    <w:rsid w:val="002745EA"/>
    <w:rsid w:val="00274881"/>
    <w:rsid w:val="00274ECA"/>
    <w:rsid w:val="00275351"/>
    <w:rsid w:val="002759E5"/>
    <w:rsid w:val="00275A6D"/>
    <w:rsid w:val="0027646C"/>
    <w:rsid w:val="002766D8"/>
    <w:rsid w:val="002767E3"/>
    <w:rsid w:val="0027693B"/>
    <w:rsid w:val="00276A15"/>
    <w:rsid w:val="00277C51"/>
    <w:rsid w:val="00277DB0"/>
    <w:rsid w:val="0028015E"/>
    <w:rsid w:val="002806A9"/>
    <w:rsid w:val="00280740"/>
    <w:rsid w:val="0028075A"/>
    <w:rsid w:val="0028079A"/>
    <w:rsid w:val="00281131"/>
    <w:rsid w:val="0028176D"/>
    <w:rsid w:val="00281A37"/>
    <w:rsid w:val="00281CF9"/>
    <w:rsid w:val="00282521"/>
    <w:rsid w:val="00282660"/>
    <w:rsid w:val="002828FD"/>
    <w:rsid w:val="002829AB"/>
    <w:rsid w:val="00282C26"/>
    <w:rsid w:val="00283065"/>
    <w:rsid w:val="00283072"/>
    <w:rsid w:val="00283103"/>
    <w:rsid w:val="00283154"/>
    <w:rsid w:val="0028327B"/>
    <w:rsid w:val="00283288"/>
    <w:rsid w:val="002834F9"/>
    <w:rsid w:val="00283A26"/>
    <w:rsid w:val="00283AAC"/>
    <w:rsid w:val="00284406"/>
    <w:rsid w:val="00284D95"/>
    <w:rsid w:val="0028557B"/>
    <w:rsid w:val="00285640"/>
    <w:rsid w:val="0028576B"/>
    <w:rsid w:val="00285B4A"/>
    <w:rsid w:val="00285D21"/>
    <w:rsid w:val="00285E1F"/>
    <w:rsid w:val="002866B5"/>
    <w:rsid w:val="0028686E"/>
    <w:rsid w:val="00286915"/>
    <w:rsid w:val="00286A62"/>
    <w:rsid w:val="00286D95"/>
    <w:rsid w:val="00287312"/>
    <w:rsid w:val="00287AF3"/>
    <w:rsid w:val="00287F9C"/>
    <w:rsid w:val="00290A6B"/>
    <w:rsid w:val="00290C14"/>
    <w:rsid w:val="00290E41"/>
    <w:rsid w:val="0029110D"/>
    <w:rsid w:val="00292074"/>
    <w:rsid w:val="0029277F"/>
    <w:rsid w:val="00292BD3"/>
    <w:rsid w:val="00292C2F"/>
    <w:rsid w:val="00292C72"/>
    <w:rsid w:val="00292D0C"/>
    <w:rsid w:val="00292E11"/>
    <w:rsid w:val="0029354C"/>
    <w:rsid w:val="00293667"/>
    <w:rsid w:val="00294617"/>
    <w:rsid w:val="00294686"/>
    <w:rsid w:val="00294811"/>
    <w:rsid w:val="00294E23"/>
    <w:rsid w:val="0029512F"/>
    <w:rsid w:val="002954B8"/>
    <w:rsid w:val="0029595D"/>
    <w:rsid w:val="00295B61"/>
    <w:rsid w:val="00296593"/>
    <w:rsid w:val="0029663B"/>
    <w:rsid w:val="002967D0"/>
    <w:rsid w:val="002967F3"/>
    <w:rsid w:val="002968B9"/>
    <w:rsid w:val="00296BCC"/>
    <w:rsid w:val="00297121"/>
    <w:rsid w:val="002971E6"/>
    <w:rsid w:val="002972B9"/>
    <w:rsid w:val="002973AB"/>
    <w:rsid w:val="00297E72"/>
    <w:rsid w:val="002A0095"/>
    <w:rsid w:val="002A0F9E"/>
    <w:rsid w:val="002A1261"/>
    <w:rsid w:val="002A15DA"/>
    <w:rsid w:val="002A1967"/>
    <w:rsid w:val="002A1A7D"/>
    <w:rsid w:val="002A1B24"/>
    <w:rsid w:val="002A1CFC"/>
    <w:rsid w:val="002A1DFB"/>
    <w:rsid w:val="002A1EFC"/>
    <w:rsid w:val="002A1FA2"/>
    <w:rsid w:val="002A24E0"/>
    <w:rsid w:val="002A271E"/>
    <w:rsid w:val="002A27F2"/>
    <w:rsid w:val="002A3032"/>
    <w:rsid w:val="002A303C"/>
    <w:rsid w:val="002A3FF5"/>
    <w:rsid w:val="002A4045"/>
    <w:rsid w:val="002A407F"/>
    <w:rsid w:val="002A4736"/>
    <w:rsid w:val="002A4F8B"/>
    <w:rsid w:val="002A50BA"/>
    <w:rsid w:val="002A5811"/>
    <w:rsid w:val="002A58B9"/>
    <w:rsid w:val="002A5B18"/>
    <w:rsid w:val="002A5E3F"/>
    <w:rsid w:val="002A63A6"/>
    <w:rsid w:val="002A67B8"/>
    <w:rsid w:val="002A6842"/>
    <w:rsid w:val="002A6AD4"/>
    <w:rsid w:val="002A6ADB"/>
    <w:rsid w:val="002A6D19"/>
    <w:rsid w:val="002A7208"/>
    <w:rsid w:val="002A73D5"/>
    <w:rsid w:val="002A75F7"/>
    <w:rsid w:val="002A787B"/>
    <w:rsid w:val="002A7997"/>
    <w:rsid w:val="002B02AA"/>
    <w:rsid w:val="002B0319"/>
    <w:rsid w:val="002B06CD"/>
    <w:rsid w:val="002B0933"/>
    <w:rsid w:val="002B0C69"/>
    <w:rsid w:val="002B0CC2"/>
    <w:rsid w:val="002B0DD7"/>
    <w:rsid w:val="002B130A"/>
    <w:rsid w:val="002B1756"/>
    <w:rsid w:val="002B17BB"/>
    <w:rsid w:val="002B1830"/>
    <w:rsid w:val="002B1B1B"/>
    <w:rsid w:val="002B212A"/>
    <w:rsid w:val="002B21FE"/>
    <w:rsid w:val="002B25D3"/>
    <w:rsid w:val="002B25E6"/>
    <w:rsid w:val="002B2C08"/>
    <w:rsid w:val="002B2F9D"/>
    <w:rsid w:val="002B3120"/>
    <w:rsid w:val="002B3312"/>
    <w:rsid w:val="002B3A08"/>
    <w:rsid w:val="002B3F1F"/>
    <w:rsid w:val="002B464A"/>
    <w:rsid w:val="002B4A31"/>
    <w:rsid w:val="002B52FD"/>
    <w:rsid w:val="002B5531"/>
    <w:rsid w:val="002B5DC3"/>
    <w:rsid w:val="002B5DF0"/>
    <w:rsid w:val="002B63E6"/>
    <w:rsid w:val="002B64EF"/>
    <w:rsid w:val="002B650F"/>
    <w:rsid w:val="002B6702"/>
    <w:rsid w:val="002B690B"/>
    <w:rsid w:val="002B7067"/>
    <w:rsid w:val="002B7722"/>
    <w:rsid w:val="002C01BC"/>
    <w:rsid w:val="002C0B73"/>
    <w:rsid w:val="002C0B9F"/>
    <w:rsid w:val="002C12B9"/>
    <w:rsid w:val="002C1439"/>
    <w:rsid w:val="002C1645"/>
    <w:rsid w:val="002C18BE"/>
    <w:rsid w:val="002C1949"/>
    <w:rsid w:val="002C24B4"/>
    <w:rsid w:val="002C2511"/>
    <w:rsid w:val="002C2579"/>
    <w:rsid w:val="002C2B99"/>
    <w:rsid w:val="002C2C61"/>
    <w:rsid w:val="002C2D97"/>
    <w:rsid w:val="002C31FB"/>
    <w:rsid w:val="002C3225"/>
    <w:rsid w:val="002C3762"/>
    <w:rsid w:val="002C3784"/>
    <w:rsid w:val="002C408D"/>
    <w:rsid w:val="002C4202"/>
    <w:rsid w:val="002C4225"/>
    <w:rsid w:val="002C4657"/>
    <w:rsid w:val="002C4E97"/>
    <w:rsid w:val="002C4F8A"/>
    <w:rsid w:val="002C580F"/>
    <w:rsid w:val="002C5EF9"/>
    <w:rsid w:val="002C61F9"/>
    <w:rsid w:val="002C62CB"/>
    <w:rsid w:val="002C638B"/>
    <w:rsid w:val="002C6D5C"/>
    <w:rsid w:val="002C719D"/>
    <w:rsid w:val="002C7363"/>
    <w:rsid w:val="002C76A2"/>
    <w:rsid w:val="002C76E1"/>
    <w:rsid w:val="002C7CEC"/>
    <w:rsid w:val="002D00A1"/>
    <w:rsid w:val="002D0121"/>
    <w:rsid w:val="002D047D"/>
    <w:rsid w:val="002D0491"/>
    <w:rsid w:val="002D0941"/>
    <w:rsid w:val="002D0F0F"/>
    <w:rsid w:val="002D14AA"/>
    <w:rsid w:val="002D1EEC"/>
    <w:rsid w:val="002D1FF7"/>
    <w:rsid w:val="002D20E9"/>
    <w:rsid w:val="002D2310"/>
    <w:rsid w:val="002D25C6"/>
    <w:rsid w:val="002D2616"/>
    <w:rsid w:val="002D2C13"/>
    <w:rsid w:val="002D2D38"/>
    <w:rsid w:val="002D2EB5"/>
    <w:rsid w:val="002D3A56"/>
    <w:rsid w:val="002D3B0D"/>
    <w:rsid w:val="002D43B9"/>
    <w:rsid w:val="002D447C"/>
    <w:rsid w:val="002D4E59"/>
    <w:rsid w:val="002D4FF0"/>
    <w:rsid w:val="002D52EC"/>
    <w:rsid w:val="002D56CE"/>
    <w:rsid w:val="002D59BA"/>
    <w:rsid w:val="002D69A7"/>
    <w:rsid w:val="002D6A7D"/>
    <w:rsid w:val="002D6B97"/>
    <w:rsid w:val="002D6C7D"/>
    <w:rsid w:val="002D6CA6"/>
    <w:rsid w:val="002D6D28"/>
    <w:rsid w:val="002D6D5B"/>
    <w:rsid w:val="002D6E7E"/>
    <w:rsid w:val="002D713E"/>
    <w:rsid w:val="002D76DE"/>
    <w:rsid w:val="002D7A86"/>
    <w:rsid w:val="002D7FD9"/>
    <w:rsid w:val="002E00CC"/>
    <w:rsid w:val="002E024D"/>
    <w:rsid w:val="002E03F5"/>
    <w:rsid w:val="002E0B52"/>
    <w:rsid w:val="002E0E17"/>
    <w:rsid w:val="002E109C"/>
    <w:rsid w:val="002E16E6"/>
    <w:rsid w:val="002E187D"/>
    <w:rsid w:val="002E18C9"/>
    <w:rsid w:val="002E1B83"/>
    <w:rsid w:val="002E1F60"/>
    <w:rsid w:val="002E20EE"/>
    <w:rsid w:val="002E2821"/>
    <w:rsid w:val="002E2995"/>
    <w:rsid w:val="002E2A4F"/>
    <w:rsid w:val="002E2B33"/>
    <w:rsid w:val="002E2CB0"/>
    <w:rsid w:val="002E2EDA"/>
    <w:rsid w:val="002E3450"/>
    <w:rsid w:val="002E3459"/>
    <w:rsid w:val="002E3479"/>
    <w:rsid w:val="002E3BE3"/>
    <w:rsid w:val="002E4860"/>
    <w:rsid w:val="002E59A6"/>
    <w:rsid w:val="002E5C23"/>
    <w:rsid w:val="002E604D"/>
    <w:rsid w:val="002E62A4"/>
    <w:rsid w:val="002E641D"/>
    <w:rsid w:val="002E6705"/>
    <w:rsid w:val="002E678C"/>
    <w:rsid w:val="002E6AD5"/>
    <w:rsid w:val="002E6D09"/>
    <w:rsid w:val="002E709B"/>
    <w:rsid w:val="002E766E"/>
    <w:rsid w:val="002E7677"/>
    <w:rsid w:val="002E792F"/>
    <w:rsid w:val="002E7D11"/>
    <w:rsid w:val="002E7E98"/>
    <w:rsid w:val="002E7F3A"/>
    <w:rsid w:val="002F010D"/>
    <w:rsid w:val="002F020E"/>
    <w:rsid w:val="002F07B5"/>
    <w:rsid w:val="002F1239"/>
    <w:rsid w:val="002F14F9"/>
    <w:rsid w:val="002F1C34"/>
    <w:rsid w:val="002F1E74"/>
    <w:rsid w:val="002F201B"/>
    <w:rsid w:val="002F22B0"/>
    <w:rsid w:val="002F2377"/>
    <w:rsid w:val="002F23C0"/>
    <w:rsid w:val="002F23D6"/>
    <w:rsid w:val="002F246B"/>
    <w:rsid w:val="002F256A"/>
    <w:rsid w:val="002F25EE"/>
    <w:rsid w:val="002F2822"/>
    <w:rsid w:val="002F2D02"/>
    <w:rsid w:val="002F2E03"/>
    <w:rsid w:val="002F2F4F"/>
    <w:rsid w:val="002F3926"/>
    <w:rsid w:val="002F39BB"/>
    <w:rsid w:val="002F3BF7"/>
    <w:rsid w:val="002F3FC8"/>
    <w:rsid w:val="002F46A8"/>
    <w:rsid w:val="002F4952"/>
    <w:rsid w:val="002F4DB4"/>
    <w:rsid w:val="002F4F77"/>
    <w:rsid w:val="002F4FDA"/>
    <w:rsid w:val="002F52D2"/>
    <w:rsid w:val="002F5926"/>
    <w:rsid w:val="002F5AAE"/>
    <w:rsid w:val="002F5ACA"/>
    <w:rsid w:val="002F5D91"/>
    <w:rsid w:val="002F60D5"/>
    <w:rsid w:val="002F69B0"/>
    <w:rsid w:val="002F6B06"/>
    <w:rsid w:val="002F6B2B"/>
    <w:rsid w:val="002F738A"/>
    <w:rsid w:val="002F7406"/>
    <w:rsid w:val="002F75C1"/>
    <w:rsid w:val="002F7702"/>
    <w:rsid w:val="002F78E6"/>
    <w:rsid w:val="002F7BA1"/>
    <w:rsid w:val="002F7BB5"/>
    <w:rsid w:val="002F7BDA"/>
    <w:rsid w:val="003001C3"/>
    <w:rsid w:val="003001D6"/>
    <w:rsid w:val="003002BB"/>
    <w:rsid w:val="00300A88"/>
    <w:rsid w:val="00300D3C"/>
    <w:rsid w:val="0030135A"/>
    <w:rsid w:val="00301426"/>
    <w:rsid w:val="00301741"/>
    <w:rsid w:val="003017C2"/>
    <w:rsid w:val="0030202A"/>
    <w:rsid w:val="00302704"/>
    <w:rsid w:val="003029DB"/>
    <w:rsid w:val="00302E92"/>
    <w:rsid w:val="00303393"/>
    <w:rsid w:val="0030361D"/>
    <w:rsid w:val="00303D4F"/>
    <w:rsid w:val="00303ED3"/>
    <w:rsid w:val="00304303"/>
    <w:rsid w:val="00304436"/>
    <w:rsid w:val="00304EBC"/>
    <w:rsid w:val="003050E0"/>
    <w:rsid w:val="00305104"/>
    <w:rsid w:val="00305C34"/>
    <w:rsid w:val="00305F89"/>
    <w:rsid w:val="003060F8"/>
    <w:rsid w:val="00306166"/>
    <w:rsid w:val="0030661C"/>
    <w:rsid w:val="00307583"/>
    <w:rsid w:val="003077A6"/>
    <w:rsid w:val="0030785C"/>
    <w:rsid w:val="00307E3F"/>
    <w:rsid w:val="00307F6E"/>
    <w:rsid w:val="003100D9"/>
    <w:rsid w:val="00310386"/>
    <w:rsid w:val="00310439"/>
    <w:rsid w:val="003109B5"/>
    <w:rsid w:val="00311074"/>
    <w:rsid w:val="0031188B"/>
    <w:rsid w:val="00311D69"/>
    <w:rsid w:val="003120E1"/>
    <w:rsid w:val="00312538"/>
    <w:rsid w:val="00312A50"/>
    <w:rsid w:val="00312DEF"/>
    <w:rsid w:val="00313333"/>
    <w:rsid w:val="003139E7"/>
    <w:rsid w:val="00313AE7"/>
    <w:rsid w:val="00313BA1"/>
    <w:rsid w:val="00313D90"/>
    <w:rsid w:val="0031402D"/>
    <w:rsid w:val="003141AE"/>
    <w:rsid w:val="003147A6"/>
    <w:rsid w:val="00314A3E"/>
    <w:rsid w:val="00314D87"/>
    <w:rsid w:val="00314DF6"/>
    <w:rsid w:val="00315B83"/>
    <w:rsid w:val="00316093"/>
    <w:rsid w:val="003160DB"/>
    <w:rsid w:val="00316BC4"/>
    <w:rsid w:val="00317438"/>
    <w:rsid w:val="0031749B"/>
    <w:rsid w:val="0031763F"/>
    <w:rsid w:val="003178F6"/>
    <w:rsid w:val="0032096A"/>
    <w:rsid w:val="00320CEF"/>
    <w:rsid w:val="00320D7B"/>
    <w:rsid w:val="0032122C"/>
    <w:rsid w:val="0032142D"/>
    <w:rsid w:val="00321442"/>
    <w:rsid w:val="00321C39"/>
    <w:rsid w:val="0032219F"/>
    <w:rsid w:val="0032255A"/>
    <w:rsid w:val="003228A6"/>
    <w:rsid w:val="00322A51"/>
    <w:rsid w:val="00322AFD"/>
    <w:rsid w:val="00322C21"/>
    <w:rsid w:val="00322D95"/>
    <w:rsid w:val="00322D96"/>
    <w:rsid w:val="00322DB0"/>
    <w:rsid w:val="00322EBB"/>
    <w:rsid w:val="0032302B"/>
    <w:rsid w:val="00323268"/>
    <w:rsid w:val="003237FC"/>
    <w:rsid w:val="00323BE4"/>
    <w:rsid w:val="00323D6F"/>
    <w:rsid w:val="00323DC7"/>
    <w:rsid w:val="003247AF"/>
    <w:rsid w:val="00324AFB"/>
    <w:rsid w:val="00324E75"/>
    <w:rsid w:val="0032645D"/>
    <w:rsid w:val="003266B4"/>
    <w:rsid w:val="00326960"/>
    <w:rsid w:val="00326BB9"/>
    <w:rsid w:val="00326ECB"/>
    <w:rsid w:val="00327747"/>
    <w:rsid w:val="00327AE5"/>
    <w:rsid w:val="00330074"/>
    <w:rsid w:val="00330A27"/>
    <w:rsid w:val="00330BEF"/>
    <w:rsid w:val="003317F4"/>
    <w:rsid w:val="003318DE"/>
    <w:rsid w:val="00331B0B"/>
    <w:rsid w:val="00331C69"/>
    <w:rsid w:val="00332B19"/>
    <w:rsid w:val="00332C9E"/>
    <w:rsid w:val="003330FD"/>
    <w:rsid w:val="00333180"/>
    <w:rsid w:val="003331A6"/>
    <w:rsid w:val="003336C5"/>
    <w:rsid w:val="00333D56"/>
    <w:rsid w:val="00334080"/>
    <w:rsid w:val="00334145"/>
    <w:rsid w:val="00334810"/>
    <w:rsid w:val="00334ABE"/>
    <w:rsid w:val="003351D0"/>
    <w:rsid w:val="0033541C"/>
    <w:rsid w:val="0033543D"/>
    <w:rsid w:val="003358DA"/>
    <w:rsid w:val="003359A2"/>
    <w:rsid w:val="00335A0E"/>
    <w:rsid w:val="00335B15"/>
    <w:rsid w:val="00335EF2"/>
    <w:rsid w:val="003362B3"/>
    <w:rsid w:val="00336B09"/>
    <w:rsid w:val="00336E1B"/>
    <w:rsid w:val="00336E30"/>
    <w:rsid w:val="00336E60"/>
    <w:rsid w:val="00336FD5"/>
    <w:rsid w:val="0033711A"/>
    <w:rsid w:val="003371CB"/>
    <w:rsid w:val="0033730A"/>
    <w:rsid w:val="0033788C"/>
    <w:rsid w:val="0033799F"/>
    <w:rsid w:val="00337A5F"/>
    <w:rsid w:val="00337D63"/>
    <w:rsid w:val="00337D95"/>
    <w:rsid w:val="003401CC"/>
    <w:rsid w:val="00340DAF"/>
    <w:rsid w:val="003412C8"/>
    <w:rsid w:val="003412ED"/>
    <w:rsid w:val="003414B6"/>
    <w:rsid w:val="003417BA"/>
    <w:rsid w:val="00341F1F"/>
    <w:rsid w:val="00342533"/>
    <w:rsid w:val="003434C6"/>
    <w:rsid w:val="003438DA"/>
    <w:rsid w:val="00344567"/>
    <w:rsid w:val="0034470D"/>
    <w:rsid w:val="0034482B"/>
    <w:rsid w:val="00344F0A"/>
    <w:rsid w:val="00344FE6"/>
    <w:rsid w:val="00345181"/>
    <w:rsid w:val="003456B4"/>
    <w:rsid w:val="00345794"/>
    <w:rsid w:val="00345BFB"/>
    <w:rsid w:val="00345C2C"/>
    <w:rsid w:val="0034634E"/>
    <w:rsid w:val="003464BE"/>
    <w:rsid w:val="00346779"/>
    <w:rsid w:val="00346CCD"/>
    <w:rsid w:val="00347383"/>
    <w:rsid w:val="003474B7"/>
    <w:rsid w:val="00347F1B"/>
    <w:rsid w:val="003501BC"/>
    <w:rsid w:val="0035111E"/>
    <w:rsid w:val="003516D4"/>
    <w:rsid w:val="00351784"/>
    <w:rsid w:val="00351F4C"/>
    <w:rsid w:val="003521EC"/>
    <w:rsid w:val="00352AAF"/>
    <w:rsid w:val="00352C7D"/>
    <w:rsid w:val="003532EC"/>
    <w:rsid w:val="0035343F"/>
    <w:rsid w:val="003534B4"/>
    <w:rsid w:val="00353D4B"/>
    <w:rsid w:val="00353E17"/>
    <w:rsid w:val="00354005"/>
    <w:rsid w:val="00354107"/>
    <w:rsid w:val="00354BC9"/>
    <w:rsid w:val="00355779"/>
    <w:rsid w:val="003557BC"/>
    <w:rsid w:val="00355894"/>
    <w:rsid w:val="00355938"/>
    <w:rsid w:val="00355999"/>
    <w:rsid w:val="00355CB8"/>
    <w:rsid w:val="00355D50"/>
    <w:rsid w:val="0035601F"/>
    <w:rsid w:val="003563E1"/>
    <w:rsid w:val="003564CF"/>
    <w:rsid w:val="0035683D"/>
    <w:rsid w:val="00356918"/>
    <w:rsid w:val="00356C4A"/>
    <w:rsid w:val="00356DA9"/>
    <w:rsid w:val="003571C7"/>
    <w:rsid w:val="003572D1"/>
    <w:rsid w:val="0035774D"/>
    <w:rsid w:val="003577D9"/>
    <w:rsid w:val="00357A00"/>
    <w:rsid w:val="00357F33"/>
    <w:rsid w:val="003600C6"/>
    <w:rsid w:val="00360B9C"/>
    <w:rsid w:val="00360D0B"/>
    <w:rsid w:val="00360ECE"/>
    <w:rsid w:val="00360F49"/>
    <w:rsid w:val="00361143"/>
    <w:rsid w:val="00361227"/>
    <w:rsid w:val="0036139B"/>
    <w:rsid w:val="00361715"/>
    <w:rsid w:val="00361B98"/>
    <w:rsid w:val="00361C96"/>
    <w:rsid w:val="00361D75"/>
    <w:rsid w:val="00361E08"/>
    <w:rsid w:val="00361E47"/>
    <w:rsid w:val="003621BC"/>
    <w:rsid w:val="0036240A"/>
    <w:rsid w:val="003625C5"/>
    <w:rsid w:val="0036295E"/>
    <w:rsid w:val="00362D40"/>
    <w:rsid w:val="00362E5E"/>
    <w:rsid w:val="0036338E"/>
    <w:rsid w:val="003633BF"/>
    <w:rsid w:val="003633F4"/>
    <w:rsid w:val="00363589"/>
    <w:rsid w:val="003635E5"/>
    <w:rsid w:val="00363CD0"/>
    <w:rsid w:val="00363E0C"/>
    <w:rsid w:val="00363FAE"/>
    <w:rsid w:val="00364253"/>
    <w:rsid w:val="00364530"/>
    <w:rsid w:val="003646DE"/>
    <w:rsid w:val="00364D36"/>
    <w:rsid w:val="00364EF1"/>
    <w:rsid w:val="003655E1"/>
    <w:rsid w:val="00365AE3"/>
    <w:rsid w:val="00365EF0"/>
    <w:rsid w:val="003660E9"/>
    <w:rsid w:val="003661A4"/>
    <w:rsid w:val="003663D5"/>
    <w:rsid w:val="00366933"/>
    <w:rsid w:val="00366982"/>
    <w:rsid w:val="003677B5"/>
    <w:rsid w:val="00367E06"/>
    <w:rsid w:val="003700EF"/>
    <w:rsid w:val="003702FF"/>
    <w:rsid w:val="00370AF6"/>
    <w:rsid w:val="00370DEA"/>
    <w:rsid w:val="003710DC"/>
    <w:rsid w:val="0037130B"/>
    <w:rsid w:val="00371360"/>
    <w:rsid w:val="003713D6"/>
    <w:rsid w:val="003715FB"/>
    <w:rsid w:val="00372D7E"/>
    <w:rsid w:val="00373E3D"/>
    <w:rsid w:val="00374809"/>
    <w:rsid w:val="00374966"/>
    <w:rsid w:val="00374C3A"/>
    <w:rsid w:val="00374D1E"/>
    <w:rsid w:val="0037504E"/>
    <w:rsid w:val="0037609F"/>
    <w:rsid w:val="00376375"/>
    <w:rsid w:val="003763E1"/>
    <w:rsid w:val="0037682F"/>
    <w:rsid w:val="003769D2"/>
    <w:rsid w:val="00376BB8"/>
    <w:rsid w:val="00376E7F"/>
    <w:rsid w:val="00377096"/>
    <w:rsid w:val="003770B6"/>
    <w:rsid w:val="00377206"/>
    <w:rsid w:val="003779E6"/>
    <w:rsid w:val="00377A82"/>
    <w:rsid w:val="00380411"/>
    <w:rsid w:val="003805FF"/>
    <w:rsid w:val="00380AF1"/>
    <w:rsid w:val="00380BD2"/>
    <w:rsid w:val="00380F20"/>
    <w:rsid w:val="003810AA"/>
    <w:rsid w:val="003811B8"/>
    <w:rsid w:val="003815DF"/>
    <w:rsid w:val="003815FE"/>
    <w:rsid w:val="00381BA9"/>
    <w:rsid w:val="003828A1"/>
    <w:rsid w:val="003829A2"/>
    <w:rsid w:val="00382E71"/>
    <w:rsid w:val="003832E8"/>
    <w:rsid w:val="003833D1"/>
    <w:rsid w:val="0038340B"/>
    <w:rsid w:val="00383521"/>
    <w:rsid w:val="00383823"/>
    <w:rsid w:val="0038489E"/>
    <w:rsid w:val="00384A69"/>
    <w:rsid w:val="0038518E"/>
    <w:rsid w:val="0038560D"/>
    <w:rsid w:val="00385A0F"/>
    <w:rsid w:val="0038601D"/>
    <w:rsid w:val="003862F8"/>
    <w:rsid w:val="0038634F"/>
    <w:rsid w:val="003864B5"/>
    <w:rsid w:val="003869C9"/>
    <w:rsid w:val="00386FE8"/>
    <w:rsid w:val="0038747B"/>
    <w:rsid w:val="00387750"/>
    <w:rsid w:val="00387803"/>
    <w:rsid w:val="00387FCB"/>
    <w:rsid w:val="0039004E"/>
    <w:rsid w:val="003900A4"/>
    <w:rsid w:val="00390209"/>
    <w:rsid w:val="0039058C"/>
    <w:rsid w:val="00390967"/>
    <w:rsid w:val="00390E50"/>
    <w:rsid w:val="00390EE6"/>
    <w:rsid w:val="003910E9"/>
    <w:rsid w:val="00391700"/>
    <w:rsid w:val="003923CA"/>
    <w:rsid w:val="00392557"/>
    <w:rsid w:val="0039299D"/>
    <w:rsid w:val="00392A14"/>
    <w:rsid w:val="00392A63"/>
    <w:rsid w:val="00392CB6"/>
    <w:rsid w:val="00392FEB"/>
    <w:rsid w:val="00393327"/>
    <w:rsid w:val="00393347"/>
    <w:rsid w:val="003935C9"/>
    <w:rsid w:val="00393A67"/>
    <w:rsid w:val="00393B16"/>
    <w:rsid w:val="00394BED"/>
    <w:rsid w:val="00394EF4"/>
    <w:rsid w:val="00395360"/>
    <w:rsid w:val="0039566C"/>
    <w:rsid w:val="00395772"/>
    <w:rsid w:val="003959E4"/>
    <w:rsid w:val="00395A7D"/>
    <w:rsid w:val="00395C2C"/>
    <w:rsid w:val="00395D5E"/>
    <w:rsid w:val="0039630A"/>
    <w:rsid w:val="00396689"/>
    <w:rsid w:val="00396D43"/>
    <w:rsid w:val="00396FB3"/>
    <w:rsid w:val="00397567"/>
    <w:rsid w:val="00397620"/>
    <w:rsid w:val="003976C4"/>
    <w:rsid w:val="00397A22"/>
    <w:rsid w:val="00397B7B"/>
    <w:rsid w:val="003A0A7E"/>
    <w:rsid w:val="003A0DE4"/>
    <w:rsid w:val="003A0EDE"/>
    <w:rsid w:val="003A101B"/>
    <w:rsid w:val="003A156E"/>
    <w:rsid w:val="003A1743"/>
    <w:rsid w:val="003A17B9"/>
    <w:rsid w:val="003A1903"/>
    <w:rsid w:val="003A1C6D"/>
    <w:rsid w:val="003A25F4"/>
    <w:rsid w:val="003A2948"/>
    <w:rsid w:val="003A29B6"/>
    <w:rsid w:val="003A367C"/>
    <w:rsid w:val="003A3719"/>
    <w:rsid w:val="003A44DA"/>
    <w:rsid w:val="003A463A"/>
    <w:rsid w:val="003A51A1"/>
    <w:rsid w:val="003A56DC"/>
    <w:rsid w:val="003A573C"/>
    <w:rsid w:val="003A583A"/>
    <w:rsid w:val="003A5F35"/>
    <w:rsid w:val="003A6110"/>
    <w:rsid w:val="003A6AF7"/>
    <w:rsid w:val="003A6B48"/>
    <w:rsid w:val="003A711B"/>
    <w:rsid w:val="003A73DA"/>
    <w:rsid w:val="003A7EF0"/>
    <w:rsid w:val="003B0194"/>
    <w:rsid w:val="003B03C4"/>
    <w:rsid w:val="003B0FCA"/>
    <w:rsid w:val="003B0FCD"/>
    <w:rsid w:val="003B1140"/>
    <w:rsid w:val="003B13C3"/>
    <w:rsid w:val="003B1410"/>
    <w:rsid w:val="003B18F9"/>
    <w:rsid w:val="003B1EEB"/>
    <w:rsid w:val="003B3764"/>
    <w:rsid w:val="003B38DA"/>
    <w:rsid w:val="003B39B7"/>
    <w:rsid w:val="003B3B19"/>
    <w:rsid w:val="003B4017"/>
    <w:rsid w:val="003B408C"/>
    <w:rsid w:val="003B4455"/>
    <w:rsid w:val="003B44C5"/>
    <w:rsid w:val="003B50E3"/>
    <w:rsid w:val="003B55F6"/>
    <w:rsid w:val="003B59B0"/>
    <w:rsid w:val="003B5B55"/>
    <w:rsid w:val="003B5EA5"/>
    <w:rsid w:val="003B6A65"/>
    <w:rsid w:val="003B6B5B"/>
    <w:rsid w:val="003B6FEA"/>
    <w:rsid w:val="003B74D8"/>
    <w:rsid w:val="003B77DE"/>
    <w:rsid w:val="003B7813"/>
    <w:rsid w:val="003B7992"/>
    <w:rsid w:val="003B7AF3"/>
    <w:rsid w:val="003B7B7D"/>
    <w:rsid w:val="003C0E5E"/>
    <w:rsid w:val="003C0F94"/>
    <w:rsid w:val="003C1783"/>
    <w:rsid w:val="003C1C59"/>
    <w:rsid w:val="003C1DD2"/>
    <w:rsid w:val="003C226F"/>
    <w:rsid w:val="003C286D"/>
    <w:rsid w:val="003C2987"/>
    <w:rsid w:val="003C2BC2"/>
    <w:rsid w:val="003C2FC0"/>
    <w:rsid w:val="003C2FF0"/>
    <w:rsid w:val="003C35D8"/>
    <w:rsid w:val="003C361D"/>
    <w:rsid w:val="003C3B4E"/>
    <w:rsid w:val="003C3C33"/>
    <w:rsid w:val="003C3EBE"/>
    <w:rsid w:val="003C3FEE"/>
    <w:rsid w:val="003C40CD"/>
    <w:rsid w:val="003C43AA"/>
    <w:rsid w:val="003C44DC"/>
    <w:rsid w:val="003C44EE"/>
    <w:rsid w:val="003C4CB4"/>
    <w:rsid w:val="003C55FD"/>
    <w:rsid w:val="003C56D8"/>
    <w:rsid w:val="003C56E6"/>
    <w:rsid w:val="003C59FA"/>
    <w:rsid w:val="003C5C18"/>
    <w:rsid w:val="003C5E17"/>
    <w:rsid w:val="003C5F95"/>
    <w:rsid w:val="003C6307"/>
    <w:rsid w:val="003C634B"/>
    <w:rsid w:val="003C636C"/>
    <w:rsid w:val="003C6DDF"/>
    <w:rsid w:val="003C6F17"/>
    <w:rsid w:val="003C7217"/>
    <w:rsid w:val="003C77D4"/>
    <w:rsid w:val="003C79F3"/>
    <w:rsid w:val="003C7AF6"/>
    <w:rsid w:val="003C7B7F"/>
    <w:rsid w:val="003C7C82"/>
    <w:rsid w:val="003C7D4E"/>
    <w:rsid w:val="003C7FC6"/>
    <w:rsid w:val="003D00CA"/>
    <w:rsid w:val="003D095E"/>
    <w:rsid w:val="003D0EDC"/>
    <w:rsid w:val="003D1235"/>
    <w:rsid w:val="003D128E"/>
    <w:rsid w:val="003D12A7"/>
    <w:rsid w:val="003D156F"/>
    <w:rsid w:val="003D18F1"/>
    <w:rsid w:val="003D1E01"/>
    <w:rsid w:val="003D1E36"/>
    <w:rsid w:val="003D22C1"/>
    <w:rsid w:val="003D2704"/>
    <w:rsid w:val="003D2B12"/>
    <w:rsid w:val="003D2EA3"/>
    <w:rsid w:val="003D3165"/>
    <w:rsid w:val="003D31E7"/>
    <w:rsid w:val="003D332B"/>
    <w:rsid w:val="003D38DE"/>
    <w:rsid w:val="003D3B02"/>
    <w:rsid w:val="003D3D47"/>
    <w:rsid w:val="003D3E3C"/>
    <w:rsid w:val="003D3EC9"/>
    <w:rsid w:val="003D4344"/>
    <w:rsid w:val="003D4414"/>
    <w:rsid w:val="003D4669"/>
    <w:rsid w:val="003D4C12"/>
    <w:rsid w:val="003D4D55"/>
    <w:rsid w:val="003D54EC"/>
    <w:rsid w:val="003D5B53"/>
    <w:rsid w:val="003D5F9A"/>
    <w:rsid w:val="003D61AE"/>
    <w:rsid w:val="003D65BF"/>
    <w:rsid w:val="003D6DC1"/>
    <w:rsid w:val="003D6EED"/>
    <w:rsid w:val="003D71A1"/>
    <w:rsid w:val="003D7493"/>
    <w:rsid w:val="003D7661"/>
    <w:rsid w:val="003D7714"/>
    <w:rsid w:val="003D791D"/>
    <w:rsid w:val="003D7AF4"/>
    <w:rsid w:val="003D7F5F"/>
    <w:rsid w:val="003E0313"/>
    <w:rsid w:val="003E05B9"/>
    <w:rsid w:val="003E08CF"/>
    <w:rsid w:val="003E1644"/>
    <w:rsid w:val="003E1749"/>
    <w:rsid w:val="003E195D"/>
    <w:rsid w:val="003E1D8B"/>
    <w:rsid w:val="003E1E74"/>
    <w:rsid w:val="003E2885"/>
    <w:rsid w:val="003E2BF0"/>
    <w:rsid w:val="003E2BF6"/>
    <w:rsid w:val="003E2C69"/>
    <w:rsid w:val="003E2E39"/>
    <w:rsid w:val="003E2F09"/>
    <w:rsid w:val="003E30DC"/>
    <w:rsid w:val="003E31D5"/>
    <w:rsid w:val="003E3264"/>
    <w:rsid w:val="003E33C5"/>
    <w:rsid w:val="003E35A5"/>
    <w:rsid w:val="003E3835"/>
    <w:rsid w:val="003E3DA1"/>
    <w:rsid w:val="003E3E0A"/>
    <w:rsid w:val="003E3E23"/>
    <w:rsid w:val="003E3F87"/>
    <w:rsid w:val="003E4544"/>
    <w:rsid w:val="003E4C76"/>
    <w:rsid w:val="003E4E78"/>
    <w:rsid w:val="003E530F"/>
    <w:rsid w:val="003E54D7"/>
    <w:rsid w:val="003E59B4"/>
    <w:rsid w:val="003E5EBF"/>
    <w:rsid w:val="003E64DF"/>
    <w:rsid w:val="003E65F5"/>
    <w:rsid w:val="003E6C12"/>
    <w:rsid w:val="003E75A8"/>
    <w:rsid w:val="003E7B62"/>
    <w:rsid w:val="003F0108"/>
    <w:rsid w:val="003F068F"/>
    <w:rsid w:val="003F077F"/>
    <w:rsid w:val="003F07CC"/>
    <w:rsid w:val="003F0858"/>
    <w:rsid w:val="003F160E"/>
    <w:rsid w:val="003F1A0F"/>
    <w:rsid w:val="003F1E0A"/>
    <w:rsid w:val="003F220B"/>
    <w:rsid w:val="003F2492"/>
    <w:rsid w:val="003F24F3"/>
    <w:rsid w:val="003F2DC2"/>
    <w:rsid w:val="003F2E44"/>
    <w:rsid w:val="003F324B"/>
    <w:rsid w:val="003F3447"/>
    <w:rsid w:val="003F35D4"/>
    <w:rsid w:val="003F3709"/>
    <w:rsid w:val="003F3DF4"/>
    <w:rsid w:val="003F4538"/>
    <w:rsid w:val="003F458E"/>
    <w:rsid w:val="003F4912"/>
    <w:rsid w:val="003F4ED7"/>
    <w:rsid w:val="003F523E"/>
    <w:rsid w:val="003F553D"/>
    <w:rsid w:val="003F57D5"/>
    <w:rsid w:val="003F5A94"/>
    <w:rsid w:val="003F5EE4"/>
    <w:rsid w:val="003F6498"/>
    <w:rsid w:val="003F64BD"/>
    <w:rsid w:val="003F6B16"/>
    <w:rsid w:val="003F7271"/>
    <w:rsid w:val="003F7735"/>
    <w:rsid w:val="003F7BF6"/>
    <w:rsid w:val="003F7D24"/>
    <w:rsid w:val="003F7F88"/>
    <w:rsid w:val="004000D6"/>
    <w:rsid w:val="00400353"/>
    <w:rsid w:val="0040096B"/>
    <w:rsid w:val="00400A98"/>
    <w:rsid w:val="00400E61"/>
    <w:rsid w:val="0040174A"/>
    <w:rsid w:val="004018BF"/>
    <w:rsid w:val="00401E33"/>
    <w:rsid w:val="0040251E"/>
    <w:rsid w:val="00402AB5"/>
    <w:rsid w:val="0040312D"/>
    <w:rsid w:val="00403296"/>
    <w:rsid w:val="004039DC"/>
    <w:rsid w:val="00403B29"/>
    <w:rsid w:val="004040A9"/>
    <w:rsid w:val="004041ED"/>
    <w:rsid w:val="00404C24"/>
    <w:rsid w:val="00404FAC"/>
    <w:rsid w:val="00404FBB"/>
    <w:rsid w:val="004050B0"/>
    <w:rsid w:val="00405131"/>
    <w:rsid w:val="004052B7"/>
    <w:rsid w:val="00405944"/>
    <w:rsid w:val="00405B88"/>
    <w:rsid w:val="00405B8F"/>
    <w:rsid w:val="00405DA8"/>
    <w:rsid w:val="0040662C"/>
    <w:rsid w:val="00406778"/>
    <w:rsid w:val="004068FF"/>
    <w:rsid w:val="00407153"/>
    <w:rsid w:val="00407521"/>
    <w:rsid w:val="004075B8"/>
    <w:rsid w:val="00407B4F"/>
    <w:rsid w:val="00407C53"/>
    <w:rsid w:val="004106FC"/>
    <w:rsid w:val="004109A0"/>
    <w:rsid w:val="00410AE8"/>
    <w:rsid w:val="00410CA9"/>
    <w:rsid w:val="00411282"/>
    <w:rsid w:val="00411A68"/>
    <w:rsid w:val="00411BBA"/>
    <w:rsid w:val="00411D56"/>
    <w:rsid w:val="00411F68"/>
    <w:rsid w:val="004120FF"/>
    <w:rsid w:val="00412132"/>
    <w:rsid w:val="00412873"/>
    <w:rsid w:val="00412B00"/>
    <w:rsid w:val="00412BA4"/>
    <w:rsid w:val="00412E61"/>
    <w:rsid w:val="00413117"/>
    <w:rsid w:val="00413126"/>
    <w:rsid w:val="0041346B"/>
    <w:rsid w:val="004136EF"/>
    <w:rsid w:val="00413D3C"/>
    <w:rsid w:val="00413E82"/>
    <w:rsid w:val="00413F0E"/>
    <w:rsid w:val="004141A7"/>
    <w:rsid w:val="004141DD"/>
    <w:rsid w:val="0041428B"/>
    <w:rsid w:val="00414A7F"/>
    <w:rsid w:val="00414AB9"/>
    <w:rsid w:val="00414CAE"/>
    <w:rsid w:val="00414D01"/>
    <w:rsid w:val="00414DA6"/>
    <w:rsid w:val="00415E1F"/>
    <w:rsid w:val="00415E22"/>
    <w:rsid w:val="0041604E"/>
    <w:rsid w:val="00416880"/>
    <w:rsid w:val="00416A90"/>
    <w:rsid w:val="00416ACB"/>
    <w:rsid w:val="00416C84"/>
    <w:rsid w:val="00416CF0"/>
    <w:rsid w:val="00416D65"/>
    <w:rsid w:val="00417939"/>
    <w:rsid w:val="00417E07"/>
    <w:rsid w:val="0042017D"/>
    <w:rsid w:val="0042040F"/>
    <w:rsid w:val="00420610"/>
    <w:rsid w:val="0042062E"/>
    <w:rsid w:val="0042070B"/>
    <w:rsid w:val="004210C7"/>
    <w:rsid w:val="004210D9"/>
    <w:rsid w:val="00421179"/>
    <w:rsid w:val="004212AA"/>
    <w:rsid w:val="00421439"/>
    <w:rsid w:val="00421855"/>
    <w:rsid w:val="00421860"/>
    <w:rsid w:val="00421F3F"/>
    <w:rsid w:val="0042215C"/>
    <w:rsid w:val="004227C3"/>
    <w:rsid w:val="004227F0"/>
    <w:rsid w:val="00422BA1"/>
    <w:rsid w:val="00422CB2"/>
    <w:rsid w:val="00422D0C"/>
    <w:rsid w:val="004230B2"/>
    <w:rsid w:val="0042330B"/>
    <w:rsid w:val="004243A2"/>
    <w:rsid w:val="004243A7"/>
    <w:rsid w:val="00424807"/>
    <w:rsid w:val="004251E5"/>
    <w:rsid w:val="00425442"/>
    <w:rsid w:val="004258E7"/>
    <w:rsid w:val="00426400"/>
    <w:rsid w:val="00426413"/>
    <w:rsid w:val="004266BE"/>
    <w:rsid w:val="00426896"/>
    <w:rsid w:val="00426C86"/>
    <w:rsid w:val="00426E1C"/>
    <w:rsid w:val="00426F29"/>
    <w:rsid w:val="00427194"/>
    <w:rsid w:val="004271E4"/>
    <w:rsid w:val="004277D9"/>
    <w:rsid w:val="00430354"/>
    <w:rsid w:val="0043078B"/>
    <w:rsid w:val="00430C7C"/>
    <w:rsid w:val="004313E2"/>
    <w:rsid w:val="0043149A"/>
    <w:rsid w:val="00431823"/>
    <w:rsid w:val="00432C5F"/>
    <w:rsid w:val="00432CF9"/>
    <w:rsid w:val="00432E4D"/>
    <w:rsid w:val="00432E4E"/>
    <w:rsid w:val="00432F43"/>
    <w:rsid w:val="00433103"/>
    <w:rsid w:val="00433187"/>
    <w:rsid w:val="00433530"/>
    <w:rsid w:val="00433662"/>
    <w:rsid w:val="00433838"/>
    <w:rsid w:val="004339C6"/>
    <w:rsid w:val="00433EBB"/>
    <w:rsid w:val="00434060"/>
    <w:rsid w:val="004341F2"/>
    <w:rsid w:val="00434426"/>
    <w:rsid w:val="0043449C"/>
    <w:rsid w:val="00434511"/>
    <w:rsid w:val="00434629"/>
    <w:rsid w:val="00434939"/>
    <w:rsid w:val="00434961"/>
    <w:rsid w:val="00434F53"/>
    <w:rsid w:val="00435173"/>
    <w:rsid w:val="004351B8"/>
    <w:rsid w:val="0043529D"/>
    <w:rsid w:val="004353E1"/>
    <w:rsid w:val="004355A1"/>
    <w:rsid w:val="00435AEC"/>
    <w:rsid w:val="00435D23"/>
    <w:rsid w:val="00435EDD"/>
    <w:rsid w:val="0043650B"/>
    <w:rsid w:val="00436AD7"/>
    <w:rsid w:val="004370E6"/>
    <w:rsid w:val="00437C01"/>
    <w:rsid w:val="004400AD"/>
    <w:rsid w:val="0044048F"/>
    <w:rsid w:val="0044060E"/>
    <w:rsid w:val="004407F3"/>
    <w:rsid w:val="004408B9"/>
    <w:rsid w:val="0044121E"/>
    <w:rsid w:val="0044126B"/>
    <w:rsid w:val="0044206A"/>
    <w:rsid w:val="0044237A"/>
    <w:rsid w:val="00442695"/>
    <w:rsid w:val="00442702"/>
    <w:rsid w:val="004428A8"/>
    <w:rsid w:val="0044299B"/>
    <w:rsid w:val="00442B27"/>
    <w:rsid w:val="00442C06"/>
    <w:rsid w:val="0044310C"/>
    <w:rsid w:val="0044349A"/>
    <w:rsid w:val="0044360F"/>
    <w:rsid w:val="0044390C"/>
    <w:rsid w:val="0044392F"/>
    <w:rsid w:val="00443BA2"/>
    <w:rsid w:val="00443F6D"/>
    <w:rsid w:val="00444337"/>
    <w:rsid w:val="004443A7"/>
    <w:rsid w:val="00444432"/>
    <w:rsid w:val="0044486B"/>
    <w:rsid w:val="004448DF"/>
    <w:rsid w:val="004448F8"/>
    <w:rsid w:val="004449CD"/>
    <w:rsid w:val="004451CF"/>
    <w:rsid w:val="0044544F"/>
    <w:rsid w:val="0044546E"/>
    <w:rsid w:val="0044549D"/>
    <w:rsid w:val="00445506"/>
    <w:rsid w:val="00445983"/>
    <w:rsid w:val="004459FD"/>
    <w:rsid w:val="00445A01"/>
    <w:rsid w:val="00445E67"/>
    <w:rsid w:val="00446037"/>
    <w:rsid w:val="00446090"/>
    <w:rsid w:val="0044639C"/>
    <w:rsid w:val="004463EF"/>
    <w:rsid w:val="00446627"/>
    <w:rsid w:val="00446A95"/>
    <w:rsid w:val="00446F8B"/>
    <w:rsid w:val="004472E3"/>
    <w:rsid w:val="00447392"/>
    <w:rsid w:val="004474CF"/>
    <w:rsid w:val="004475CA"/>
    <w:rsid w:val="00447668"/>
    <w:rsid w:val="004477E7"/>
    <w:rsid w:val="00447B98"/>
    <w:rsid w:val="004501D6"/>
    <w:rsid w:val="00450984"/>
    <w:rsid w:val="00450A7A"/>
    <w:rsid w:val="00451288"/>
    <w:rsid w:val="00451443"/>
    <w:rsid w:val="004516E7"/>
    <w:rsid w:val="00451D98"/>
    <w:rsid w:val="00452331"/>
    <w:rsid w:val="0045255F"/>
    <w:rsid w:val="00452B21"/>
    <w:rsid w:val="00452DE5"/>
    <w:rsid w:val="0045323B"/>
    <w:rsid w:val="004536D7"/>
    <w:rsid w:val="004537AB"/>
    <w:rsid w:val="00453E2A"/>
    <w:rsid w:val="00453F1C"/>
    <w:rsid w:val="0045405F"/>
    <w:rsid w:val="00455B64"/>
    <w:rsid w:val="00455C82"/>
    <w:rsid w:val="00455D07"/>
    <w:rsid w:val="00456420"/>
    <w:rsid w:val="004565CA"/>
    <w:rsid w:val="0045671F"/>
    <w:rsid w:val="00456C5A"/>
    <w:rsid w:val="00456E61"/>
    <w:rsid w:val="004576FD"/>
    <w:rsid w:val="00457B2F"/>
    <w:rsid w:val="00457CF2"/>
    <w:rsid w:val="00460512"/>
    <w:rsid w:val="00460C92"/>
    <w:rsid w:val="00460DD5"/>
    <w:rsid w:val="00460EB8"/>
    <w:rsid w:val="0046160C"/>
    <w:rsid w:val="00461616"/>
    <w:rsid w:val="004618CD"/>
    <w:rsid w:val="00461B7C"/>
    <w:rsid w:val="00461BAA"/>
    <w:rsid w:val="00461DBF"/>
    <w:rsid w:val="00461FD0"/>
    <w:rsid w:val="00461FE1"/>
    <w:rsid w:val="004622D6"/>
    <w:rsid w:val="004623E3"/>
    <w:rsid w:val="004626D8"/>
    <w:rsid w:val="00462EE3"/>
    <w:rsid w:val="00463287"/>
    <w:rsid w:val="004638B2"/>
    <w:rsid w:val="00463A1C"/>
    <w:rsid w:val="00463C85"/>
    <w:rsid w:val="00463DD0"/>
    <w:rsid w:val="00463E04"/>
    <w:rsid w:val="00463F53"/>
    <w:rsid w:val="004643CA"/>
    <w:rsid w:val="00464AD0"/>
    <w:rsid w:val="00464ECB"/>
    <w:rsid w:val="00465576"/>
    <w:rsid w:val="00465727"/>
    <w:rsid w:val="004658CD"/>
    <w:rsid w:val="00465920"/>
    <w:rsid w:val="00465D7D"/>
    <w:rsid w:val="00466208"/>
    <w:rsid w:val="0046677C"/>
    <w:rsid w:val="004668AE"/>
    <w:rsid w:val="004671D7"/>
    <w:rsid w:val="004673F2"/>
    <w:rsid w:val="0046748D"/>
    <w:rsid w:val="004675F2"/>
    <w:rsid w:val="0046774F"/>
    <w:rsid w:val="0046776E"/>
    <w:rsid w:val="004677CF"/>
    <w:rsid w:val="00467A10"/>
    <w:rsid w:val="00467D4F"/>
    <w:rsid w:val="004700D0"/>
    <w:rsid w:val="0047033D"/>
    <w:rsid w:val="00470626"/>
    <w:rsid w:val="004706EA"/>
    <w:rsid w:val="0047096B"/>
    <w:rsid w:val="00470FAC"/>
    <w:rsid w:val="0047104A"/>
    <w:rsid w:val="0047118D"/>
    <w:rsid w:val="00471FC7"/>
    <w:rsid w:val="004721D7"/>
    <w:rsid w:val="0047220C"/>
    <w:rsid w:val="004722E0"/>
    <w:rsid w:val="004727F3"/>
    <w:rsid w:val="00472E10"/>
    <w:rsid w:val="00472F4E"/>
    <w:rsid w:val="00472FE5"/>
    <w:rsid w:val="004737D9"/>
    <w:rsid w:val="00473D73"/>
    <w:rsid w:val="0047436F"/>
    <w:rsid w:val="0047449C"/>
    <w:rsid w:val="00474594"/>
    <w:rsid w:val="00474714"/>
    <w:rsid w:val="004747E5"/>
    <w:rsid w:val="00474927"/>
    <w:rsid w:val="00474EB3"/>
    <w:rsid w:val="0047505B"/>
    <w:rsid w:val="00475553"/>
    <w:rsid w:val="0047567F"/>
    <w:rsid w:val="004756ED"/>
    <w:rsid w:val="00475783"/>
    <w:rsid w:val="00475A2F"/>
    <w:rsid w:val="00475E9F"/>
    <w:rsid w:val="00476750"/>
    <w:rsid w:val="004767FB"/>
    <w:rsid w:val="0047682A"/>
    <w:rsid w:val="00476C74"/>
    <w:rsid w:val="00476CD1"/>
    <w:rsid w:val="00477844"/>
    <w:rsid w:val="00477871"/>
    <w:rsid w:val="00477A68"/>
    <w:rsid w:val="00480251"/>
    <w:rsid w:val="004802FC"/>
    <w:rsid w:val="004803DE"/>
    <w:rsid w:val="0048042F"/>
    <w:rsid w:val="00480635"/>
    <w:rsid w:val="0048070B"/>
    <w:rsid w:val="00480E62"/>
    <w:rsid w:val="00480F93"/>
    <w:rsid w:val="00481D52"/>
    <w:rsid w:val="0048220B"/>
    <w:rsid w:val="0048232C"/>
    <w:rsid w:val="004824A4"/>
    <w:rsid w:val="004825BA"/>
    <w:rsid w:val="00482671"/>
    <w:rsid w:val="004826AE"/>
    <w:rsid w:val="00482903"/>
    <w:rsid w:val="004829A9"/>
    <w:rsid w:val="0048300A"/>
    <w:rsid w:val="00483096"/>
    <w:rsid w:val="0048329C"/>
    <w:rsid w:val="00483394"/>
    <w:rsid w:val="004834C2"/>
    <w:rsid w:val="004836C0"/>
    <w:rsid w:val="0048418F"/>
    <w:rsid w:val="004841DD"/>
    <w:rsid w:val="00484253"/>
    <w:rsid w:val="00484385"/>
    <w:rsid w:val="004843A3"/>
    <w:rsid w:val="00484413"/>
    <w:rsid w:val="00484A40"/>
    <w:rsid w:val="004853DE"/>
    <w:rsid w:val="004856AE"/>
    <w:rsid w:val="004859ED"/>
    <w:rsid w:val="00485B12"/>
    <w:rsid w:val="00485B62"/>
    <w:rsid w:val="00485C70"/>
    <w:rsid w:val="00485D9D"/>
    <w:rsid w:val="00485DB7"/>
    <w:rsid w:val="00485ECF"/>
    <w:rsid w:val="00486710"/>
    <w:rsid w:val="00486F98"/>
    <w:rsid w:val="0048757F"/>
    <w:rsid w:val="0048772C"/>
    <w:rsid w:val="00487A95"/>
    <w:rsid w:val="00490137"/>
    <w:rsid w:val="0049021F"/>
    <w:rsid w:val="00490345"/>
    <w:rsid w:val="00490A6C"/>
    <w:rsid w:val="00490C5A"/>
    <w:rsid w:val="00490F04"/>
    <w:rsid w:val="004911C7"/>
    <w:rsid w:val="004913D3"/>
    <w:rsid w:val="0049140F"/>
    <w:rsid w:val="00491479"/>
    <w:rsid w:val="00491C94"/>
    <w:rsid w:val="00491D75"/>
    <w:rsid w:val="004922AA"/>
    <w:rsid w:val="004924EF"/>
    <w:rsid w:val="00492AF7"/>
    <w:rsid w:val="00492D1A"/>
    <w:rsid w:val="00492EB4"/>
    <w:rsid w:val="00493079"/>
    <w:rsid w:val="004931D2"/>
    <w:rsid w:val="004933DD"/>
    <w:rsid w:val="004935F5"/>
    <w:rsid w:val="00493A74"/>
    <w:rsid w:val="0049453F"/>
    <w:rsid w:val="004948A3"/>
    <w:rsid w:val="0049496A"/>
    <w:rsid w:val="00494AFC"/>
    <w:rsid w:val="00494C97"/>
    <w:rsid w:val="00494DCD"/>
    <w:rsid w:val="004951B8"/>
    <w:rsid w:val="0049530A"/>
    <w:rsid w:val="004953B8"/>
    <w:rsid w:val="004954B7"/>
    <w:rsid w:val="0049560E"/>
    <w:rsid w:val="004958FE"/>
    <w:rsid w:val="00495C15"/>
    <w:rsid w:val="00495C58"/>
    <w:rsid w:val="0049603B"/>
    <w:rsid w:val="004960BD"/>
    <w:rsid w:val="004963A1"/>
    <w:rsid w:val="00496FD3"/>
    <w:rsid w:val="004970F1"/>
    <w:rsid w:val="0049714A"/>
    <w:rsid w:val="004971E2"/>
    <w:rsid w:val="00497570"/>
    <w:rsid w:val="004978B1"/>
    <w:rsid w:val="00497959"/>
    <w:rsid w:val="00497F0A"/>
    <w:rsid w:val="004A0334"/>
    <w:rsid w:val="004A04BF"/>
    <w:rsid w:val="004A06F7"/>
    <w:rsid w:val="004A09E7"/>
    <w:rsid w:val="004A0C15"/>
    <w:rsid w:val="004A0DC6"/>
    <w:rsid w:val="004A0E11"/>
    <w:rsid w:val="004A0F05"/>
    <w:rsid w:val="004A116B"/>
    <w:rsid w:val="004A1221"/>
    <w:rsid w:val="004A132A"/>
    <w:rsid w:val="004A1512"/>
    <w:rsid w:val="004A16A2"/>
    <w:rsid w:val="004A1995"/>
    <w:rsid w:val="004A1FC3"/>
    <w:rsid w:val="004A21FD"/>
    <w:rsid w:val="004A22E3"/>
    <w:rsid w:val="004A242A"/>
    <w:rsid w:val="004A2CE0"/>
    <w:rsid w:val="004A2DB1"/>
    <w:rsid w:val="004A302C"/>
    <w:rsid w:val="004A31A8"/>
    <w:rsid w:val="004A329F"/>
    <w:rsid w:val="004A3361"/>
    <w:rsid w:val="004A3365"/>
    <w:rsid w:val="004A3680"/>
    <w:rsid w:val="004A3928"/>
    <w:rsid w:val="004A3C50"/>
    <w:rsid w:val="004A3E81"/>
    <w:rsid w:val="004A4073"/>
    <w:rsid w:val="004A41D5"/>
    <w:rsid w:val="004A4AB1"/>
    <w:rsid w:val="004A51B0"/>
    <w:rsid w:val="004A52DF"/>
    <w:rsid w:val="004A561A"/>
    <w:rsid w:val="004A5D75"/>
    <w:rsid w:val="004A6021"/>
    <w:rsid w:val="004A65C6"/>
    <w:rsid w:val="004A69CB"/>
    <w:rsid w:val="004A6C1D"/>
    <w:rsid w:val="004A6CC6"/>
    <w:rsid w:val="004A6D33"/>
    <w:rsid w:val="004A72B3"/>
    <w:rsid w:val="004A7865"/>
    <w:rsid w:val="004A7A8C"/>
    <w:rsid w:val="004A7C15"/>
    <w:rsid w:val="004A7DD8"/>
    <w:rsid w:val="004B00FA"/>
    <w:rsid w:val="004B019C"/>
    <w:rsid w:val="004B04D9"/>
    <w:rsid w:val="004B0526"/>
    <w:rsid w:val="004B06AF"/>
    <w:rsid w:val="004B07FC"/>
    <w:rsid w:val="004B0A49"/>
    <w:rsid w:val="004B0D90"/>
    <w:rsid w:val="004B0DB9"/>
    <w:rsid w:val="004B0E3F"/>
    <w:rsid w:val="004B0E64"/>
    <w:rsid w:val="004B1061"/>
    <w:rsid w:val="004B1AFF"/>
    <w:rsid w:val="004B1D27"/>
    <w:rsid w:val="004B1D45"/>
    <w:rsid w:val="004B259C"/>
    <w:rsid w:val="004B2B4F"/>
    <w:rsid w:val="004B2C22"/>
    <w:rsid w:val="004B2CE1"/>
    <w:rsid w:val="004B2DE3"/>
    <w:rsid w:val="004B2DF2"/>
    <w:rsid w:val="004B3043"/>
    <w:rsid w:val="004B30BD"/>
    <w:rsid w:val="004B4020"/>
    <w:rsid w:val="004B4097"/>
    <w:rsid w:val="004B4C85"/>
    <w:rsid w:val="004B4E94"/>
    <w:rsid w:val="004B5305"/>
    <w:rsid w:val="004B56F3"/>
    <w:rsid w:val="004B5712"/>
    <w:rsid w:val="004B5A90"/>
    <w:rsid w:val="004B5C28"/>
    <w:rsid w:val="004B6634"/>
    <w:rsid w:val="004B6A8D"/>
    <w:rsid w:val="004B6C0E"/>
    <w:rsid w:val="004B6C1C"/>
    <w:rsid w:val="004B6CAD"/>
    <w:rsid w:val="004B74A7"/>
    <w:rsid w:val="004C02DA"/>
    <w:rsid w:val="004C04E7"/>
    <w:rsid w:val="004C096F"/>
    <w:rsid w:val="004C0CD9"/>
    <w:rsid w:val="004C0E7A"/>
    <w:rsid w:val="004C1D3A"/>
    <w:rsid w:val="004C1F7F"/>
    <w:rsid w:val="004C226B"/>
    <w:rsid w:val="004C233B"/>
    <w:rsid w:val="004C31A1"/>
    <w:rsid w:val="004C324C"/>
    <w:rsid w:val="004C34CA"/>
    <w:rsid w:val="004C3B40"/>
    <w:rsid w:val="004C3B67"/>
    <w:rsid w:val="004C3C9D"/>
    <w:rsid w:val="004C401B"/>
    <w:rsid w:val="004C493C"/>
    <w:rsid w:val="004C4A08"/>
    <w:rsid w:val="004C4B04"/>
    <w:rsid w:val="004C52E3"/>
    <w:rsid w:val="004C593E"/>
    <w:rsid w:val="004C5F78"/>
    <w:rsid w:val="004C61EC"/>
    <w:rsid w:val="004C6870"/>
    <w:rsid w:val="004C68B5"/>
    <w:rsid w:val="004C6D31"/>
    <w:rsid w:val="004C6E0F"/>
    <w:rsid w:val="004C7364"/>
    <w:rsid w:val="004C79C6"/>
    <w:rsid w:val="004C7AE1"/>
    <w:rsid w:val="004D03DE"/>
    <w:rsid w:val="004D06AA"/>
    <w:rsid w:val="004D0C06"/>
    <w:rsid w:val="004D0E49"/>
    <w:rsid w:val="004D1232"/>
    <w:rsid w:val="004D1627"/>
    <w:rsid w:val="004D1775"/>
    <w:rsid w:val="004D19BE"/>
    <w:rsid w:val="004D1F1D"/>
    <w:rsid w:val="004D26C7"/>
    <w:rsid w:val="004D2713"/>
    <w:rsid w:val="004D29C6"/>
    <w:rsid w:val="004D3690"/>
    <w:rsid w:val="004D39AB"/>
    <w:rsid w:val="004D3C92"/>
    <w:rsid w:val="004D3F0A"/>
    <w:rsid w:val="004D40AA"/>
    <w:rsid w:val="004D4711"/>
    <w:rsid w:val="004D474C"/>
    <w:rsid w:val="004D4BC4"/>
    <w:rsid w:val="004D53F0"/>
    <w:rsid w:val="004D5C00"/>
    <w:rsid w:val="004D5DE7"/>
    <w:rsid w:val="004D640B"/>
    <w:rsid w:val="004D679A"/>
    <w:rsid w:val="004D6FB1"/>
    <w:rsid w:val="004D7622"/>
    <w:rsid w:val="004D7CD4"/>
    <w:rsid w:val="004D7E78"/>
    <w:rsid w:val="004E0512"/>
    <w:rsid w:val="004E0845"/>
    <w:rsid w:val="004E0933"/>
    <w:rsid w:val="004E0C67"/>
    <w:rsid w:val="004E0D68"/>
    <w:rsid w:val="004E0ED3"/>
    <w:rsid w:val="004E1670"/>
    <w:rsid w:val="004E19EC"/>
    <w:rsid w:val="004E1C58"/>
    <w:rsid w:val="004E1CA4"/>
    <w:rsid w:val="004E1F0D"/>
    <w:rsid w:val="004E23CE"/>
    <w:rsid w:val="004E252D"/>
    <w:rsid w:val="004E2734"/>
    <w:rsid w:val="004E2AB2"/>
    <w:rsid w:val="004E2D89"/>
    <w:rsid w:val="004E2E0B"/>
    <w:rsid w:val="004E30BA"/>
    <w:rsid w:val="004E30D5"/>
    <w:rsid w:val="004E30EC"/>
    <w:rsid w:val="004E4063"/>
    <w:rsid w:val="004E4609"/>
    <w:rsid w:val="004E47A1"/>
    <w:rsid w:val="004E484A"/>
    <w:rsid w:val="004E48E1"/>
    <w:rsid w:val="004E54AC"/>
    <w:rsid w:val="004E586D"/>
    <w:rsid w:val="004E592C"/>
    <w:rsid w:val="004E5C56"/>
    <w:rsid w:val="004E639C"/>
    <w:rsid w:val="004E67E2"/>
    <w:rsid w:val="004E6FD5"/>
    <w:rsid w:val="004E7715"/>
    <w:rsid w:val="004E7923"/>
    <w:rsid w:val="004E7C51"/>
    <w:rsid w:val="004E7C91"/>
    <w:rsid w:val="004E7DFF"/>
    <w:rsid w:val="004F0945"/>
    <w:rsid w:val="004F0BB2"/>
    <w:rsid w:val="004F0D7D"/>
    <w:rsid w:val="004F0FB5"/>
    <w:rsid w:val="004F13CB"/>
    <w:rsid w:val="004F1430"/>
    <w:rsid w:val="004F1AFF"/>
    <w:rsid w:val="004F25FF"/>
    <w:rsid w:val="004F26BD"/>
    <w:rsid w:val="004F26DF"/>
    <w:rsid w:val="004F2773"/>
    <w:rsid w:val="004F29B4"/>
    <w:rsid w:val="004F2FF5"/>
    <w:rsid w:val="004F3172"/>
    <w:rsid w:val="004F37AF"/>
    <w:rsid w:val="004F3D48"/>
    <w:rsid w:val="004F4157"/>
    <w:rsid w:val="004F451F"/>
    <w:rsid w:val="004F4617"/>
    <w:rsid w:val="004F4923"/>
    <w:rsid w:val="004F4AD5"/>
    <w:rsid w:val="004F503E"/>
    <w:rsid w:val="004F5117"/>
    <w:rsid w:val="004F59A5"/>
    <w:rsid w:val="004F5A57"/>
    <w:rsid w:val="004F7196"/>
    <w:rsid w:val="004F7305"/>
    <w:rsid w:val="004F7B34"/>
    <w:rsid w:val="004F7FE8"/>
    <w:rsid w:val="00500750"/>
    <w:rsid w:val="00500B39"/>
    <w:rsid w:val="005011A2"/>
    <w:rsid w:val="00501205"/>
    <w:rsid w:val="005016AF"/>
    <w:rsid w:val="0050183A"/>
    <w:rsid w:val="00501A6C"/>
    <w:rsid w:val="00501EC0"/>
    <w:rsid w:val="0050217E"/>
    <w:rsid w:val="005024D7"/>
    <w:rsid w:val="0050287B"/>
    <w:rsid w:val="0050325F"/>
    <w:rsid w:val="00503314"/>
    <w:rsid w:val="005038F3"/>
    <w:rsid w:val="00503D90"/>
    <w:rsid w:val="005040CE"/>
    <w:rsid w:val="0050491B"/>
    <w:rsid w:val="00504F21"/>
    <w:rsid w:val="00505026"/>
    <w:rsid w:val="00505171"/>
    <w:rsid w:val="005052C1"/>
    <w:rsid w:val="005053AA"/>
    <w:rsid w:val="00505563"/>
    <w:rsid w:val="00505C3A"/>
    <w:rsid w:val="00505DE6"/>
    <w:rsid w:val="0050606A"/>
    <w:rsid w:val="00506609"/>
    <w:rsid w:val="00506A80"/>
    <w:rsid w:val="00506CB3"/>
    <w:rsid w:val="00506D6A"/>
    <w:rsid w:val="0050750B"/>
    <w:rsid w:val="005075F5"/>
    <w:rsid w:val="0050763D"/>
    <w:rsid w:val="00507708"/>
    <w:rsid w:val="005077CD"/>
    <w:rsid w:val="00507C60"/>
    <w:rsid w:val="00510190"/>
    <w:rsid w:val="005101BE"/>
    <w:rsid w:val="00510275"/>
    <w:rsid w:val="00510A63"/>
    <w:rsid w:val="00510C57"/>
    <w:rsid w:val="00510E92"/>
    <w:rsid w:val="00510F97"/>
    <w:rsid w:val="005114FE"/>
    <w:rsid w:val="00511D58"/>
    <w:rsid w:val="00511D59"/>
    <w:rsid w:val="00511DE8"/>
    <w:rsid w:val="00511F09"/>
    <w:rsid w:val="005122B2"/>
    <w:rsid w:val="005124D7"/>
    <w:rsid w:val="0051253D"/>
    <w:rsid w:val="00512C2B"/>
    <w:rsid w:val="005136BF"/>
    <w:rsid w:val="00513A2B"/>
    <w:rsid w:val="00513AAD"/>
    <w:rsid w:val="00514240"/>
    <w:rsid w:val="00514241"/>
    <w:rsid w:val="00514862"/>
    <w:rsid w:val="00514B22"/>
    <w:rsid w:val="00514E97"/>
    <w:rsid w:val="00515087"/>
    <w:rsid w:val="00515091"/>
    <w:rsid w:val="0051511A"/>
    <w:rsid w:val="0051531C"/>
    <w:rsid w:val="0051559D"/>
    <w:rsid w:val="005157F7"/>
    <w:rsid w:val="00515850"/>
    <w:rsid w:val="00515AB4"/>
    <w:rsid w:val="00516330"/>
    <w:rsid w:val="00516474"/>
    <w:rsid w:val="0051647D"/>
    <w:rsid w:val="00516693"/>
    <w:rsid w:val="00516905"/>
    <w:rsid w:val="00516AA3"/>
    <w:rsid w:val="00516BB9"/>
    <w:rsid w:val="005170C4"/>
    <w:rsid w:val="005171C3"/>
    <w:rsid w:val="005171E6"/>
    <w:rsid w:val="005173B6"/>
    <w:rsid w:val="00517795"/>
    <w:rsid w:val="005178FA"/>
    <w:rsid w:val="00517BB0"/>
    <w:rsid w:val="005201F3"/>
    <w:rsid w:val="00520690"/>
    <w:rsid w:val="00520A72"/>
    <w:rsid w:val="00520D16"/>
    <w:rsid w:val="00521453"/>
    <w:rsid w:val="00521CAA"/>
    <w:rsid w:val="00521EF7"/>
    <w:rsid w:val="0052275F"/>
    <w:rsid w:val="00522A6C"/>
    <w:rsid w:val="00522A85"/>
    <w:rsid w:val="00522D4D"/>
    <w:rsid w:val="00523096"/>
    <w:rsid w:val="00523693"/>
    <w:rsid w:val="005237F8"/>
    <w:rsid w:val="005238C6"/>
    <w:rsid w:val="00523BA1"/>
    <w:rsid w:val="00523EFF"/>
    <w:rsid w:val="005240EB"/>
    <w:rsid w:val="005255C9"/>
    <w:rsid w:val="00525AB2"/>
    <w:rsid w:val="00525ECE"/>
    <w:rsid w:val="00526F3F"/>
    <w:rsid w:val="00527093"/>
    <w:rsid w:val="005270B5"/>
    <w:rsid w:val="0052745A"/>
    <w:rsid w:val="005274A1"/>
    <w:rsid w:val="005301C4"/>
    <w:rsid w:val="00530427"/>
    <w:rsid w:val="00530654"/>
    <w:rsid w:val="005307C3"/>
    <w:rsid w:val="0053099B"/>
    <w:rsid w:val="00530F0B"/>
    <w:rsid w:val="00531380"/>
    <w:rsid w:val="0053150F"/>
    <w:rsid w:val="005316C7"/>
    <w:rsid w:val="00531775"/>
    <w:rsid w:val="00531A06"/>
    <w:rsid w:val="00531B3E"/>
    <w:rsid w:val="00531CC2"/>
    <w:rsid w:val="00531D3D"/>
    <w:rsid w:val="005320BE"/>
    <w:rsid w:val="005320EB"/>
    <w:rsid w:val="0053221C"/>
    <w:rsid w:val="005322E7"/>
    <w:rsid w:val="0053237C"/>
    <w:rsid w:val="00532EA6"/>
    <w:rsid w:val="0053364F"/>
    <w:rsid w:val="005336BC"/>
    <w:rsid w:val="00534373"/>
    <w:rsid w:val="0053589D"/>
    <w:rsid w:val="00535C1C"/>
    <w:rsid w:val="0053634F"/>
    <w:rsid w:val="00536B8F"/>
    <w:rsid w:val="00537193"/>
    <w:rsid w:val="005372EB"/>
    <w:rsid w:val="005374F6"/>
    <w:rsid w:val="00540176"/>
    <w:rsid w:val="005402E2"/>
    <w:rsid w:val="005411D1"/>
    <w:rsid w:val="005416B4"/>
    <w:rsid w:val="0054193F"/>
    <w:rsid w:val="00541D74"/>
    <w:rsid w:val="00542328"/>
    <w:rsid w:val="0054249E"/>
    <w:rsid w:val="005427F9"/>
    <w:rsid w:val="00542C85"/>
    <w:rsid w:val="00542DBE"/>
    <w:rsid w:val="005432BF"/>
    <w:rsid w:val="0054387C"/>
    <w:rsid w:val="005438AB"/>
    <w:rsid w:val="00543991"/>
    <w:rsid w:val="005446DB"/>
    <w:rsid w:val="0054499F"/>
    <w:rsid w:val="00544A95"/>
    <w:rsid w:val="0054506B"/>
    <w:rsid w:val="0054537C"/>
    <w:rsid w:val="0054549A"/>
    <w:rsid w:val="00545791"/>
    <w:rsid w:val="00545936"/>
    <w:rsid w:val="00545F11"/>
    <w:rsid w:val="005463BE"/>
    <w:rsid w:val="0054652E"/>
    <w:rsid w:val="005466B1"/>
    <w:rsid w:val="005468C3"/>
    <w:rsid w:val="00546BB3"/>
    <w:rsid w:val="00546C5F"/>
    <w:rsid w:val="00546F0C"/>
    <w:rsid w:val="0054704E"/>
    <w:rsid w:val="00547236"/>
    <w:rsid w:val="005472B2"/>
    <w:rsid w:val="005476A2"/>
    <w:rsid w:val="005476C7"/>
    <w:rsid w:val="00547A2C"/>
    <w:rsid w:val="00547EB5"/>
    <w:rsid w:val="00550D71"/>
    <w:rsid w:val="005511C2"/>
    <w:rsid w:val="005512EC"/>
    <w:rsid w:val="005513E1"/>
    <w:rsid w:val="005515A1"/>
    <w:rsid w:val="00551632"/>
    <w:rsid w:val="00552189"/>
    <w:rsid w:val="005528D2"/>
    <w:rsid w:val="005529E9"/>
    <w:rsid w:val="005530E5"/>
    <w:rsid w:val="00554660"/>
    <w:rsid w:val="0055472F"/>
    <w:rsid w:val="00554816"/>
    <w:rsid w:val="00554C83"/>
    <w:rsid w:val="005552EF"/>
    <w:rsid w:val="0055535D"/>
    <w:rsid w:val="005553D1"/>
    <w:rsid w:val="00555A18"/>
    <w:rsid w:val="00555AC1"/>
    <w:rsid w:val="00555BC8"/>
    <w:rsid w:val="00555D38"/>
    <w:rsid w:val="00555DF0"/>
    <w:rsid w:val="00555F48"/>
    <w:rsid w:val="00556283"/>
    <w:rsid w:val="00556798"/>
    <w:rsid w:val="005567B5"/>
    <w:rsid w:val="005568DC"/>
    <w:rsid w:val="0055695E"/>
    <w:rsid w:val="00557199"/>
    <w:rsid w:val="00560A85"/>
    <w:rsid w:val="00560E6F"/>
    <w:rsid w:val="00561702"/>
    <w:rsid w:val="00561A47"/>
    <w:rsid w:val="00561EDA"/>
    <w:rsid w:val="005621CF"/>
    <w:rsid w:val="00562EF7"/>
    <w:rsid w:val="00563513"/>
    <w:rsid w:val="00563BD4"/>
    <w:rsid w:val="00563C9F"/>
    <w:rsid w:val="00563CCB"/>
    <w:rsid w:val="00563DCE"/>
    <w:rsid w:val="00563FAE"/>
    <w:rsid w:val="00564CBE"/>
    <w:rsid w:val="00565057"/>
    <w:rsid w:val="005655D1"/>
    <w:rsid w:val="0056589D"/>
    <w:rsid w:val="00565C79"/>
    <w:rsid w:val="00565EA1"/>
    <w:rsid w:val="00565FB9"/>
    <w:rsid w:val="00566189"/>
    <w:rsid w:val="005664DC"/>
    <w:rsid w:val="00566593"/>
    <w:rsid w:val="00566DF1"/>
    <w:rsid w:val="0056762D"/>
    <w:rsid w:val="00570056"/>
    <w:rsid w:val="00570451"/>
    <w:rsid w:val="00570464"/>
    <w:rsid w:val="00570B7B"/>
    <w:rsid w:val="00570D61"/>
    <w:rsid w:val="00571089"/>
    <w:rsid w:val="005714EF"/>
    <w:rsid w:val="00571DE3"/>
    <w:rsid w:val="00571EBE"/>
    <w:rsid w:val="00571F30"/>
    <w:rsid w:val="005722AA"/>
    <w:rsid w:val="005725EE"/>
    <w:rsid w:val="00572A84"/>
    <w:rsid w:val="00572D18"/>
    <w:rsid w:val="00572FD7"/>
    <w:rsid w:val="0057310B"/>
    <w:rsid w:val="005733E2"/>
    <w:rsid w:val="00573B55"/>
    <w:rsid w:val="00574127"/>
    <w:rsid w:val="00574171"/>
    <w:rsid w:val="005744D1"/>
    <w:rsid w:val="00574582"/>
    <w:rsid w:val="005757FA"/>
    <w:rsid w:val="005758EE"/>
    <w:rsid w:val="00575D1A"/>
    <w:rsid w:val="00575DAC"/>
    <w:rsid w:val="00576592"/>
    <w:rsid w:val="005767E8"/>
    <w:rsid w:val="00577405"/>
    <w:rsid w:val="005774C4"/>
    <w:rsid w:val="005775DA"/>
    <w:rsid w:val="00577D00"/>
    <w:rsid w:val="005800B5"/>
    <w:rsid w:val="0058032C"/>
    <w:rsid w:val="0058043B"/>
    <w:rsid w:val="00580A9A"/>
    <w:rsid w:val="005819BE"/>
    <w:rsid w:val="00581FA3"/>
    <w:rsid w:val="0058214D"/>
    <w:rsid w:val="0058233E"/>
    <w:rsid w:val="005825E4"/>
    <w:rsid w:val="005828E3"/>
    <w:rsid w:val="00582A0C"/>
    <w:rsid w:val="00582D4B"/>
    <w:rsid w:val="00583295"/>
    <w:rsid w:val="0058346E"/>
    <w:rsid w:val="00583889"/>
    <w:rsid w:val="00584173"/>
    <w:rsid w:val="00584301"/>
    <w:rsid w:val="005847D6"/>
    <w:rsid w:val="00584BEB"/>
    <w:rsid w:val="00584D5C"/>
    <w:rsid w:val="00584DBC"/>
    <w:rsid w:val="00584FD8"/>
    <w:rsid w:val="005857C2"/>
    <w:rsid w:val="005857FE"/>
    <w:rsid w:val="00585AFA"/>
    <w:rsid w:val="00585C6E"/>
    <w:rsid w:val="00585DB3"/>
    <w:rsid w:val="0058630E"/>
    <w:rsid w:val="0058635F"/>
    <w:rsid w:val="005868C4"/>
    <w:rsid w:val="00586A5F"/>
    <w:rsid w:val="00586B5F"/>
    <w:rsid w:val="00586DF1"/>
    <w:rsid w:val="00587209"/>
    <w:rsid w:val="005875E8"/>
    <w:rsid w:val="00587963"/>
    <w:rsid w:val="00587AA6"/>
    <w:rsid w:val="00587C0C"/>
    <w:rsid w:val="00590229"/>
    <w:rsid w:val="005908FB"/>
    <w:rsid w:val="00590AA8"/>
    <w:rsid w:val="00591303"/>
    <w:rsid w:val="00591808"/>
    <w:rsid w:val="00591A93"/>
    <w:rsid w:val="00591ABF"/>
    <w:rsid w:val="005922EF"/>
    <w:rsid w:val="005923ED"/>
    <w:rsid w:val="00593002"/>
    <w:rsid w:val="005930AF"/>
    <w:rsid w:val="0059336A"/>
    <w:rsid w:val="0059342B"/>
    <w:rsid w:val="00594143"/>
    <w:rsid w:val="005945EF"/>
    <w:rsid w:val="0059472C"/>
    <w:rsid w:val="005947D7"/>
    <w:rsid w:val="00594DC9"/>
    <w:rsid w:val="00595078"/>
    <w:rsid w:val="0059565B"/>
    <w:rsid w:val="005956A4"/>
    <w:rsid w:val="00595942"/>
    <w:rsid w:val="0059602B"/>
    <w:rsid w:val="00596353"/>
    <w:rsid w:val="00596BA4"/>
    <w:rsid w:val="00596C5C"/>
    <w:rsid w:val="00597012"/>
    <w:rsid w:val="0059754C"/>
    <w:rsid w:val="005978FE"/>
    <w:rsid w:val="00597BCA"/>
    <w:rsid w:val="00597E48"/>
    <w:rsid w:val="00597EBF"/>
    <w:rsid w:val="00597FBC"/>
    <w:rsid w:val="005A010D"/>
    <w:rsid w:val="005A04CD"/>
    <w:rsid w:val="005A059B"/>
    <w:rsid w:val="005A0A69"/>
    <w:rsid w:val="005A0BF5"/>
    <w:rsid w:val="005A2071"/>
    <w:rsid w:val="005A221A"/>
    <w:rsid w:val="005A2269"/>
    <w:rsid w:val="005A2606"/>
    <w:rsid w:val="005A26A4"/>
    <w:rsid w:val="005A272D"/>
    <w:rsid w:val="005A2817"/>
    <w:rsid w:val="005A2DD4"/>
    <w:rsid w:val="005A320D"/>
    <w:rsid w:val="005A3221"/>
    <w:rsid w:val="005A324A"/>
    <w:rsid w:val="005A37DC"/>
    <w:rsid w:val="005A38B2"/>
    <w:rsid w:val="005A4181"/>
    <w:rsid w:val="005A4928"/>
    <w:rsid w:val="005A4A00"/>
    <w:rsid w:val="005A4A37"/>
    <w:rsid w:val="005A4FAA"/>
    <w:rsid w:val="005A5044"/>
    <w:rsid w:val="005A508D"/>
    <w:rsid w:val="005A5256"/>
    <w:rsid w:val="005A5898"/>
    <w:rsid w:val="005A5A14"/>
    <w:rsid w:val="005A5A6E"/>
    <w:rsid w:val="005A5E00"/>
    <w:rsid w:val="005A601E"/>
    <w:rsid w:val="005A6306"/>
    <w:rsid w:val="005A6329"/>
    <w:rsid w:val="005A6D22"/>
    <w:rsid w:val="005A6E54"/>
    <w:rsid w:val="005A7094"/>
    <w:rsid w:val="005A73FA"/>
    <w:rsid w:val="005A7440"/>
    <w:rsid w:val="005A7E90"/>
    <w:rsid w:val="005B0690"/>
    <w:rsid w:val="005B1326"/>
    <w:rsid w:val="005B1562"/>
    <w:rsid w:val="005B162F"/>
    <w:rsid w:val="005B180C"/>
    <w:rsid w:val="005B1A7F"/>
    <w:rsid w:val="005B1B62"/>
    <w:rsid w:val="005B1BAC"/>
    <w:rsid w:val="005B1BF7"/>
    <w:rsid w:val="005B232D"/>
    <w:rsid w:val="005B2432"/>
    <w:rsid w:val="005B286A"/>
    <w:rsid w:val="005B29E7"/>
    <w:rsid w:val="005B2D4F"/>
    <w:rsid w:val="005B3010"/>
    <w:rsid w:val="005B31D5"/>
    <w:rsid w:val="005B3231"/>
    <w:rsid w:val="005B32FD"/>
    <w:rsid w:val="005B3333"/>
    <w:rsid w:val="005B3597"/>
    <w:rsid w:val="005B36EA"/>
    <w:rsid w:val="005B3A71"/>
    <w:rsid w:val="005B41E6"/>
    <w:rsid w:val="005B481B"/>
    <w:rsid w:val="005B4AFF"/>
    <w:rsid w:val="005B4EE5"/>
    <w:rsid w:val="005B4F6F"/>
    <w:rsid w:val="005B507B"/>
    <w:rsid w:val="005B5103"/>
    <w:rsid w:val="005B5CB2"/>
    <w:rsid w:val="005B63FD"/>
    <w:rsid w:val="005B66ED"/>
    <w:rsid w:val="005B6973"/>
    <w:rsid w:val="005B6E0D"/>
    <w:rsid w:val="005B6F3D"/>
    <w:rsid w:val="005B73E5"/>
    <w:rsid w:val="005B74F3"/>
    <w:rsid w:val="005B75B9"/>
    <w:rsid w:val="005B78B1"/>
    <w:rsid w:val="005B7ADC"/>
    <w:rsid w:val="005B7F28"/>
    <w:rsid w:val="005C016F"/>
    <w:rsid w:val="005C02BF"/>
    <w:rsid w:val="005C05A4"/>
    <w:rsid w:val="005C06D1"/>
    <w:rsid w:val="005C088E"/>
    <w:rsid w:val="005C1869"/>
    <w:rsid w:val="005C1B96"/>
    <w:rsid w:val="005C1D8E"/>
    <w:rsid w:val="005C2384"/>
    <w:rsid w:val="005C2487"/>
    <w:rsid w:val="005C24AF"/>
    <w:rsid w:val="005C2A7E"/>
    <w:rsid w:val="005C2B78"/>
    <w:rsid w:val="005C30CC"/>
    <w:rsid w:val="005C32BF"/>
    <w:rsid w:val="005C3AA8"/>
    <w:rsid w:val="005C3F6F"/>
    <w:rsid w:val="005C471D"/>
    <w:rsid w:val="005C486E"/>
    <w:rsid w:val="005C4E48"/>
    <w:rsid w:val="005C51D7"/>
    <w:rsid w:val="005C53C4"/>
    <w:rsid w:val="005C56AC"/>
    <w:rsid w:val="005C5792"/>
    <w:rsid w:val="005C5F1F"/>
    <w:rsid w:val="005C61A9"/>
    <w:rsid w:val="005C66F5"/>
    <w:rsid w:val="005C6A11"/>
    <w:rsid w:val="005C6ECA"/>
    <w:rsid w:val="005C6FCA"/>
    <w:rsid w:val="005C7054"/>
    <w:rsid w:val="005C75E0"/>
    <w:rsid w:val="005C7938"/>
    <w:rsid w:val="005C7D3B"/>
    <w:rsid w:val="005D0797"/>
    <w:rsid w:val="005D083F"/>
    <w:rsid w:val="005D096B"/>
    <w:rsid w:val="005D0ACB"/>
    <w:rsid w:val="005D0B73"/>
    <w:rsid w:val="005D0B89"/>
    <w:rsid w:val="005D0BB1"/>
    <w:rsid w:val="005D0C5C"/>
    <w:rsid w:val="005D1122"/>
    <w:rsid w:val="005D128E"/>
    <w:rsid w:val="005D159F"/>
    <w:rsid w:val="005D1AC5"/>
    <w:rsid w:val="005D278D"/>
    <w:rsid w:val="005D2AAE"/>
    <w:rsid w:val="005D2D89"/>
    <w:rsid w:val="005D2F43"/>
    <w:rsid w:val="005D3EA8"/>
    <w:rsid w:val="005D4327"/>
    <w:rsid w:val="005D48B8"/>
    <w:rsid w:val="005D4A0B"/>
    <w:rsid w:val="005D4C2D"/>
    <w:rsid w:val="005D51D1"/>
    <w:rsid w:val="005D51D4"/>
    <w:rsid w:val="005D520D"/>
    <w:rsid w:val="005D561B"/>
    <w:rsid w:val="005D5978"/>
    <w:rsid w:val="005D5A24"/>
    <w:rsid w:val="005D5F3E"/>
    <w:rsid w:val="005D6096"/>
    <w:rsid w:val="005D6C69"/>
    <w:rsid w:val="005D71E5"/>
    <w:rsid w:val="005D7262"/>
    <w:rsid w:val="005D75E8"/>
    <w:rsid w:val="005D763D"/>
    <w:rsid w:val="005D76FC"/>
    <w:rsid w:val="005D782A"/>
    <w:rsid w:val="005D7AC3"/>
    <w:rsid w:val="005D7B58"/>
    <w:rsid w:val="005D7D26"/>
    <w:rsid w:val="005D7F14"/>
    <w:rsid w:val="005E01B6"/>
    <w:rsid w:val="005E06BC"/>
    <w:rsid w:val="005E0E2E"/>
    <w:rsid w:val="005E0EA9"/>
    <w:rsid w:val="005E122C"/>
    <w:rsid w:val="005E12F9"/>
    <w:rsid w:val="005E1509"/>
    <w:rsid w:val="005E186F"/>
    <w:rsid w:val="005E19B3"/>
    <w:rsid w:val="005E238E"/>
    <w:rsid w:val="005E25E6"/>
    <w:rsid w:val="005E273A"/>
    <w:rsid w:val="005E2795"/>
    <w:rsid w:val="005E2852"/>
    <w:rsid w:val="005E2B2B"/>
    <w:rsid w:val="005E2ECF"/>
    <w:rsid w:val="005E2F32"/>
    <w:rsid w:val="005E3075"/>
    <w:rsid w:val="005E31AF"/>
    <w:rsid w:val="005E3342"/>
    <w:rsid w:val="005E33D1"/>
    <w:rsid w:val="005E33DA"/>
    <w:rsid w:val="005E34AA"/>
    <w:rsid w:val="005E3C16"/>
    <w:rsid w:val="005E3D7E"/>
    <w:rsid w:val="005E3E31"/>
    <w:rsid w:val="005E3E43"/>
    <w:rsid w:val="005E4531"/>
    <w:rsid w:val="005E4535"/>
    <w:rsid w:val="005E4769"/>
    <w:rsid w:val="005E4CD2"/>
    <w:rsid w:val="005E4F8D"/>
    <w:rsid w:val="005E50B2"/>
    <w:rsid w:val="005E50E3"/>
    <w:rsid w:val="005E57E6"/>
    <w:rsid w:val="005E59B9"/>
    <w:rsid w:val="005E5B1A"/>
    <w:rsid w:val="005E6038"/>
    <w:rsid w:val="005E6216"/>
    <w:rsid w:val="005E64EB"/>
    <w:rsid w:val="005E6523"/>
    <w:rsid w:val="005E6979"/>
    <w:rsid w:val="005E7236"/>
    <w:rsid w:val="005E7347"/>
    <w:rsid w:val="005E7965"/>
    <w:rsid w:val="005F003F"/>
    <w:rsid w:val="005F0BF3"/>
    <w:rsid w:val="005F0BF5"/>
    <w:rsid w:val="005F15A7"/>
    <w:rsid w:val="005F1991"/>
    <w:rsid w:val="005F1D1F"/>
    <w:rsid w:val="005F2078"/>
    <w:rsid w:val="005F20FE"/>
    <w:rsid w:val="005F2236"/>
    <w:rsid w:val="005F23B0"/>
    <w:rsid w:val="005F2BF4"/>
    <w:rsid w:val="005F2F1E"/>
    <w:rsid w:val="005F376F"/>
    <w:rsid w:val="005F37D3"/>
    <w:rsid w:val="005F39F3"/>
    <w:rsid w:val="005F3A43"/>
    <w:rsid w:val="005F3BAB"/>
    <w:rsid w:val="005F44DD"/>
    <w:rsid w:val="005F4B11"/>
    <w:rsid w:val="005F4EA2"/>
    <w:rsid w:val="005F50DE"/>
    <w:rsid w:val="005F5396"/>
    <w:rsid w:val="005F625D"/>
    <w:rsid w:val="005F631C"/>
    <w:rsid w:val="005F6606"/>
    <w:rsid w:val="005F6CBB"/>
    <w:rsid w:val="005F73FC"/>
    <w:rsid w:val="005F740D"/>
    <w:rsid w:val="005F7763"/>
    <w:rsid w:val="005F77D6"/>
    <w:rsid w:val="005F7875"/>
    <w:rsid w:val="005F7C72"/>
    <w:rsid w:val="006007D3"/>
    <w:rsid w:val="006009B4"/>
    <w:rsid w:val="00600A01"/>
    <w:rsid w:val="006015A1"/>
    <w:rsid w:val="00601922"/>
    <w:rsid w:val="00601A26"/>
    <w:rsid w:val="00601F07"/>
    <w:rsid w:val="0060211A"/>
    <w:rsid w:val="006026D0"/>
    <w:rsid w:val="006026FC"/>
    <w:rsid w:val="0060272F"/>
    <w:rsid w:val="0060293F"/>
    <w:rsid w:val="00602C41"/>
    <w:rsid w:val="00602F0A"/>
    <w:rsid w:val="00602F6D"/>
    <w:rsid w:val="0060349E"/>
    <w:rsid w:val="00603648"/>
    <w:rsid w:val="00603C8E"/>
    <w:rsid w:val="00604396"/>
    <w:rsid w:val="00604623"/>
    <w:rsid w:val="0060463C"/>
    <w:rsid w:val="006047B3"/>
    <w:rsid w:val="00604E07"/>
    <w:rsid w:val="00604EB7"/>
    <w:rsid w:val="00604F72"/>
    <w:rsid w:val="00605131"/>
    <w:rsid w:val="0060546B"/>
    <w:rsid w:val="006058D2"/>
    <w:rsid w:val="00605993"/>
    <w:rsid w:val="00606093"/>
    <w:rsid w:val="0060624D"/>
    <w:rsid w:val="00606410"/>
    <w:rsid w:val="006069B3"/>
    <w:rsid w:val="00606A69"/>
    <w:rsid w:val="00606B75"/>
    <w:rsid w:val="00606E4E"/>
    <w:rsid w:val="006071D5"/>
    <w:rsid w:val="0060738B"/>
    <w:rsid w:val="006073A5"/>
    <w:rsid w:val="006073E7"/>
    <w:rsid w:val="0060757E"/>
    <w:rsid w:val="006077F0"/>
    <w:rsid w:val="006078A1"/>
    <w:rsid w:val="00607904"/>
    <w:rsid w:val="00607BDE"/>
    <w:rsid w:val="00607C39"/>
    <w:rsid w:val="00607D53"/>
    <w:rsid w:val="006100A1"/>
    <w:rsid w:val="006100A3"/>
    <w:rsid w:val="0061046D"/>
    <w:rsid w:val="0061097E"/>
    <w:rsid w:val="0061113B"/>
    <w:rsid w:val="006112B1"/>
    <w:rsid w:val="00611431"/>
    <w:rsid w:val="006116E7"/>
    <w:rsid w:val="00611B5A"/>
    <w:rsid w:val="00611EB1"/>
    <w:rsid w:val="00612035"/>
    <w:rsid w:val="00612955"/>
    <w:rsid w:val="00612AE2"/>
    <w:rsid w:val="00612C10"/>
    <w:rsid w:val="00612C53"/>
    <w:rsid w:val="00612C67"/>
    <w:rsid w:val="00612DF2"/>
    <w:rsid w:val="00613460"/>
    <w:rsid w:val="00613718"/>
    <w:rsid w:val="0061387B"/>
    <w:rsid w:val="00613BC2"/>
    <w:rsid w:val="006140F5"/>
    <w:rsid w:val="006145EC"/>
    <w:rsid w:val="006145F3"/>
    <w:rsid w:val="006146F7"/>
    <w:rsid w:val="006147D6"/>
    <w:rsid w:val="00614A0D"/>
    <w:rsid w:val="00614B90"/>
    <w:rsid w:val="00615134"/>
    <w:rsid w:val="006151C8"/>
    <w:rsid w:val="006154D6"/>
    <w:rsid w:val="00615E32"/>
    <w:rsid w:val="0061611F"/>
    <w:rsid w:val="00616143"/>
    <w:rsid w:val="0061648D"/>
    <w:rsid w:val="00616670"/>
    <w:rsid w:val="00616747"/>
    <w:rsid w:val="006167F7"/>
    <w:rsid w:val="006171AA"/>
    <w:rsid w:val="00617359"/>
    <w:rsid w:val="0061768B"/>
    <w:rsid w:val="00617A07"/>
    <w:rsid w:val="00617CCB"/>
    <w:rsid w:val="00620460"/>
    <w:rsid w:val="006205C3"/>
    <w:rsid w:val="00620DAA"/>
    <w:rsid w:val="006214D2"/>
    <w:rsid w:val="006219F0"/>
    <w:rsid w:val="00621BE3"/>
    <w:rsid w:val="00621CE9"/>
    <w:rsid w:val="00621CF7"/>
    <w:rsid w:val="0062227C"/>
    <w:rsid w:val="006222C3"/>
    <w:rsid w:val="00622483"/>
    <w:rsid w:val="00622757"/>
    <w:rsid w:val="00622977"/>
    <w:rsid w:val="00622E1F"/>
    <w:rsid w:val="0062362A"/>
    <w:rsid w:val="00623678"/>
    <w:rsid w:val="006237EE"/>
    <w:rsid w:val="00623964"/>
    <w:rsid w:val="006239D7"/>
    <w:rsid w:val="00623D8C"/>
    <w:rsid w:val="00623EE2"/>
    <w:rsid w:val="00623F71"/>
    <w:rsid w:val="006240B2"/>
    <w:rsid w:val="006244EC"/>
    <w:rsid w:val="00624B03"/>
    <w:rsid w:val="00624E7C"/>
    <w:rsid w:val="00624E9F"/>
    <w:rsid w:val="00624F70"/>
    <w:rsid w:val="006250BF"/>
    <w:rsid w:val="006253D1"/>
    <w:rsid w:val="006257EE"/>
    <w:rsid w:val="00625ACB"/>
    <w:rsid w:val="006267C4"/>
    <w:rsid w:val="00626AD7"/>
    <w:rsid w:val="00626AF0"/>
    <w:rsid w:val="00626BD6"/>
    <w:rsid w:val="006279CB"/>
    <w:rsid w:val="00627FDC"/>
    <w:rsid w:val="006302B8"/>
    <w:rsid w:val="00630461"/>
    <w:rsid w:val="0063065A"/>
    <w:rsid w:val="0063091C"/>
    <w:rsid w:val="00630B02"/>
    <w:rsid w:val="00630EC0"/>
    <w:rsid w:val="00631273"/>
    <w:rsid w:val="00631296"/>
    <w:rsid w:val="00631C1F"/>
    <w:rsid w:val="00632114"/>
    <w:rsid w:val="006322C4"/>
    <w:rsid w:val="006323C4"/>
    <w:rsid w:val="006325A0"/>
    <w:rsid w:val="00632720"/>
    <w:rsid w:val="00632978"/>
    <w:rsid w:val="00632CAB"/>
    <w:rsid w:val="00632D89"/>
    <w:rsid w:val="00632EA7"/>
    <w:rsid w:val="00633455"/>
    <w:rsid w:val="006334A5"/>
    <w:rsid w:val="006336DF"/>
    <w:rsid w:val="006339A8"/>
    <w:rsid w:val="00633DCB"/>
    <w:rsid w:val="00634076"/>
    <w:rsid w:val="00634086"/>
    <w:rsid w:val="0063428D"/>
    <w:rsid w:val="00634CA7"/>
    <w:rsid w:val="00634D43"/>
    <w:rsid w:val="00634EF0"/>
    <w:rsid w:val="00635028"/>
    <w:rsid w:val="00635116"/>
    <w:rsid w:val="006353EF"/>
    <w:rsid w:val="0063596D"/>
    <w:rsid w:val="00635C0D"/>
    <w:rsid w:val="00635E57"/>
    <w:rsid w:val="006364D2"/>
    <w:rsid w:val="006369AF"/>
    <w:rsid w:val="00636A64"/>
    <w:rsid w:val="00636A82"/>
    <w:rsid w:val="00636B76"/>
    <w:rsid w:val="00636FDF"/>
    <w:rsid w:val="00637586"/>
    <w:rsid w:val="00637C95"/>
    <w:rsid w:val="00637F2D"/>
    <w:rsid w:val="006400CC"/>
    <w:rsid w:val="006408DE"/>
    <w:rsid w:val="0064178C"/>
    <w:rsid w:val="00641B79"/>
    <w:rsid w:val="00641EE0"/>
    <w:rsid w:val="00642031"/>
    <w:rsid w:val="006428AB"/>
    <w:rsid w:val="00642DD2"/>
    <w:rsid w:val="006430C4"/>
    <w:rsid w:val="0064330F"/>
    <w:rsid w:val="00643367"/>
    <w:rsid w:val="00643511"/>
    <w:rsid w:val="006437AE"/>
    <w:rsid w:val="00643C30"/>
    <w:rsid w:val="00643D89"/>
    <w:rsid w:val="0064431B"/>
    <w:rsid w:val="006446B0"/>
    <w:rsid w:val="0064473C"/>
    <w:rsid w:val="006447DB"/>
    <w:rsid w:val="00644997"/>
    <w:rsid w:val="00644BE8"/>
    <w:rsid w:val="00644E2D"/>
    <w:rsid w:val="0064589E"/>
    <w:rsid w:val="006458F3"/>
    <w:rsid w:val="00645954"/>
    <w:rsid w:val="00645AF9"/>
    <w:rsid w:val="00645C6B"/>
    <w:rsid w:val="00645EDB"/>
    <w:rsid w:val="00646318"/>
    <w:rsid w:val="00646441"/>
    <w:rsid w:val="00646A74"/>
    <w:rsid w:val="00646A9C"/>
    <w:rsid w:val="00646CEE"/>
    <w:rsid w:val="00646E12"/>
    <w:rsid w:val="00646EC9"/>
    <w:rsid w:val="00646FC1"/>
    <w:rsid w:val="00647951"/>
    <w:rsid w:val="006479DC"/>
    <w:rsid w:val="00647C64"/>
    <w:rsid w:val="00647E23"/>
    <w:rsid w:val="00650FAE"/>
    <w:rsid w:val="00651018"/>
    <w:rsid w:val="006510B2"/>
    <w:rsid w:val="006510F3"/>
    <w:rsid w:val="006510FD"/>
    <w:rsid w:val="006513ED"/>
    <w:rsid w:val="0065140F"/>
    <w:rsid w:val="0065168A"/>
    <w:rsid w:val="0065172D"/>
    <w:rsid w:val="00651AD3"/>
    <w:rsid w:val="00651B8E"/>
    <w:rsid w:val="00651BDC"/>
    <w:rsid w:val="0065246E"/>
    <w:rsid w:val="00652B21"/>
    <w:rsid w:val="00653342"/>
    <w:rsid w:val="00653371"/>
    <w:rsid w:val="006538B6"/>
    <w:rsid w:val="006538C6"/>
    <w:rsid w:val="00653B26"/>
    <w:rsid w:val="00653D10"/>
    <w:rsid w:val="006544E7"/>
    <w:rsid w:val="006549B8"/>
    <w:rsid w:val="00654A04"/>
    <w:rsid w:val="00654C6A"/>
    <w:rsid w:val="006556BD"/>
    <w:rsid w:val="00655CC9"/>
    <w:rsid w:val="006564A6"/>
    <w:rsid w:val="00656549"/>
    <w:rsid w:val="00656BCA"/>
    <w:rsid w:val="00656E1D"/>
    <w:rsid w:val="00657055"/>
    <w:rsid w:val="0065709F"/>
    <w:rsid w:val="00657486"/>
    <w:rsid w:val="006574CA"/>
    <w:rsid w:val="00657B0A"/>
    <w:rsid w:val="00657F11"/>
    <w:rsid w:val="00657F98"/>
    <w:rsid w:val="00660147"/>
    <w:rsid w:val="00661309"/>
    <w:rsid w:val="00661861"/>
    <w:rsid w:val="006618BA"/>
    <w:rsid w:val="00661961"/>
    <w:rsid w:val="006619D6"/>
    <w:rsid w:val="00661B13"/>
    <w:rsid w:val="00661E45"/>
    <w:rsid w:val="00661E50"/>
    <w:rsid w:val="00662459"/>
    <w:rsid w:val="0066259F"/>
    <w:rsid w:val="00662882"/>
    <w:rsid w:val="006628F0"/>
    <w:rsid w:val="0066294E"/>
    <w:rsid w:val="00662C26"/>
    <w:rsid w:val="00662FAB"/>
    <w:rsid w:val="00663131"/>
    <w:rsid w:val="00663582"/>
    <w:rsid w:val="00663D15"/>
    <w:rsid w:val="00663F0E"/>
    <w:rsid w:val="0066412A"/>
    <w:rsid w:val="00664332"/>
    <w:rsid w:val="00664608"/>
    <w:rsid w:val="00664738"/>
    <w:rsid w:val="00664F8F"/>
    <w:rsid w:val="00665A9E"/>
    <w:rsid w:val="00665D0A"/>
    <w:rsid w:val="00666A90"/>
    <w:rsid w:val="00667109"/>
    <w:rsid w:val="00667199"/>
    <w:rsid w:val="006676A8"/>
    <w:rsid w:val="006676BE"/>
    <w:rsid w:val="00667701"/>
    <w:rsid w:val="00667AB4"/>
    <w:rsid w:val="00667DC1"/>
    <w:rsid w:val="006700A0"/>
    <w:rsid w:val="006703B6"/>
    <w:rsid w:val="00670A1B"/>
    <w:rsid w:val="00670B81"/>
    <w:rsid w:val="00670F76"/>
    <w:rsid w:val="0067113D"/>
    <w:rsid w:val="00671161"/>
    <w:rsid w:val="0067148C"/>
    <w:rsid w:val="0067164E"/>
    <w:rsid w:val="006716FE"/>
    <w:rsid w:val="00671726"/>
    <w:rsid w:val="006717F3"/>
    <w:rsid w:val="00671DC3"/>
    <w:rsid w:val="006722E0"/>
    <w:rsid w:val="00672C70"/>
    <w:rsid w:val="00672EE7"/>
    <w:rsid w:val="0067353E"/>
    <w:rsid w:val="00673543"/>
    <w:rsid w:val="0067359A"/>
    <w:rsid w:val="0067367E"/>
    <w:rsid w:val="006739F1"/>
    <w:rsid w:val="006741E0"/>
    <w:rsid w:val="006745B1"/>
    <w:rsid w:val="00674630"/>
    <w:rsid w:val="00674878"/>
    <w:rsid w:val="00674A08"/>
    <w:rsid w:val="00674B74"/>
    <w:rsid w:val="00674BD2"/>
    <w:rsid w:val="006759F6"/>
    <w:rsid w:val="00675CA4"/>
    <w:rsid w:val="00676370"/>
    <w:rsid w:val="0067659C"/>
    <w:rsid w:val="00676717"/>
    <w:rsid w:val="00676E39"/>
    <w:rsid w:val="00676F11"/>
    <w:rsid w:val="006772E1"/>
    <w:rsid w:val="00677809"/>
    <w:rsid w:val="0067782F"/>
    <w:rsid w:val="00677DB2"/>
    <w:rsid w:val="00680348"/>
    <w:rsid w:val="00680442"/>
    <w:rsid w:val="00680546"/>
    <w:rsid w:val="006807FD"/>
    <w:rsid w:val="00681101"/>
    <w:rsid w:val="00681191"/>
    <w:rsid w:val="0068124D"/>
    <w:rsid w:val="0068139C"/>
    <w:rsid w:val="00681894"/>
    <w:rsid w:val="00682236"/>
    <w:rsid w:val="00682316"/>
    <w:rsid w:val="00682623"/>
    <w:rsid w:val="0068310A"/>
    <w:rsid w:val="006835A8"/>
    <w:rsid w:val="006836C3"/>
    <w:rsid w:val="006836E7"/>
    <w:rsid w:val="006838BF"/>
    <w:rsid w:val="00683C19"/>
    <w:rsid w:val="00683C99"/>
    <w:rsid w:val="00684121"/>
    <w:rsid w:val="00684163"/>
    <w:rsid w:val="00684183"/>
    <w:rsid w:val="006848F8"/>
    <w:rsid w:val="00684E94"/>
    <w:rsid w:val="00685011"/>
    <w:rsid w:val="00685240"/>
    <w:rsid w:val="00685894"/>
    <w:rsid w:val="00685A89"/>
    <w:rsid w:val="00685B53"/>
    <w:rsid w:val="00685DE0"/>
    <w:rsid w:val="00686354"/>
    <w:rsid w:val="00686370"/>
    <w:rsid w:val="00687BE2"/>
    <w:rsid w:val="00687DAC"/>
    <w:rsid w:val="00687ED4"/>
    <w:rsid w:val="006900E4"/>
    <w:rsid w:val="00690285"/>
    <w:rsid w:val="00690424"/>
    <w:rsid w:val="006908C9"/>
    <w:rsid w:val="00690E37"/>
    <w:rsid w:val="00690F88"/>
    <w:rsid w:val="00691100"/>
    <w:rsid w:val="006916E8"/>
    <w:rsid w:val="006920AF"/>
    <w:rsid w:val="006925C1"/>
    <w:rsid w:val="00692608"/>
    <w:rsid w:val="00692B56"/>
    <w:rsid w:val="00692F07"/>
    <w:rsid w:val="00693A49"/>
    <w:rsid w:val="006950CA"/>
    <w:rsid w:val="00695257"/>
    <w:rsid w:val="0069590C"/>
    <w:rsid w:val="00695B60"/>
    <w:rsid w:val="00695E07"/>
    <w:rsid w:val="0069601A"/>
    <w:rsid w:val="00696112"/>
    <w:rsid w:val="00696484"/>
    <w:rsid w:val="00696635"/>
    <w:rsid w:val="00696879"/>
    <w:rsid w:val="00696B39"/>
    <w:rsid w:val="00697006"/>
    <w:rsid w:val="0069738C"/>
    <w:rsid w:val="006976C5"/>
    <w:rsid w:val="00697BC5"/>
    <w:rsid w:val="00697E9D"/>
    <w:rsid w:val="00697EB7"/>
    <w:rsid w:val="006A01AC"/>
    <w:rsid w:val="006A084B"/>
    <w:rsid w:val="006A0E1D"/>
    <w:rsid w:val="006A112F"/>
    <w:rsid w:val="006A1767"/>
    <w:rsid w:val="006A1F7D"/>
    <w:rsid w:val="006A21A5"/>
    <w:rsid w:val="006A2696"/>
    <w:rsid w:val="006A2879"/>
    <w:rsid w:val="006A2D78"/>
    <w:rsid w:val="006A3314"/>
    <w:rsid w:val="006A3B78"/>
    <w:rsid w:val="006A3D69"/>
    <w:rsid w:val="006A415A"/>
    <w:rsid w:val="006A43B7"/>
    <w:rsid w:val="006A47E7"/>
    <w:rsid w:val="006A4B3C"/>
    <w:rsid w:val="006A531F"/>
    <w:rsid w:val="006A5447"/>
    <w:rsid w:val="006A5979"/>
    <w:rsid w:val="006A5C8A"/>
    <w:rsid w:val="006A5D82"/>
    <w:rsid w:val="006A5DEF"/>
    <w:rsid w:val="006A640B"/>
    <w:rsid w:val="006A6482"/>
    <w:rsid w:val="006A6711"/>
    <w:rsid w:val="006A67E4"/>
    <w:rsid w:val="006A68C3"/>
    <w:rsid w:val="006A73CF"/>
    <w:rsid w:val="006A772A"/>
    <w:rsid w:val="006A7783"/>
    <w:rsid w:val="006A7C4F"/>
    <w:rsid w:val="006A7CAB"/>
    <w:rsid w:val="006A7F50"/>
    <w:rsid w:val="006B00E6"/>
    <w:rsid w:val="006B03E6"/>
    <w:rsid w:val="006B0559"/>
    <w:rsid w:val="006B0AF3"/>
    <w:rsid w:val="006B0E63"/>
    <w:rsid w:val="006B14F8"/>
    <w:rsid w:val="006B1CBE"/>
    <w:rsid w:val="006B1D9B"/>
    <w:rsid w:val="006B214A"/>
    <w:rsid w:val="006B24F6"/>
    <w:rsid w:val="006B2DB8"/>
    <w:rsid w:val="006B3266"/>
    <w:rsid w:val="006B337E"/>
    <w:rsid w:val="006B3693"/>
    <w:rsid w:val="006B37E3"/>
    <w:rsid w:val="006B3819"/>
    <w:rsid w:val="006B3FF4"/>
    <w:rsid w:val="006B414B"/>
    <w:rsid w:val="006B43B8"/>
    <w:rsid w:val="006B46FC"/>
    <w:rsid w:val="006B48DC"/>
    <w:rsid w:val="006B4926"/>
    <w:rsid w:val="006B4C23"/>
    <w:rsid w:val="006B50AF"/>
    <w:rsid w:val="006B5166"/>
    <w:rsid w:val="006B52C6"/>
    <w:rsid w:val="006B5892"/>
    <w:rsid w:val="006B6FCD"/>
    <w:rsid w:val="006C015C"/>
    <w:rsid w:val="006C0284"/>
    <w:rsid w:val="006C0810"/>
    <w:rsid w:val="006C0863"/>
    <w:rsid w:val="006C0917"/>
    <w:rsid w:val="006C10BA"/>
    <w:rsid w:val="006C110E"/>
    <w:rsid w:val="006C13C1"/>
    <w:rsid w:val="006C15AF"/>
    <w:rsid w:val="006C1823"/>
    <w:rsid w:val="006C19BA"/>
    <w:rsid w:val="006C1BF0"/>
    <w:rsid w:val="006C1DD9"/>
    <w:rsid w:val="006C2158"/>
    <w:rsid w:val="006C2204"/>
    <w:rsid w:val="006C27C1"/>
    <w:rsid w:val="006C2D78"/>
    <w:rsid w:val="006C2F08"/>
    <w:rsid w:val="006C2F58"/>
    <w:rsid w:val="006C3159"/>
    <w:rsid w:val="006C32FB"/>
    <w:rsid w:val="006C3D24"/>
    <w:rsid w:val="006C3DCE"/>
    <w:rsid w:val="006C4015"/>
    <w:rsid w:val="006C41F7"/>
    <w:rsid w:val="006C47BD"/>
    <w:rsid w:val="006C49BC"/>
    <w:rsid w:val="006C49EE"/>
    <w:rsid w:val="006C5832"/>
    <w:rsid w:val="006C5D71"/>
    <w:rsid w:val="006C60B1"/>
    <w:rsid w:val="006C64ED"/>
    <w:rsid w:val="006C6D1A"/>
    <w:rsid w:val="006C75D9"/>
    <w:rsid w:val="006C79CD"/>
    <w:rsid w:val="006C79F6"/>
    <w:rsid w:val="006C7D30"/>
    <w:rsid w:val="006D028D"/>
    <w:rsid w:val="006D05A3"/>
    <w:rsid w:val="006D0695"/>
    <w:rsid w:val="006D0999"/>
    <w:rsid w:val="006D0F13"/>
    <w:rsid w:val="006D0FB1"/>
    <w:rsid w:val="006D1BDF"/>
    <w:rsid w:val="006D1DC9"/>
    <w:rsid w:val="006D22C9"/>
    <w:rsid w:val="006D2AEB"/>
    <w:rsid w:val="006D3552"/>
    <w:rsid w:val="006D39DD"/>
    <w:rsid w:val="006D3B23"/>
    <w:rsid w:val="006D4314"/>
    <w:rsid w:val="006D4356"/>
    <w:rsid w:val="006D47D0"/>
    <w:rsid w:val="006D53EC"/>
    <w:rsid w:val="006D57AD"/>
    <w:rsid w:val="006D58F6"/>
    <w:rsid w:val="006D5A63"/>
    <w:rsid w:val="006D5F53"/>
    <w:rsid w:val="006D60FC"/>
    <w:rsid w:val="006D65A1"/>
    <w:rsid w:val="006D66AE"/>
    <w:rsid w:val="006D71D8"/>
    <w:rsid w:val="006D742A"/>
    <w:rsid w:val="006D74D5"/>
    <w:rsid w:val="006D7BEB"/>
    <w:rsid w:val="006D7BFD"/>
    <w:rsid w:val="006D7F35"/>
    <w:rsid w:val="006E005C"/>
    <w:rsid w:val="006E05DD"/>
    <w:rsid w:val="006E0684"/>
    <w:rsid w:val="006E0730"/>
    <w:rsid w:val="006E099E"/>
    <w:rsid w:val="006E09FD"/>
    <w:rsid w:val="006E0D6A"/>
    <w:rsid w:val="006E12F6"/>
    <w:rsid w:val="006E1DE0"/>
    <w:rsid w:val="006E215E"/>
    <w:rsid w:val="006E2339"/>
    <w:rsid w:val="006E264C"/>
    <w:rsid w:val="006E2686"/>
    <w:rsid w:val="006E2BEE"/>
    <w:rsid w:val="006E2D6B"/>
    <w:rsid w:val="006E2EC9"/>
    <w:rsid w:val="006E34A7"/>
    <w:rsid w:val="006E3544"/>
    <w:rsid w:val="006E3642"/>
    <w:rsid w:val="006E3E1A"/>
    <w:rsid w:val="006E3E73"/>
    <w:rsid w:val="006E4107"/>
    <w:rsid w:val="006E4308"/>
    <w:rsid w:val="006E5C7B"/>
    <w:rsid w:val="006E665F"/>
    <w:rsid w:val="006E6F76"/>
    <w:rsid w:val="006E6FBF"/>
    <w:rsid w:val="006E72E8"/>
    <w:rsid w:val="006E73DC"/>
    <w:rsid w:val="006F02E2"/>
    <w:rsid w:val="006F053F"/>
    <w:rsid w:val="006F05D1"/>
    <w:rsid w:val="006F0CCA"/>
    <w:rsid w:val="006F0E0A"/>
    <w:rsid w:val="006F0E16"/>
    <w:rsid w:val="006F0E4E"/>
    <w:rsid w:val="006F1110"/>
    <w:rsid w:val="006F14AB"/>
    <w:rsid w:val="006F15FC"/>
    <w:rsid w:val="006F1713"/>
    <w:rsid w:val="006F24D6"/>
    <w:rsid w:val="006F2737"/>
    <w:rsid w:val="006F273C"/>
    <w:rsid w:val="006F336E"/>
    <w:rsid w:val="006F34CE"/>
    <w:rsid w:val="006F3515"/>
    <w:rsid w:val="006F3544"/>
    <w:rsid w:val="006F3A28"/>
    <w:rsid w:val="006F3BFF"/>
    <w:rsid w:val="006F3C29"/>
    <w:rsid w:val="006F45DE"/>
    <w:rsid w:val="006F4896"/>
    <w:rsid w:val="006F4F2D"/>
    <w:rsid w:val="006F50BB"/>
    <w:rsid w:val="006F564E"/>
    <w:rsid w:val="006F5657"/>
    <w:rsid w:val="006F579B"/>
    <w:rsid w:val="006F5807"/>
    <w:rsid w:val="006F5D4D"/>
    <w:rsid w:val="006F627E"/>
    <w:rsid w:val="006F64A6"/>
    <w:rsid w:val="006F7040"/>
    <w:rsid w:val="006F7379"/>
    <w:rsid w:val="006F751C"/>
    <w:rsid w:val="006F7558"/>
    <w:rsid w:val="006F792F"/>
    <w:rsid w:val="006F7981"/>
    <w:rsid w:val="00700588"/>
    <w:rsid w:val="007006D8"/>
    <w:rsid w:val="00700C67"/>
    <w:rsid w:val="00701C82"/>
    <w:rsid w:val="00702134"/>
    <w:rsid w:val="00702278"/>
    <w:rsid w:val="007026FA"/>
    <w:rsid w:val="007027F4"/>
    <w:rsid w:val="00702861"/>
    <w:rsid w:val="00702D7B"/>
    <w:rsid w:val="00702EA1"/>
    <w:rsid w:val="007030D1"/>
    <w:rsid w:val="0070354A"/>
    <w:rsid w:val="0070362E"/>
    <w:rsid w:val="007036E9"/>
    <w:rsid w:val="007039C8"/>
    <w:rsid w:val="00703AA5"/>
    <w:rsid w:val="00703B51"/>
    <w:rsid w:val="00703E3C"/>
    <w:rsid w:val="0070494A"/>
    <w:rsid w:val="00704A0C"/>
    <w:rsid w:val="00704E4D"/>
    <w:rsid w:val="00704E78"/>
    <w:rsid w:val="00704EF1"/>
    <w:rsid w:val="0070517E"/>
    <w:rsid w:val="007052FA"/>
    <w:rsid w:val="007053B0"/>
    <w:rsid w:val="007055E1"/>
    <w:rsid w:val="00705832"/>
    <w:rsid w:val="0070583C"/>
    <w:rsid w:val="00705866"/>
    <w:rsid w:val="00705CA0"/>
    <w:rsid w:val="00706087"/>
    <w:rsid w:val="00706500"/>
    <w:rsid w:val="00706537"/>
    <w:rsid w:val="00706746"/>
    <w:rsid w:val="00706764"/>
    <w:rsid w:val="00706CB7"/>
    <w:rsid w:val="00706DC1"/>
    <w:rsid w:val="007070D5"/>
    <w:rsid w:val="0070795F"/>
    <w:rsid w:val="00707970"/>
    <w:rsid w:val="00707D4F"/>
    <w:rsid w:val="007100FB"/>
    <w:rsid w:val="00710375"/>
    <w:rsid w:val="00710702"/>
    <w:rsid w:val="007109C7"/>
    <w:rsid w:val="007109E8"/>
    <w:rsid w:val="0071101B"/>
    <w:rsid w:val="007111DB"/>
    <w:rsid w:val="00711F13"/>
    <w:rsid w:val="00711F46"/>
    <w:rsid w:val="00712198"/>
    <w:rsid w:val="007121B9"/>
    <w:rsid w:val="007123E8"/>
    <w:rsid w:val="0071251C"/>
    <w:rsid w:val="00712CAD"/>
    <w:rsid w:val="00712CAF"/>
    <w:rsid w:val="00713375"/>
    <w:rsid w:val="00713B22"/>
    <w:rsid w:val="00713E4A"/>
    <w:rsid w:val="00713E61"/>
    <w:rsid w:val="00713EF9"/>
    <w:rsid w:val="00714149"/>
    <w:rsid w:val="007141E6"/>
    <w:rsid w:val="00714E52"/>
    <w:rsid w:val="00715072"/>
    <w:rsid w:val="00715295"/>
    <w:rsid w:val="00715386"/>
    <w:rsid w:val="00715B57"/>
    <w:rsid w:val="00715E4D"/>
    <w:rsid w:val="00715E94"/>
    <w:rsid w:val="00715F1F"/>
    <w:rsid w:val="00715F2C"/>
    <w:rsid w:val="00715F35"/>
    <w:rsid w:val="0071641F"/>
    <w:rsid w:val="00716623"/>
    <w:rsid w:val="00716C58"/>
    <w:rsid w:val="00716DAA"/>
    <w:rsid w:val="00717156"/>
    <w:rsid w:val="007175B8"/>
    <w:rsid w:val="007178CA"/>
    <w:rsid w:val="00717E65"/>
    <w:rsid w:val="0072000C"/>
    <w:rsid w:val="00720035"/>
    <w:rsid w:val="00720471"/>
    <w:rsid w:val="0072083A"/>
    <w:rsid w:val="00720C87"/>
    <w:rsid w:val="00720D7B"/>
    <w:rsid w:val="00721742"/>
    <w:rsid w:val="007217AD"/>
    <w:rsid w:val="00721A21"/>
    <w:rsid w:val="00721BCB"/>
    <w:rsid w:val="00721DEE"/>
    <w:rsid w:val="007221A3"/>
    <w:rsid w:val="00722402"/>
    <w:rsid w:val="00722953"/>
    <w:rsid w:val="00722A11"/>
    <w:rsid w:val="00722AF2"/>
    <w:rsid w:val="00722D50"/>
    <w:rsid w:val="00722EB7"/>
    <w:rsid w:val="007232A9"/>
    <w:rsid w:val="007233F7"/>
    <w:rsid w:val="007235C3"/>
    <w:rsid w:val="007237BB"/>
    <w:rsid w:val="00723CE9"/>
    <w:rsid w:val="00723DCB"/>
    <w:rsid w:val="00723F6F"/>
    <w:rsid w:val="0072453B"/>
    <w:rsid w:val="007246D0"/>
    <w:rsid w:val="007248D6"/>
    <w:rsid w:val="00724AF2"/>
    <w:rsid w:val="00724C01"/>
    <w:rsid w:val="00724D8A"/>
    <w:rsid w:val="00724E45"/>
    <w:rsid w:val="00724EAD"/>
    <w:rsid w:val="00725238"/>
    <w:rsid w:val="007253CD"/>
    <w:rsid w:val="0072556D"/>
    <w:rsid w:val="0072557F"/>
    <w:rsid w:val="00725629"/>
    <w:rsid w:val="00725B76"/>
    <w:rsid w:val="00725FAF"/>
    <w:rsid w:val="0072603D"/>
    <w:rsid w:val="007263B4"/>
    <w:rsid w:val="007265EC"/>
    <w:rsid w:val="0072673E"/>
    <w:rsid w:val="007267E7"/>
    <w:rsid w:val="00727161"/>
    <w:rsid w:val="00727177"/>
    <w:rsid w:val="0072765A"/>
    <w:rsid w:val="007279B7"/>
    <w:rsid w:val="00727A31"/>
    <w:rsid w:val="00727E52"/>
    <w:rsid w:val="007301AB"/>
    <w:rsid w:val="007302D6"/>
    <w:rsid w:val="007305F1"/>
    <w:rsid w:val="0073083E"/>
    <w:rsid w:val="00730863"/>
    <w:rsid w:val="00730DAC"/>
    <w:rsid w:val="007312C0"/>
    <w:rsid w:val="007319B9"/>
    <w:rsid w:val="007323E0"/>
    <w:rsid w:val="00732829"/>
    <w:rsid w:val="0073293C"/>
    <w:rsid w:val="00732B12"/>
    <w:rsid w:val="00732BEE"/>
    <w:rsid w:val="0073313F"/>
    <w:rsid w:val="00734294"/>
    <w:rsid w:val="00734927"/>
    <w:rsid w:val="00734C7C"/>
    <w:rsid w:val="00735890"/>
    <w:rsid w:val="00735AF3"/>
    <w:rsid w:val="00735E19"/>
    <w:rsid w:val="0073615A"/>
    <w:rsid w:val="007364FB"/>
    <w:rsid w:val="007366AE"/>
    <w:rsid w:val="007368FC"/>
    <w:rsid w:val="00736ACC"/>
    <w:rsid w:val="00736C0C"/>
    <w:rsid w:val="00737054"/>
    <w:rsid w:val="0073710F"/>
    <w:rsid w:val="0073767E"/>
    <w:rsid w:val="007378B4"/>
    <w:rsid w:val="00737B37"/>
    <w:rsid w:val="007402DB"/>
    <w:rsid w:val="0074067B"/>
    <w:rsid w:val="00740B44"/>
    <w:rsid w:val="00740CD6"/>
    <w:rsid w:val="00740CDE"/>
    <w:rsid w:val="0074114B"/>
    <w:rsid w:val="00741265"/>
    <w:rsid w:val="00741386"/>
    <w:rsid w:val="00741690"/>
    <w:rsid w:val="007418E7"/>
    <w:rsid w:val="00741EF0"/>
    <w:rsid w:val="0074222A"/>
    <w:rsid w:val="0074275F"/>
    <w:rsid w:val="007427F9"/>
    <w:rsid w:val="00742C90"/>
    <w:rsid w:val="00742CA6"/>
    <w:rsid w:val="00742D90"/>
    <w:rsid w:val="00742FB7"/>
    <w:rsid w:val="0074303B"/>
    <w:rsid w:val="00743115"/>
    <w:rsid w:val="00743210"/>
    <w:rsid w:val="00743737"/>
    <w:rsid w:val="00744157"/>
    <w:rsid w:val="007448AD"/>
    <w:rsid w:val="00744AA1"/>
    <w:rsid w:val="00744C50"/>
    <w:rsid w:val="00745050"/>
    <w:rsid w:val="00745213"/>
    <w:rsid w:val="0074523D"/>
    <w:rsid w:val="00745D58"/>
    <w:rsid w:val="00745E70"/>
    <w:rsid w:val="0074601A"/>
    <w:rsid w:val="0074624E"/>
    <w:rsid w:val="00746451"/>
    <w:rsid w:val="00746A3D"/>
    <w:rsid w:val="00746CAD"/>
    <w:rsid w:val="00747589"/>
    <w:rsid w:val="0074760A"/>
    <w:rsid w:val="00747831"/>
    <w:rsid w:val="00747905"/>
    <w:rsid w:val="00747DF8"/>
    <w:rsid w:val="00747E74"/>
    <w:rsid w:val="00750115"/>
    <w:rsid w:val="007503F6"/>
    <w:rsid w:val="0075050D"/>
    <w:rsid w:val="00750C4C"/>
    <w:rsid w:val="00750D54"/>
    <w:rsid w:val="00750E6A"/>
    <w:rsid w:val="007514BC"/>
    <w:rsid w:val="0075150B"/>
    <w:rsid w:val="00751B8B"/>
    <w:rsid w:val="00751BD5"/>
    <w:rsid w:val="0075243E"/>
    <w:rsid w:val="00752B33"/>
    <w:rsid w:val="00752EAA"/>
    <w:rsid w:val="007531B8"/>
    <w:rsid w:val="007533DD"/>
    <w:rsid w:val="00753D76"/>
    <w:rsid w:val="00754131"/>
    <w:rsid w:val="007541AB"/>
    <w:rsid w:val="00754879"/>
    <w:rsid w:val="00754CFB"/>
    <w:rsid w:val="007552F9"/>
    <w:rsid w:val="007558EC"/>
    <w:rsid w:val="00755D2F"/>
    <w:rsid w:val="0075610B"/>
    <w:rsid w:val="00756184"/>
    <w:rsid w:val="007565F2"/>
    <w:rsid w:val="00756A61"/>
    <w:rsid w:val="00756DC5"/>
    <w:rsid w:val="0075724C"/>
    <w:rsid w:val="0075724E"/>
    <w:rsid w:val="0075743D"/>
    <w:rsid w:val="0075752F"/>
    <w:rsid w:val="0075769F"/>
    <w:rsid w:val="00757BA9"/>
    <w:rsid w:val="007601C2"/>
    <w:rsid w:val="00760502"/>
    <w:rsid w:val="007605CC"/>
    <w:rsid w:val="007608BC"/>
    <w:rsid w:val="00760BB2"/>
    <w:rsid w:val="007610E3"/>
    <w:rsid w:val="007614FF"/>
    <w:rsid w:val="00761580"/>
    <w:rsid w:val="0076192D"/>
    <w:rsid w:val="00761ED1"/>
    <w:rsid w:val="00762009"/>
    <w:rsid w:val="00762488"/>
    <w:rsid w:val="0076260A"/>
    <w:rsid w:val="007627B2"/>
    <w:rsid w:val="007628AC"/>
    <w:rsid w:val="00762AA6"/>
    <w:rsid w:val="00762FA4"/>
    <w:rsid w:val="00763511"/>
    <w:rsid w:val="0076370C"/>
    <w:rsid w:val="007638DB"/>
    <w:rsid w:val="00763B8A"/>
    <w:rsid w:val="00763D69"/>
    <w:rsid w:val="007640FD"/>
    <w:rsid w:val="007641EE"/>
    <w:rsid w:val="007646B4"/>
    <w:rsid w:val="00764852"/>
    <w:rsid w:val="0076494A"/>
    <w:rsid w:val="00764D94"/>
    <w:rsid w:val="00764E1A"/>
    <w:rsid w:val="00764E52"/>
    <w:rsid w:val="00764F65"/>
    <w:rsid w:val="00764F88"/>
    <w:rsid w:val="007650FD"/>
    <w:rsid w:val="00765198"/>
    <w:rsid w:val="0076535E"/>
    <w:rsid w:val="007653F2"/>
    <w:rsid w:val="007656AC"/>
    <w:rsid w:val="00765C1A"/>
    <w:rsid w:val="00766180"/>
    <w:rsid w:val="007667C9"/>
    <w:rsid w:val="0076735A"/>
    <w:rsid w:val="007673DD"/>
    <w:rsid w:val="0076745E"/>
    <w:rsid w:val="00767798"/>
    <w:rsid w:val="0076783E"/>
    <w:rsid w:val="007706AF"/>
    <w:rsid w:val="00770CAA"/>
    <w:rsid w:val="0077105D"/>
    <w:rsid w:val="0077121F"/>
    <w:rsid w:val="007714BA"/>
    <w:rsid w:val="0077154F"/>
    <w:rsid w:val="007716FA"/>
    <w:rsid w:val="00771939"/>
    <w:rsid w:val="00772224"/>
    <w:rsid w:val="00772494"/>
    <w:rsid w:val="00772531"/>
    <w:rsid w:val="007735D4"/>
    <w:rsid w:val="00773987"/>
    <w:rsid w:val="00773C9E"/>
    <w:rsid w:val="00774011"/>
    <w:rsid w:val="0077418D"/>
    <w:rsid w:val="007742C7"/>
    <w:rsid w:val="007742E4"/>
    <w:rsid w:val="007752C4"/>
    <w:rsid w:val="0077566D"/>
    <w:rsid w:val="00775805"/>
    <w:rsid w:val="00775C6D"/>
    <w:rsid w:val="00775E0E"/>
    <w:rsid w:val="00775F40"/>
    <w:rsid w:val="0077603E"/>
    <w:rsid w:val="0077676D"/>
    <w:rsid w:val="007767E7"/>
    <w:rsid w:val="00776AB8"/>
    <w:rsid w:val="00776BFD"/>
    <w:rsid w:val="00776DAD"/>
    <w:rsid w:val="00776FE4"/>
    <w:rsid w:val="007771A9"/>
    <w:rsid w:val="00777A0E"/>
    <w:rsid w:val="00777FF0"/>
    <w:rsid w:val="007802EC"/>
    <w:rsid w:val="00780B1D"/>
    <w:rsid w:val="00780F2F"/>
    <w:rsid w:val="00781194"/>
    <w:rsid w:val="00781388"/>
    <w:rsid w:val="00781C29"/>
    <w:rsid w:val="00781D38"/>
    <w:rsid w:val="00781D6F"/>
    <w:rsid w:val="00781E34"/>
    <w:rsid w:val="00781EF7"/>
    <w:rsid w:val="0078217F"/>
    <w:rsid w:val="007825F2"/>
    <w:rsid w:val="007826BC"/>
    <w:rsid w:val="007827C1"/>
    <w:rsid w:val="00782910"/>
    <w:rsid w:val="00782B5F"/>
    <w:rsid w:val="00782BE1"/>
    <w:rsid w:val="0078349E"/>
    <w:rsid w:val="00783648"/>
    <w:rsid w:val="0078364B"/>
    <w:rsid w:val="0078380B"/>
    <w:rsid w:val="0078398B"/>
    <w:rsid w:val="007839CA"/>
    <w:rsid w:val="00783A20"/>
    <w:rsid w:val="00783D2D"/>
    <w:rsid w:val="00784604"/>
    <w:rsid w:val="00785BBA"/>
    <w:rsid w:val="00785BE9"/>
    <w:rsid w:val="007865C0"/>
    <w:rsid w:val="007866E6"/>
    <w:rsid w:val="00786D36"/>
    <w:rsid w:val="007876E2"/>
    <w:rsid w:val="007877FA"/>
    <w:rsid w:val="0078780C"/>
    <w:rsid w:val="00790005"/>
    <w:rsid w:val="007900D1"/>
    <w:rsid w:val="00790146"/>
    <w:rsid w:val="00790308"/>
    <w:rsid w:val="007904DF"/>
    <w:rsid w:val="00790540"/>
    <w:rsid w:val="00790716"/>
    <w:rsid w:val="00790CF2"/>
    <w:rsid w:val="007913A8"/>
    <w:rsid w:val="00791524"/>
    <w:rsid w:val="00791A07"/>
    <w:rsid w:val="007921AC"/>
    <w:rsid w:val="0079252E"/>
    <w:rsid w:val="00792A2B"/>
    <w:rsid w:val="00792B9A"/>
    <w:rsid w:val="0079300A"/>
    <w:rsid w:val="007930B1"/>
    <w:rsid w:val="007930F4"/>
    <w:rsid w:val="007933BF"/>
    <w:rsid w:val="00793AD0"/>
    <w:rsid w:val="00793B23"/>
    <w:rsid w:val="00793B4B"/>
    <w:rsid w:val="00793ECE"/>
    <w:rsid w:val="0079407A"/>
    <w:rsid w:val="0079416E"/>
    <w:rsid w:val="007941D5"/>
    <w:rsid w:val="007942AC"/>
    <w:rsid w:val="007942FF"/>
    <w:rsid w:val="00794616"/>
    <w:rsid w:val="00794E69"/>
    <w:rsid w:val="0079511A"/>
    <w:rsid w:val="007952CD"/>
    <w:rsid w:val="007958D1"/>
    <w:rsid w:val="00795BFC"/>
    <w:rsid w:val="00796349"/>
    <w:rsid w:val="007967E3"/>
    <w:rsid w:val="0079682A"/>
    <w:rsid w:val="007969FB"/>
    <w:rsid w:val="00796C61"/>
    <w:rsid w:val="00797DDA"/>
    <w:rsid w:val="00797FC1"/>
    <w:rsid w:val="007A018A"/>
    <w:rsid w:val="007A0956"/>
    <w:rsid w:val="007A0B32"/>
    <w:rsid w:val="007A1240"/>
    <w:rsid w:val="007A1633"/>
    <w:rsid w:val="007A22C1"/>
    <w:rsid w:val="007A24BC"/>
    <w:rsid w:val="007A256F"/>
    <w:rsid w:val="007A2C2E"/>
    <w:rsid w:val="007A2D2B"/>
    <w:rsid w:val="007A2E74"/>
    <w:rsid w:val="007A3115"/>
    <w:rsid w:val="007A4182"/>
    <w:rsid w:val="007A446D"/>
    <w:rsid w:val="007A4AB2"/>
    <w:rsid w:val="007A4D3B"/>
    <w:rsid w:val="007A51B3"/>
    <w:rsid w:val="007A5380"/>
    <w:rsid w:val="007A5981"/>
    <w:rsid w:val="007A5ECD"/>
    <w:rsid w:val="007A608C"/>
    <w:rsid w:val="007A6158"/>
    <w:rsid w:val="007A65A4"/>
    <w:rsid w:val="007A6613"/>
    <w:rsid w:val="007A6AA5"/>
    <w:rsid w:val="007A6C9F"/>
    <w:rsid w:val="007A7195"/>
    <w:rsid w:val="007A74AF"/>
    <w:rsid w:val="007A7B8A"/>
    <w:rsid w:val="007A7F06"/>
    <w:rsid w:val="007B0026"/>
    <w:rsid w:val="007B03E3"/>
    <w:rsid w:val="007B0863"/>
    <w:rsid w:val="007B0CD0"/>
    <w:rsid w:val="007B0F87"/>
    <w:rsid w:val="007B1938"/>
    <w:rsid w:val="007B1EC5"/>
    <w:rsid w:val="007B2860"/>
    <w:rsid w:val="007B2983"/>
    <w:rsid w:val="007B2D67"/>
    <w:rsid w:val="007B32B5"/>
    <w:rsid w:val="007B350E"/>
    <w:rsid w:val="007B3C61"/>
    <w:rsid w:val="007B3D50"/>
    <w:rsid w:val="007B3D9F"/>
    <w:rsid w:val="007B3DA9"/>
    <w:rsid w:val="007B46F5"/>
    <w:rsid w:val="007B4902"/>
    <w:rsid w:val="007B4F3F"/>
    <w:rsid w:val="007B5141"/>
    <w:rsid w:val="007B544A"/>
    <w:rsid w:val="007B58D1"/>
    <w:rsid w:val="007B590D"/>
    <w:rsid w:val="007B61AF"/>
    <w:rsid w:val="007B640A"/>
    <w:rsid w:val="007B6D0F"/>
    <w:rsid w:val="007B6D97"/>
    <w:rsid w:val="007B7232"/>
    <w:rsid w:val="007B72B1"/>
    <w:rsid w:val="007B748F"/>
    <w:rsid w:val="007B755A"/>
    <w:rsid w:val="007B7808"/>
    <w:rsid w:val="007B7A52"/>
    <w:rsid w:val="007C01C6"/>
    <w:rsid w:val="007C03CA"/>
    <w:rsid w:val="007C090C"/>
    <w:rsid w:val="007C10CB"/>
    <w:rsid w:val="007C1BD0"/>
    <w:rsid w:val="007C1D8F"/>
    <w:rsid w:val="007C201F"/>
    <w:rsid w:val="007C218A"/>
    <w:rsid w:val="007C2194"/>
    <w:rsid w:val="007C22B9"/>
    <w:rsid w:val="007C252A"/>
    <w:rsid w:val="007C2B71"/>
    <w:rsid w:val="007C327B"/>
    <w:rsid w:val="007C329F"/>
    <w:rsid w:val="007C34C9"/>
    <w:rsid w:val="007C358B"/>
    <w:rsid w:val="007C35DC"/>
    <w:rsid w:val="007C39F5"/>
    <w:rsid w:val="007C3EBA"/>
    <w:rsid w:val="007C40E0"/>
    <w:rsid w:val="007C4275"/>
    <w:rsid w:val="007C472D"/>
    <w:rsid w:val="007C4CC7"/>
    <w:rsid w:val="007C4E47"/>
    <w:rsid w:val="007C532B"/>
    <w:rsid w:val="007C538D"/>
    <w:rsid w:val="007C5A7E"/>
    <w:rsid w:val="007C5AC8"/>
    <w:rsid w:val="007C5D30"/>
    <w:rsid w:val="007C6289"/>
    <w:rsid w:val="007C6392"/>
    <w:rsid w:val="007C6532"/>
    <w:rsid w:val="007C6AB7"/>
    <w:rsid w:val="007C6BD5"/>
    <w:rsid w:val="007C6E25"/>
    <w:rsid w:val="007C6FF2"/>
    <w:rsid w:val="007C7069"/>
    <w:rsid w:val="007C73E5"/>
    <w:rsid w:val="007C7716"/>
    <w:rsid w:val="007C79BB"/>
    <w:rsid w:val="007C7E4E"/>
    <w:rsid w:val="007D0A78"/>
    <w:rsid w:val="007D1048"/>
    <w:rsid w:val="007D107B"/>
    <w:rsid w:val="007D15D1"/>
    <w:rsid w:val="007D18A2"/>
    <w:rsid w:val="007D1FDC"/>
    <w:rsid w:val="007D22E4"/>
    <w:rsid w:val="007D2443"/>
    <w:rsid w:val="007D2809"/>
    <w:rsid w:val="007D2C58"/>
    <w:rsid w:val="007D2FA2"/>
    <w:rsid w:val="007D343C"/>
    <w:rsid w:val="007D3AA6"/>
    <w:rsid w:val="007D3ADE"/>
    <w:rsid w:val="007D3B80"/>
    <w:rsid w:val="007D402C"/>
    <w:rsid w:val="007D402D"/>
    <w:rsid w:val="007D4BE3"/>
    <w:rsid w:val="007D50F9"/>
    <w:rsid w:val="007D5373"/>
    <w:rsid w:val="007D5688"/>
    <w:rsid w:val="007D59BD"/>
    <w:rsid w:val="007D5AB1"/>
    <w:rsid w:val="007D5F31"/>
    <w:rsid w:val="007D681F"/>
    <w:rsid w:val="007D70E4"/>
    <w:rsid w:val="007D7106"/>
    <w:rsid w:val="007D7237"/>
    <w:rsid w:val="007D7807"/>
    <w:rsid w:val="007D7FE3"/>
    <w:rsid w:val="007E05F0"/>
    <w:rsid w:val="007E0A23"/>
    <w:rsid w:val="007E1375"/>
    <w:rsid w:val="007E188C"/>
    <w:rsid w:val="007E22F6"/>
    <w:rsid w:val="007E2384"/>
    <w:rsid w:val="007E2786"/>
    <w:rsid w:val="007E27D5"/>
    <w:rsid w:val="007E29C2"/>
    <w:rsid w:val="007E2C59"/>
    <w:rsid w:val="007E2CDE"/>
    <w:rsid w:val="007E312C"/>
    <w:rsid w:val="007E37CC"/>
    <w:rsid w:val="007E39FE"/>
    <w:rsid w:val="007E3BA1"/>
    <w:rsid w:val="007E3F4B"/>
    <w:rsid w:val="007E40FC"/>
    <w:rsid w:val="007E42AD"/>
    <w:rsid w:val="007E4813"/>
    <w:rsid w:val="007E4E05"/>
    <w:rsid w:val="007E51EE"/>
    <w:rsid w:val="007E5764"/>
    <w:rsid w:val="007E66A1"/>
    <w:rsid w:val="007E6F6B"/>
    <w:rsid w:val="007E7393"/>
    <w:rsid w:val="007E7A28"/>
    <w:rsid w:val="007E7F22"/>
    <w:rsid w:val="007F02C5"/>
    <w:rsid w:val="007F0455"/>
    <w:rsid w:val="007F046F"/>
    <w:rsid w:val="007F068D"/>
    <w:rsid w:val="007F0C23"/>
    <w:rsid w:val="007F0C49"/>
    <w:rsid w:val="007F0CD3"/>
    <w:rsid w:val="007F0D09"/>
    <w:rsid w:val="007F11D6"/>
    <w:rsid w:val="007F17ED"/>
    <w:rsid w:val="007F1906"/>
    <w:rsid w:val="007F1EE7"/>
    <w:rsid w:val="007F1FCB"/>
    <w:rsid w:val="007F23FD"/>
    <w:rsid w:val="007F2724"/>
    <w:rsid w:val="007F327E"/>
    <w:rsid w:val="007F3711"/>
    <w:rsid w:val="007F3730"/>
    <w:rsid w:val="007F3919"/>
    <w:rsid w:val="007F3E8C"/>
    <w:rsid w:val="007F3F35"/>
    <w:rsid w:val="007F4490"/>
    <w:rsid w:val="007F4656"/>
    <w:rsid w:val="007F46CB"/>
    <w:rsid w:val="007F47A1"/>
    <w:rsid w:val="007F4C9E"/>
    <w:rsid w:val="007F4D6C"/>
    <w:rsid w:val="007F585E"/>
    <w:rsid w:val="007F58E2"/>
    <w:rsid w:val="007F5BE0"/>
    <w:rsid w:val="007F601C"/>
    <w:rsid w:val="007F6439"/>
    <w:rsid w:val="007F645D"/>
    <w:rsid w:val="007F69A6"/>
    <w:rsid w:val="007F6AC8"/>
    <w:rsid w:val="007F6B0D"/>
    <w:rsid w:val="007F6B22"/>
    <w:rsid w:val="007F6CEF"/>
    <w:rsid w:val="007F70A9"/>
    <w:rsid w:val="007F7101"/>
    <w:rsid w:val="007F74F6"/>
    <w:rsid w:val="007F78FA"/>
    <w:rsid w:val="007F795F"/>
    <w:rsid w:val="007F7B76"/>
    <w:rsid w:val="007F7B89"/>
    <w:rsid w:val="007F7CA0"/>
    <w:rsid w:val="0080025E"/>
    <w:rsid w:val="00800467"/>
    <w:rsid w:val="00800A6A"/>
    <w:rsid w:val="00800DA6"/>
    <w:rsid w:val="0080184A"/>
    <w:rsid w:val="008019CD"/>
    <w:rsid w:val="00801A3C"/>
    <w:rsid w:val="00801ADB"/>
    <w:rsid w:val="00801C87"/>
    <w:rsid w:val="00801CCB"/>
    <w:rsid w:val="00802384"/>
    <w:rsid w:val="008023B1"/>
    <w:rsid w:val="00802C8B"/>
    <w:rsid w:val="00802CEB"/>
    <w:rsid w:val="008036E2"/>
    <w:rsid w:val="0080374D"/>
    <w:rsid w:val="0080382D"/>
    <w:rsid w:val="00803B9C"/>
    <w:rsid w:val="00803FB4"/>
    <w:rsid w:val="00804425"/>
    <w:rsid w:val="00804694"/>
    <w:rsid w:val="00804E46"/>
    <w:rsid w:val="00804E66"/>
    <w:rsid w:val="00805362"/>
    <w:rsid w:val="008053BB"/>
    <w:rsid w:val="0080591C"/>
    <w:rsid w:val="00805953"/>
    <w:rsid w:val="00805B90"/>
    <w:rsid w:val="00805C2B"/>
    <w:rsid w:val="0080604E"/>
    <w:rsid w:val="00806222"/>
    <w:rsid w:val="0080633D"/>
    <w:rsid w:val="00806343"/>
    <w:rsid w:val="00806432"/>
    <w:rsid w:val="008064DC"/>
    <w:rsid w:val="0080661D"/>
    <w:rsid w:val="00806677"/>
    <w:rsid w:val="00806950"/>
    <w:rsid w:val="00806C60"/>
    <w:rsid w:val="00806E28"/>
    <w:rsid w:val="00806F5C"/>
    <w:rsid w:val="00807265"/>
    <w:rsid w:val="00807654"/>
    <w:rsid w:val="008076B3"/>
    <w:rsid w:val="008079AC"/>
    <w:rsid w:val="00807E2B"/>
    <w:rsid w:val="00810062"/>
    <w:rsid w:val="0081082E"/>
    <w:rsid w:val="00811D0D"/>
    <w:rsid w:val="00811FDE"/>
    <w:rsid w:val="00811FEA"/>
    <w:rsid w:val="0081244A"/>
    <w:rsid w:val="008126DC"/>
    <w:rsid w:val="008127A4"/>
    <w:rsid w:val="00812A22"/>
    <w:rsid w:val="00812EF2"/>
    <w:rsid w:val="00813510"/>
    <w:rsid w:val="00813733"/>
    <w:rsid w:val="00813921"/>
    <w:rsid w:val="00813DAC"/>
    <w:rsid w:val="0081424C"/>
    <w:rsid w:val="0081461D"/>
    <w:rsid w:val="00814A1D"/>
    <w:rsid w:val="00814E81"/>
    <w:rsid w:val="00815295"/>
    <w:rsid w:val="008152C5"/>
    <w:rsid w:val="0081533B"/>
    <w:rsid w:val="008161DB"/>
    <w:rsid w:val="00816273"/>
    <w:rsid w:val="00816A27"/>
    <w:rsid w:val="00816C92"/>
    <w:rsid w:val="008172A4"/>
    <w:rsid w:val="00817323"/>
    <w:rsid w:val="00817445"/>
    <w:rsid w:val="00817B36"/>
    <w:rsid w:val="00817C41"/>
    <w:rsid w:val="00817CCD"/>
    <w:rsid w:val="00817D27"/>
    <w:rsid w:val="00817F2F"/>
    <w:rsid w:val="00820381"/>
    <w:rsid w:val="008203BC"/>
    <w:rsid w:val="008203D1"/>
    <w:rsid w:val="0082060C"/>
    <w:rsid w:val="0082066C"/>
    <w:rsid w:val="00820EF6"/>
    <w:rsid w:val="008219B7"/>
    <w:rsid w:val="00821B3C"/>
    <w:rsid w:val="00821B70"/>
    <w:rsid w:val="00821D8A"/>
    <w:rsid w:val="0082208D"/>
    <w:rsid w:val="008222FC"/>
    <w:rsid w:val="00822946"/>
    <w:rsid w:val="008229FD"/>
    <w:rsid w:val="00823076"/>
    <w:rsid w:val="008230A8"/>
    <w:rsid w:val="00823396"/>
    <w:rsid w:val="00823552"/>
    <w:rsid w:val="008235D7"/>
    <w:rsid w:val="00823669"/>
    <w:rsid w:val="008236BE"/>
    <w:rsid w:val="0082370E"/>
    <w:rsid w:val="00823888"/>
    <w:rsid w:val="00823CF9"/>
    <w:rsid w:val="00823D46"/>
    <w:rsid w:val="00823D92"/>
    <w:rsid w:val="00823FBE"/>
    <w:rsid w:val="008242A4"/>
    <w:rsid w:val="008248AF"/>
    <w:rsid w:val="0082495F"/>
    <w:rsid w:val="00824C72"/>
    <w:rsid w:val="00824CB3"/>
    <w:rsid w:val="00824F1A"/>
    <w:rsid w:val="008256B0"/>
    <w:rsid w:val="00825B0B"/>
    <w:rsid w:val="00825F56"/>
    <w:rsid w:val="00826080"/>
    <w:rsid w:val="0082641A"/>
    <w:rsid w:val="0082682A"/>
    <w:rsid w:val="00826AEB"/>
    <w:rsid w:val="00826E4A"/>
    <w:rsid w:val="00827265"/>
    <w:rsid w:val="00827ACF"/>
    <w:rsid w:val="00827DEE"/>
    <w:rsid w:val="00827E78"/>
    <w:rsid w:val="00827EA0"/>
    <w:rsid w:val="00830B6F"/>
    <w:rsid w:val="008310D8"/>
    <w:rsid w:val="00831651"/>
    <w:rsid w:val="008316CA"/>
    <w:rsid w:val="008319D3"/>
    <w:rsid w:val="00831EB0"/>
    <w:rsid w:val="00831F61"/>
    <w:rsid w:val="0083218E"/>
    <w:rsid w:val="00832273"/>
    <w:rsid w:val="00832AFC"/>
    <w:rsid w:val="00833547"/>
    <w:rsid w:val="008335BF"/>
    <w:rsid w:val="00833A92"/>
    <w:rsid w:val="00833C27"/>
    <w:rsid w:val="00833D2F"/>
    <w:rsid w:val="008347E8"/>
    <w:rsid w:val="00835159"/>
    <w:rsid w:val="00835408"/>
    <w:rsid w:val="00835D7F"/>
    <w:rsid w:val="00835F20"/>
    <w:rsid w:val="00835FD7"/>
    <w:rsid w:val="008360BD"/>
    <w:rsid w:val="008369FC"/>
    <w:rsid w:val="00836C15"/>
    <w:rsid w:val="00836DA5"/>
    <w:rsid w:val="00836DDC"/>
    <w:rsid w:val="00837570"/>
    <w:rsid w:val="00837716"/>
    <w:rsid w:val="00837CDA"/>
    <w:rsid w:val="0084018F"/>
    <w:rsid w:val="008404EA"/>
    <w:rsid w:val="0084059B"/>
    <w:rsid w:val="008410BC"/>
    <w:rsid w:val="008414DC"/>
    <w:rsid w:val="00841B4C"/>
    <w:rsid w:val="00841DFF"/>
    <w:rsid w:val="00841F67"/>
    <w:rsid w:val="00841F68"/>
    <w:rsid w:val="00841F93"/>
    <w:rsid w:val="008423E7"/>
    <w:rsid w:val="0084242F"/>
    <w:rsid w:val="0084292D"/>
    <w:rsid w:val="00842C80"/>
    <w:rsid w:val="00842D1D"/>
    <w:rsid w:val="00842E10"/>
    <w:rsid w:val="008431CE"/>
    <w:rsid w:val="008437B9"/>
    <w:rsid w:val="00843EF4"/>
    <w:rsid w:val="00844927"/>
    <w:rsid w:val="00844A42"/>
    <w:rsid w:val="0084588E"/>
    <w:rsid w:val="00845ACB"/>
    <w:rsid w:val="00845B09"/>
    <w:rsid w:val="008460BC"/>
    <w:rsid w:val="00846435"/>
    <w:rsid w:val="00846741"/>
    <w:rsid w:val="008468D8"/>
    <w:rsid w:val="00846B6F"/>
    <w:rsid w:val="00846B7D"/>
    <w:rsid w:val="00846BDD"/>
    <w:rsid w:val="0084717C"/>
    <w:rsid w:val="00847266"/>
    <w:rsid w:val="00847503"/>
    <w:rsid w:val="008476C4"/>
    <w:rsid w:val="0084799C"/>
    <w:rsid w:val="00847A59"/>
    <w:rsid w:val="00847E09"/>
    <w:rsid w:val="008504B0"/>
    <w:rsid w:val="00851AA4"/>
    <w:rsid w:val="00851B0F"/>
    <w:rsid w:val="00851E42"/>
    <w:rsid w:val="00852A06"/>
    <w:rsid w:val="00853005"/>
    <w:rsid w:val="0085333E"/>
    <w:rsid w:val="00853402"/>
    <w:rsid w:val="00853496"/>
    <w:rsid w:val="008534D2"/>
    <w:rsid w:val="00853571"/>
    <w:rsid w:val="00853CD3"/>
    <w:rsid w:val="00853E08"/>
    <w:rsid w:val="00855244"/>
    <w:rsid w:val="00855291"/>
    <w:rsid w:val="00855B2B"/>
    <w:rsid w:val="008562FB"/>
    <w:rsid w:val="00856419"/>
    <w:rsid w:val="00856437"/>
    <w:rsid w:val="00856AA9"/>
    <w:rsid w:val="00857212"/>
    <w:rsid w:val="0085758E"/>
    <w:rsid w:val="008577F4"/>
    <w:rsid w:val="0085795A"/>
    <w:rsid w:val="00857BBB"/>
    <w:rsid w:val="00857C7E"/>
    <w:rsid w:val="00857DEF"/>
    <w:rsid w:val="00857F82"/>
    <w:rsid w:val="00860033"/>
    <w:rsid w:val="008601E7"/>
    <w:rsid w:val="00860384"/>
    <w:rsid w:val="00860452"/>
    <w:rsid w:val="00860471"/>
    <w:rsid w:val="00860540"/>
    <w:rsid w:val="00860854"/>
    <w:rsid w:val="00860C78"/>
    <w:rsid w:val="008610C8"/>
    <w:rsid w:val="00861732"/>
    <w:rsid w:val="00861ACB"/>
    <w:rsid w:val="00861AFC"/>
    <w:rsid w:val="00861B84"/>
    <w:rsid w:val="00861D20"/>
    <w:rsid w:val="008621DF"/>
    <w:rsid w:val="00862510"/>
    <w:rsid w:val="0086294A"/>
    <w:rsid w:val="00862B4D"/>
    <w:rsid w:val="00863017"/>
    <w:rsid w:val="0086304C"/>
    <w:rsid w:val="0086323A"/>
    <w:rsid w:val="0086364E"/>
    <w:rsid w:val="00863849"/>
    <w:rsid w:val="00863A82"/>
    <w:rsid w:val="00863D2C"/>
    <w:rsid w:val="008644F4"/>
    <w:rsid w:val="008644F9"/>
    <w:rsid w:val="00864532"/>
    <w:rsid w:val="008652ED"/>
    <w:rsid w:val="008653B8"/>
    <w:rsid w:val="0086593B"/>
    <w:rsid w:val="00865A19"/>
    <w:rsid w:val="00865E16"/>
    <w:rsid w:val="008662AC"/>
    <w:rsid w:val="008663AA"/>
    <w:rsid w:val="0086654D"/>
    <w:rsid w:val="008665E8"/>
    <w:rsid w:val="00866915"/>
    <w:rsid w:val="00866EDE"/>
    <w:rsid w:val="00866FFC"/>
    <w:rsid w:val="00867073"/>
    <w:rsid w:val="00867509"/>
    <w:rsid w:val="00867528"/>
    <w:rsid w:val="00867707"/>
    <w:rsid w:val="0086788C"/>
    <w:rsid w:val="00867ED4"/>
    <w:rsid w:val="008702D0"/>
    <w:rsid w:val="0087048C"/>
    <w:rsid w:val="008707B5"/>
    <w:rsid w:val="0087116C"/>
    <w:rsid w:val="00871B8E"/>
    <w:rsid w:val="00871C93"/>
    <w:rsid w:val="00871F3A"/>
    <w:rsid w:val="00871F74"/>
    <w:rsid w:val="00872007"/>
    <w:rsid w:val="0087224C"/>
    <w:rsid w:val="00873038"/>
    <w:rsid w:val="00873238"/>
    <w:rsid w:val="008735AC"/>
    <w:rsid w:val="008740ED"/>
    <w:rsid w:val="0087424A"/>
    <w:rsid w:val="008746FB"/>
    <w:rsid w:val="0087471B"/>
    <w:rsid w:val="00874D89"/>
    <w:rsid w:val="00875131"/>
    <w:rsid w:val="008752C9"/>
    <w:rsid w:val="0087547E"/>
    <w:rsid w:val="00875584"/>
    <w:rsid w:val="00875607"/>
    <w:rsid w:val="0087579D"/>
    <w:rsid w:val="00875AA5"/>
    <w:rsid w:val="00875DDF"/>
    <w:rsid w:val="00875EE9"/>
    <w:rsid w:val="00876098"/>
    <w:rsid w:val="0087697F"/>
    <w:rsid w:val="00876A03"/>
    <w:rsid w:val="00876AED"/>
    <w:rsid w:val="00876BAD"/>
    <w:rsid w:val="00876BC7"/>
    <w:rsid w:val="00876C76"/>
    <w:rsid w:val="00877120"/>
    <w:rsid w:val="00877188"/>
    <w:rsid w:val="00877206"/>
    <w:rsid w:val="00877500"/>
    <w:rsid w:val="00877A04"/>
    <w:rsid w:val="00877CB3"/>
    <w:rsid w:val="00877F72"/>
    <w:rsid w:val="008803BE"/>
    <w:rsid w:val="0088044E"/>
    <w:rsid w:val="00880514"/>
    <w:rsid w:val="00880AB1"/>
    <w:rsid w:val="008812E9"/>
    <w:rsid w:val="00881510"/>
    <w:rsid w:val="00881742"/>
    <w:rsid w:val="008817B7"/>
    <w:rsid w:val="008817F3"/>
    <w:rsid w:val="00881BE1"/>
    <w:rsid w:val="00881DFC"/>
    <w:rsid w:val="00881E55"/>
    <w:rsid w:val="00881F41"/>
    <w:rsid w:val="00881F55"/>
    <w:rsid w:val="008821D3"/>
    <w:rsid w:val="008822E2"/>
    <w:rsid w:val="00882472"/>
    <w:rsid w:val="00882916"/>
    <w:rsid w:val="00882ADE"/>
    <w:rsid w:val="00882F4A"/>
    <w:rsid w:val="008836BB"/>
    <w:rsid w:val="00883C6E"/>
    <w:rsid w:val="00883C94"/>
    <w:rsid w:val="00883D56"/>
    <w:rsid w:val="00883DFA"/>
    <w:rsid w:val="008841DA"/>
    <w:rsid w:val="00884268"/>
    <w:rsid w:val="0088518E"/>
    <w:rsid w:val="00885320"/>
    <w:rsid w:val="008853E8"/>
    <w:rsid w:val="008857CA"/>
    <w:rsid w:val="008859B0"/>
    <w:rsid w:val="00885A8F"/>
    <w:rsid w:val="00885D56"/>
    <w:rsid w:val="0088643E"/>
    <w:rsid w:val="00886731"/>
    <w:rsid w:val="0088682B"/>
    <w:rsid w:val="008868AF"/>
    <w:rsid w:val="00886B62"/>
    <w:rsid w:val="00886BC5"/>
    <w:rsid w:val="00886D06"/>
    <w:rsid w:val="00887048"/>
    <w:rsid w:val="0088706F"/>
    <w:rsid w:val="008870AD"/>
    <w:rsid w:val="008871B6"/>
    <w:rsid w:val="00887563"/>
    <w:rsid w:val="00887634"/>
    <w:rsid w:val="0088790E"/>
    <w:rsid w:val="00887EDD"/>
    <w:rsid w:val="008903C2"/>
    <w:rsid w:val="008907BE"/>
    <w:rsid w:val="00890978"/>
    <w:rsid w:val="00890E00"/>
    <w:rsid w:val="00891166"/>
    <w:rsid w:val="008914D3"/>
    <w:rsid w:val="008918D8"/>
    <w:rsid w:val="00891963"/>
    <w:rsid w:val="00891D90"/>
    <w:rsid w:val="0089205F"/>
    <w:rsid w:val="00892230"/>
    <w:rsid w:val="008927F2"/>
    <w:rsid w:val="00892C48"/>
    <w:rsid w:val="00892D6C"/>
    <w:rsid w:val="008931B6"/>
    <w:rsid w:val="008931F3"/>
    <w:rsid w:val="008939E4"/>
    <w:rsid w:val="00893A25"/>
    <w:rsid w:val="00893C75"/>
    <w:rsid w:val="00893CCF"/>
    <w:rsid w:val="00893E76"/>
    <w:rsid w:val="0089404B"/>
    <w:rsid w:val="008940E9"/>
    <w:rsid w:val="008948C4"/>
    <w:rsid w:val="00894991"/>
    <w:rsid w:val="00894B27"/>
    <w:rsid w:val="0089521F"/>
    <w:rsid w:val="0089538F"/>
    <w:rsid w:val="008953D0"/>
    <w:rsid w:val="00895E02"/>
    <w:rsid w:val="00895E9F"/>
    <w:rsid w:val="00895EA7"/>
    <w:rsid w:val="00896252"/>
    <w:rsid w:val="008962E0"/>
    <w:rsid w:val="0089632F"/>
    <w:rsid w:val="008963BC"/>
    <w:rsid w:val="008965C1"/>
    <w:rsid w:val="008967F1"/>
    <w:rsid w:val="008968F6"/>
    <w:rsid w:val="00896B1E"/>
    <w:rsid w:val="0089710D"/>
    <w:rsid w:val="008972CC"/>
    <w:rsid w:val="00897B5C"/>
    <w:rsid w:val="00897CA2"/>
    <w:rsid w:val="00897FA8"/>
    <w:rsid w:val="008A0185"/>
    <w:rsid w:val="008A028A"/>
    <w:rsid w:val="008A0B65"/>
    <w:rsid w:val="008A0DAD"/>
    <w:rsid w:val="008A0FC4"/>
    <w:rsid w:val="008A18AC"/>
    <w:rsid w:val="008A18AE"/>
    <w:rsid w:val="008A18B7"/>
    <w:rsid w:val="008A1AB0"/>
    <w:rsid w:val="008A1C7A"/>
    <w:rsid w:val="008A1D08"/>
    <w:rsid w:val="008A21E2"/>
    <w:rsid w:val="008A232D"/>
    <w:rsid w:val="008A24A3"/>
    <w:rsid w:val="008A2536"/>
    <w:rsid w:val="008A317E"/>
    <w:rsid w:val="008A31A6"/>
    <w:rsid w:val="008A3AFF"/>
    <w:rsid w:val="008A3DC2"/>
    <w:rsid w:val="008A43D9"/>
    <w:rsid w:val="008A48F3"/>
    <w:rsid w:val="008A4CCF"/>
    <w:rsid w:val="008A4DE9"/>
    <w:rsid w:val="008A54A4"/>
    <w:rsid w:val="008A59F4"/>
    <w:rsid w:val="008A5ABB"/>
    <w:rsid w:val="008A5E6E"/>
    <w:rsid w:val="008A5FAE"/>
    <w:rsid w:val="008A6098"/>
    <w:rsid w:val="008A60CC"/>
    <w:rsid w:val="008A6391"/>
    <w:rsid w:val="008A647F"/>
    <w:rsid w:val="008A64D1"/>
    <w:rsid w:val="008A66CE"/>
    <w:rsid w:val="008A72D2"/>
    <w:rsid w:val="008A73FA"/>
    <w:rsid w:val="008A77F9"/>
    <w:rsid w:val="008A7B94"/>
    <w:rsid w:val="008A7D33"/>
    <w:rsid w:val="008A7E61"/>
    <w:rsid w:val="008B0104"/>
    <w:rsid w:val="008B0158"/>
    <w:rsid w:val="008B08E1"/>
    <w:rsid w:val="008B0B0A"/>
    <w:rsid w:val="008B0E9D"/>
    <w:rsid w:val="008B0F31"/>
    <w:rsid w:val="008B1440"/>
    <w:rsid w:val="008B2B16"/>
    <w:rsid w:val="008B2BD6"/>
    <w:rsid w:val="008B3840"/>
    <w:rsid w:val="008B385D"/>
    <w:rsid w:val="008B392A"/>
    <w:rsid w:val="008B3976"/>
    <w:rsid w:val="008B3EF0"/>
    <w:rsid w:val="008B4158"/>
    <w:rsid w:val="008B44BE"/>
    <w:rsid w:val="008B4521"/>
    <w:rsid w:val="008B486A"/>
    <w:rsid w:val="008B4C31"/>
    <w:rsid w:val="008B4C6D"/>
    <w:rsid w:val="008B4CE1"/>
    <w:rsid w:val="008B53E5"/>
    <w:rsid w:val="008B5651"/>
    <w:rsid w:val="008B5CB0"/>
    <w:rsid w:val="008B5DDB"/>
    <w:rsid w:val="008B6272"/>
    <w:rsid w:val="008B628C"/>
    <w:rsid w:val="008B63CC"/>
    <w:rsid w:val="008B66DD"/>
    <w:rsid w:val="008B676D"/>
    <w:rsid w:val="008B67AC"/>
    <w:rsid w:val="008B6986"/>
    <w:rsid w:val="008B6FFA"/>
    <w:rsid w:val="008B79B5"/>
    <w:rsid w:val="008C0955"/>
    <w:rsid w:val="008C0AB5"/>
    <w:rsid w:val="008C0C2B"/>
    <w:rsid w:val="008C0CA6"/>
    <w:rsid w:val="008C1502"/>
    <w:rsid w:val="008C170F"/>
    <w:rsid w:val="008C1B55"/>
    <w:rsid w:val="008C1D3E"/>
    <w:rsid w:val="008C1D65"/>
    <w:rsid w:val="008C2340"/>
    <w:rsid w:val="008C2351"/>
    <w:rsid w:val="008C2577"/>
    <w:rsid w:val="008C3439"/>
    <w:rsid w:val="008C3663"/>
    <w:rsid w:val="008C37CD"/>
    <w:rsid w:val="008C3B8A"/>
    <w:rsid w:val="008C4267"/>
    <w:rsid w:val="008C42EF"/>
    <w:rsid w:val="008C4670"/>
    <w:rsid w:val="008C4A89"/>
    <w:rsid w:val="008C52CD"/>
    <w:rsid w:val="008C5413"/>
    <w:rsid w:val="008C57F1"/>
    <w:rsid w:val="008C5929"/>
    <w:rsid w:val="008C5E1C"/>
    <w:rsid w:val="008C6113"/>
    <w:rsid w:val="008C64DB"/>
    <w:rsid w:val="008C74CA"/>
    <w:rsid w:val="008C7693"/>
    <w:rsid w:val="008C7EC3"/>
    <w:rsid w:val="008C7F47"/>
    <w:rsid w:val="008D0B0E"/>
    <w:rsid w:val="008D0B6D"/>
    <w:rsid w:val="008D16EC"/>
    <w:rsid w:val="008D1A5F"/>
    <w:rsid w:val="008D22F8"/>
    <w:rsid w:val="008D240E"/>
    <w:rsid w:val="008D2422"/>
    <w:rsid w:val="008D2719"/>
    <w:rsid w:val="008D292B"/>
    <w:rsid w:val="008D295F"/>
    <w:rsid w:val="008D2B58"/>
    <w:rsid w:val="008D2CCB"/>
    <w:rsid w:val="008D2F78"/>
    <w:rsid w:val="008D31A5"/>
    <w:rsid w:val="008D31D3"/>
    <w:rsid w:val="008D3815"/>
    <w:rsid w:val="008D38D2"/>
    <w:rsid w:val="008D3A7F"/>
    <w:rsid w:val="008D3F04"/>
    <w:rsid w:val="008D4059"/>
    <w:rsid w:val="008D44D5"/>
    <w:rsid w:val="008D45AF"/>
    <w:rsid w:val="008D491F"/>
    <w:rsid w:val="008D4B81"/>
    <w:rsid w:val="008D4BC1"/>
    <w:rsid w:val="008D501F"/>
    <w:rsid w:val="008D512E"/>
    <w:rsid w:val="008D523C"/>
    <w:rsid w:val="008D53D3"/>
    <w:rsid w:val="008D53E4"/>
    <w:rsid w:val="008D55B5"/>
    <w:rsid w:val="008D5992"/>
    <w:rsid w:val="008D6017"/>
    <w:rsid w:val="008D603D"/>
    <w:rsid w:val="008D608E"/>
    <w:rsid w:val="008D60BC"/>
    <w:rsid w:val="008D64B4"/>
    <w:rsid w:val="008D6505"/>
    <w:rsid w:val="008D6ED3"/>
    <w:rsid w:val="008D76FE"/>
    <w:rsid w:val="008D7ABE"/>
    <w:rsid w:val="008E00A1"/>
    <w:rsid w:val="008E02FA"/>
    <w:rsid w:val="008E0CDE"/>
    <w:rsid w:val="008E0F6D"/>
    <w:rsid w:val="008E109D"/>
    <w:rsid w:val="008E1110"/>
    <w:rsid w:val="008E1314"/>
    <w:rsid w:val="008E1A39"/>
    <w:rsid w:val="008E1BB1"/>
    <w:rsid w:val="008E1FF5"/>
    <w:rsid w:val="008E204C"/>
    <w:rsid w:val="008E2109"/>
    <w:rsid w:val="008E250B"/>
    <w:rsid w:val="008E260B"/>
    <w:rsid w:val="008E2D06"/>
    <w:rsid w:val="008E37C3"/>
    <w:rsid w:val="008E420F"/>
    <w:rsid w:val="008E4750"/>
    <w:rsid w:val="008E4A0A"/>
    <w:rsid w:val="008E4D3E"/>
    <w:rsid w:val="008E4D6F"/>
    <w:rsid w:val="008E50CE"/>
    <w:rsid w:val="008E5416"/>
    <w:rsid w:val="008E55B6"/>
    <w:rsid w:val="008E571C"/>
    <w:rsid w:val="008E589E"/>
    <w:rsid w:val="008E5DE6"/>
    <w:rsid w:val="008E5E3F"/>
    <w:rsid w:val="008E5EED"/>
    <w:rsid w:val="008E6539"/>
    <w:rsid w:val="008E6AF2"/>
    <w:rsid w:val="008E6BAC"/>
    <w:rsid w:val="008E6D07"/>
    <w:rsid w:val="008E6F45"/>
    <w:rsid w:val="008E6F73"/>
    <w:rsid w:val="008E7973"/>
    <w:rsid w:val="008E7AE7"/>
    <w:rsid w:val="008F005E"/>
    <w:rsid w:val="008F024C"/>
    <w:rsid w:val="008F03BE"/>
    <w:rsid w:val="008F03D2"/>
    <w:rsid w:val="008F0A45"/>
    <w:rsid w:val="008F0AC8"/>
    <w:rsid w:val="008F0AD4"/>
    <w:rsid w:val="008F0C3B"/>
    <w:rsid w:val="008F11EC"/>
    <w:rsid w:val="008F1280"/>
    <w:rsid w:val="008F177C"/>
    <w:rsid w:val="008F195D"/>
    <w:rsid w:val="008F1A1F"/>
    <w:rsid w:val="008F1B63"/>
    <w:rsid w:val="008F1CC2"/>
    <w:rsid w:val="008F1CDE"/>
    <w:rsid w:val="008F1E3E"/>
    <w:rsid w:val="008F1FBD"/>
    <w:rsid w:val="008F2503"/>
    <w:rsid w:val="008F286A"/>
    <w:rsid w:val="008F2982"/>
    <w:rsid w:val="008F2992"/>
    <w:rsid w:val="008F2B38"/>
    <w:rsid w:val="008F2CA4"/>
    <w:rsid w:val="008F306B"/>
    <w:rsid w:val="008F35E9"/>
    <w:rsid w:val="008F374F"/>
    <w:rsid w:val="008F3A08"/>
    <w:rsid w:val="008F3CFD"/>
    <w:rsid w:val="008F3E80"/>
    <w:rsid w:val="008F4289"/>
    <w:rsid w:val="008F44A0"/>
    <w:rsid w:val="008F4B49"/>
    <w:rsid w:val="008F4D27"/>
    <w:rsid w:val="008F5153"/>
    <w:rsid w:val="008F55A7"/>
    <w:rsid w:val="008F633E"/>
    <w:rsid w:val="008F652E"/>
    <w:rsid w:val="008F683C"/>
    <w:rsid w:val="008F68A5"/>
    <w:rsid w:val="008F6A71"/>
    <w:rsid w:val="008F6BBA"/>
    <w:rsid w:val="008F6D7A"/>
    <w:rsid w:val="008F7DB6"/>
    <w:rsid w:val="008F7F65"/>
    <w:rsid w:val="009008E4"/>
    <w:rsid w:val="00900B37"/>
    <w:rsid w:val="00900BBE"/>
    <w:rsid w:val="00900C98"/>
    <w:rsid w:val="0090110A"/>
    <w:rsid w:val="0090152D"/>
    <w:rsid w:val="00901593"/>
    <w:rsid w:val="00901853"/>
    <w:rsid w:val="00901F11"/>
    <w:rsid w:val="00901F5A"/>
    <w:rsid w:val="009023FA"/>
    <w:rsid w:val="00902B98"/>
    <w:rsid w:val="00902F6D"/>
    <w:rsid w:val="00902FDC"/>
    <w:rsid w:val="00903265"/>
    <w:rsid w:val="00903633"/>
    <w:rsid w:val="00903810"/>
    <w:rsid w:val="00903CC1"/>
    <w:rsid w:val="00903D72"/>
    <w:rsid w:val="00903F40"/>
    <w:rsid w:val="0090401F"/>
    <w:rsid w:val="009040D8"/>
    <w:rsid w:val="0090455E"/>
    <w:rsid w:val="00904816"/>
    <w:rsid w:val="00904900"/>
    <w:rsid w:val="009049BB"/>
    <w:rsid w:val="0090556B"/>
    <w:rsid w:val="0090589B"/>
    <w:rsid w:val="00905AE4"/>
    <w:rsid w:val="00905D23"/>
    <w:rsid w:val="0090653C"/>
    <w:rsid w:val="009069D8"/>
    <w:rsid w:val="009071FF"/>
    <w:rsid w:val="00907913"/>
    <w:rsid w:val="00907EAA"/>
    <w:rsid w:val="009100DF"/>
    <w:rsid w:val="00910178"/>
    <w:rsid w:val="00910814"/>
    <w:rsid w:val="00910824"/>
    <w:rsid w:val="00910B7B"/>
    <w:rsid w:val="00910CAE"/>
    <w:rsid w:val="0091149B"/>
    <w:rsid w:val="00911867"/>
    <w:rsid w:val="00911C00"/>
    <w:rsid w:val="00911E1B"/>
    <w:rsid w:val="00911F95"/>
    <w:rsid w:val="00912018"/>
    <w:rsid w:val="009123B8"/>
    <w:rsid w:val="009127A7"/>
    <w:rsid w:val="00912F91"/>
    <w:rsid w:val="0091308B"/>
    <w:rsid w:val="00913F34"/>
    <w:rsid w:val="00914301"/>
    <w:rsid w:val="00915302"/>
    <w:rsid w:val="00915435"/>
    <w:rsid w:val="0091545A"/>
    <w:rsid w:val="009154C3"/>
    <w:rsid w:val="00915AB4"/>
    <w:rsid w:val="00915BA6"/>
    <w:rsid w:val="00915F9A"/>
    <w:rsid w:val="009160BF"/>
    <w:rsid w:val="009164A5"/>
    <w:rsid w:val="009167EE"/>
    <w:rsid w:val="00916930"/>
    <w:rsid w:val="00916CA4"/>
    <w:rsid w:val="0091710D"/>
    <w:rsid w:val="009174DA"/>
    <w:rsid w:val="009178BA"/>
    <w:rsid w:val="0091794B"/>
    <w:rsid w:val="00917B37"/>
    <w:rsid w:val="00920220"/>
    <w:rsid w:val="00920909"/>
    <w:rsid w:val="00920D2A"/>
    <w:rsid w:val="00921053"/>
    <w:rsid w:val="00921075"/>
    <w:rsid w:val="00921B6C"/>
    <w:rsid w:val="00922467"/>
    <w:rsid w:val="009224E8"/>
    <w:rsid w:val="0092286A"/>
    <w:rsid w:val="00922A89"/>
    <w:rsid w:val="009236C6"/>
    <w:rsid w:val="009238C1"/>
    <w:rsid w:val="009242E6"/>
    <w:rsid w:val="00924F9C"/>
    <w:rsid w:val="009251C6"/>
    <w:rsid w:val="009252E8"/>
    <w:rsid w:val="00925911"/>
    <w:rsid w:val="00925B28"/>
    <w:rsid w:val="00926314"/>
    <w:rsid w:val="009265D0"/>
    <w:rsid w:val="00926F6A"/>
    <w:rsid w:val="0092718C"/>
    <w:rsid w:val="0092724E"/>
    <w:rsid w:val="0092772E"/>
    <w:rsid w:val="00930452"/>
    <w:rsid w:val="009304FA"/>
    <w:rsid w:val="00930728"/>
    <w:rsid w:val="0093091C"/>
    <w:rsid w:val="00930B65"/>
    <w:rsid w:val="00930C55"/>
    <w:rsid w:val="00930C81"/>
    <w:rsid w:val="00930EE7"/>
    <w:rsid w:val="00931163"/>
    <w:rsid w:val="00931B3B"/>
    <w:rsid w:val="00931C04"/>
    <w:rsid w:val="00931F3C"/>
    <w:rsid w:val="00932778"/>
    <w:rsid w:val="00932A3E"/>
    <w:rsid w:val="00932B92"/>
    <w:rsid w:val="00932CB0"/>
    <w:rsid w:val="00932D03"/>
    <w:rsid w:val="009334C4"/>
    <w:rsid w:val="009335FB"/>
    <w:rsid w:val="00933E33"/>
    <w:rsid w:val="009341DC"/>
    <w:rsid w:val="00934943"/>
    <w:rsid w:val="00934A90"/>
    <w:rsid w:val="00934B6B"/>
    <w:rsid w:val="00934BCF"/>
    <w:rsid w:val="00934BDE"/>
    <w:rsid w:val="00934C89"/>
    <w:rsid w:val="00934C98"/>
    <w:rsid w:val="00934D1C"/>
    <w:rsid w:val="00934E68"/>
    <w:rsid w:val="009351A8"/>
    <w:rsid w:val="00935269"/>
    <w:rsid w:val="009353A7"/>
    <w:rsid w:val="00935802"/>
    <w:rsid w:val="00935841"/>
    <w:rsid w:val="00935848"/>
    <w:rsid w:val="00935D05"/>
    <w:rsid w:val="00935DF3"/>
    <w:rsid w:val="0093637D"/>
    <w:rsid w:val="00936406"/>
    <w:rsid w:val="009364A4"/>
    <w:rsid w:val="00936B51"/>
    <w:rsid w:val="00937112"/>
    <w:rsid w:val="00937286"/>
    <w:rsid w:val="009372B3"/>
    <w:rsid w:val="009373AD"/>
    <w:rsid w:val="00937544"/>
    <w:rsid w:val="00937A7E"/>
    <w:rsid w:val="00937B12"/>
    <w:rsid w:val="00937B34"/>
    <w:rsid w:val="00940030"/>
    <w:rsid w:val="009402C8"/>
    <w:rsid w:val="00940379"/>
    <w:rsid w:val="0094047B"/>
    <w:rsid w:val="0094083E"/>
    <w:rsid w:val="00940A55"/>
    <w:rsid w:val="00940C18"/>
    <w:rsid w:val="00940F24"/>
    <w:rsid w:val="00940FFE"/>
    <w:rsid w:val="00941078"/>
    <w:rsid w:val="0094161D"/>
    <w:rsid w:val="00941E72"/>
    <w:rsid w:val="00942174"/>
    <w:rsid w:val="009421F8"/>
    <w:rsid w:val="0094265A"/>
    <w:rsid w:val="009427BE"/>
    <w:rsid w:val="009429B6"/>
    <w:rsid w:val="00942FC2"/>
    <w:rsid w:val="00943BA4"/>
    <w:rsid w:val="00943EFD"/>
    <w:rsid w:val="009441D7"/>
    <w:rsid w:val="0094426B"/>
    <w:rsid w:val="0094431B"/>
    <w:rsid w:val="0094446B"/>
    <w:rsid w:val="009445B9"/>
    <w:rsid w:val="0094461A"/>
    <w:rsid w:val="00944830"/>
    <w:rsid w:val="00944A1F"/>
    <w:rsid w:val="00944AFA"/>
    <w:rsid w:val="00944C65"/>
    <w:rsid w:val="009456BD"/>
    <w:rsid w:val="00945745"/>
    <w:rsid w:val="009458AB"/>
    <w:rsid w:val="009459AB"/>
    <w:rsid w:val="00945B55"/>
    <w:rsid w:val="00945D5F"/>
    <w:rsid w:val="00946370"/>
    <w:rsid w:val="009463CC"/>
    <w:rsid w:val="00946646"/>
    <w:rsid w:val="00946687"/>
    <w:rsid w:val="0094690D"/>
    <w:rsid w:val="00946AA6"/>
    <w:rsid w:val="00947054"/>
    <w:rsid w:val="00947204"/>
    <w:rsid w:val="009474EC"/>
    <w:rsid w:val="009475B0"/>
    <w:rsid w:val="00947966"/>
    <w:rsid w:val="00947B18"/>
    <w:rsid w:val="00947F16"/>
    <w:rsid w:val="00950232"/>
    <w:rsid w:val="009506AD"/>
    <w:rsid w:val="00950B5F"/>
    <w:rsid w:val="00950BFE"/>
    <w:rsid w:val="00951370"/>
    <w:rsid w:val="00951823"/>
    <w:rsid w:val="00951CF1"/>
    <w:rsid w:val="00952632"/>
    <w:rsid w:val="00952646"/>
    <w:rsid w:val="0095287F"/>
    <w:rsid w:val="009528A9"/>
    <w:rsid w:val="0095341F"/>
    <w:rsid w:val="00953788"/>
    <w:rsid w:val="009539F1"/>
    <w:rsid w:val="00954064"/>
    <w:rsid w:val="009542C8"/>
    <w:rsid w:val="0095463F"/>
    <w:rsid w:val="009548D5"/>
    <w:rsid w:val="00954943"/>
    <w:rsid w:val="00954DBC"/>
    <w:rsid w:val="0095562B"/>
    <w:rsid w:val="00955841"/>
    <w:rsid w:val="00955C3A"/>
    <w:rsid w:val="00955D7E"/>
    <w:rsid w:val="009566E0"/>
    <w:rsid w:val="00956EDE"/>
    <w:rsid w:val="00957085"/>
    <w:rsid w:val="00957277"/>
    <w:rsid w:val="009572B9"/>
    <w:rsid w:val="00957454"/>
    <w:rsid w:val="00957685"/>
    <w:rsid w:val="00957872"/>
    <w:rsid w:val="00957938"/>
    <w:rsid w:val="00960142"/>
    <w:rsid w:val="00960593"/>
    <w:rsid w:val="00960BC1"/>
    <w:rsid w:val="009611A3"/>
    <w:rsid w:val="00961785"/>
    <w:rsid w:val="009617B5"/>
    <w:rsid w:val="00962065"/>
    <w:rsid w:val="0096242E"/>
    <w:rsid w:val="009624DC"/>
    <w:rsid w:val="009624FF"/>
    <w:rsid w:val="00962592"/>
    <w:rsid w:val="009625F6"/>
    <w:rsid w:val="00962ACC"/>
    <w:rsid w:val="00962EF4"/>
    <w:rsid w:val="00962EF9"/>
    <w:rsid w:val="00962F03"/>
    <w:rsid w:val="009630FD"/>
    <w:rsid w:val="00963C1F"/>
    <w:rsid w:val="00963D80"/>
    <w:rsid w:val="00963EDB"/>
    <w:rsid w:val="00964387"/>
    <w:rsid w:val="009644E3"/>
    <w:rsid w:val="00964A84"/>
    <w:rsid w:val="00964B1D"/>
    <w:rsid w:val="0096505C"/>
    <w:rsid w:val="00965103"/>
    <w:rsid w:val="0096528B"/>
    <w:rsid w:val="009652D1"/>
    <w:rsid w:val="00965503"/>
    <w:rsid w:val="00965B5B"/>
    <w:rsid w:val="00965EEE"/>
    <w:rsid w:val="0096602F"/>
    <w:rsid w:val="0096632A"/>
    <w:rsid w:val="0096663D"/>
    <w:rsid w:val="00966B78"/>
    <w:rsid w:val="00966BE6"/>
    <w:rsid w:val="00966CC0"/>
    <w:rsid w:val="00966DB8"/>
    <w:rsid w:val="00966DC0"/>
    <w:rsid w:val="00967148"/>
    <w:rsid w:val="009677D0"/>
    <w:rsid w:val="00967842"/>
    <w:rsid w:val="0096788A"/>
    <w:rsid w:val="00967D08"/>
    <w:rsid w:val="009707F1"/>
    <w:rsid w:val="00970864"/>
    <w:rsid w:val="00970F1F"/>
    <w:rsid w:val="00971235"/>
    <w:rsid w:val="009713DB"/>
    <w:rsid w:val="0097155F"/>
    <w:rsid w:val="009716B3"/>
    <w:rsid w:val="00971A1A"/>
    <w:rsid w:val="00971EF3"/>
    <w:rsid w:val="00971FB5"/>
    <w:rsid w:val="009723E4"/>
    <w:rsid w:val="00972B42"/>
    <w:rsid w:val="00972DA7"/>
    <w:rsid w:val="00972E26"/>
    <w:rsid w:val="0097301E"/>
    <w:rsid w:val="00973874"/>
    <w:rsid w:val="00973B1A"/>
    <w:rsid w:val="00973EB0"/>
    <w:rsid w:val="009740BD"/>
    <w:rsid w:val="00974152"/>
    <w:rsid w:val="00974274"/>
    <w:rsid w:val="0097456C"/>
    <w:rsid w:val="00974A71"/>
    <w:rsid w:val="00974D61"/>
    <w:rsid w:val="009758C1"/>
    <w:rsid w:val="00975A5A"/>
    <w:rsid w:val="00975B3E"/>
    <w:rsid w:val="00975C87"/>
    <w:rsid w:val="00975D57"/>
    <w:rsid w:val="00975FC0"/>
    <w:rsid w:val="009761B3"/>
    <w:rsid w:val="00976392"/>
    <w:rsid w:val="009765D0"/>
    <w:rsid w:val="009766AE"/>
    <w:rsid w:val="009769F4"/>
    <w:rsid w:val="00976A96"/>
    <w:rsid w:val="00976B11"/>
    <w:rsid w:val="00976C4B"/>
    <w:rsid w:val="00976EBD"/>
    <w:rsid w:val="00977022"/>
    <w:rsid w:val="00977112"/>
    <w:rsid w:val="009771D8"/>
    <w:rsid w:val="009775F0"/>
    <w:rsid w:val="0097768C"/>
    <w:rsid w:val="00977872"/>
    <w:rsid w:val="00977ABD"/>
    <w:rsid w:val="00977D53"/>
    <w:rsid w:val="00977E74"/>
    <w:rsid w:val="00977F75"/>
    <w:rsid w:val="00980758"/>
    <w:rsid w:val="00980C38"/>
    <w:rsid w:val="00980F20"/>
    <w:rsid w:val="00981389"/>
    <w:rsid w:val="0098186C"/>
    <w:rsid w:val="00981976"/>
    <w:rsid w:val="00981A7B"/>
    <w:rsid w:val="00981AF7"/>
    <w:rsid w:val="00981EF3"/>
    <w:rsid w:val="00982A32"/>
    <w:rsid w:val="00982E99"/>
    <w:rsid w:val="00983128"/>
    <w:rsid w:val="00983251"/>
    <w:rsid w:val="009832EE"/>
    <w:rsid w:val="00983564"/>
    <w:rsid w:val="009835B2"/>
    <w:rsid w:val="009835FE"/>
    <w:rsid w:val="0098371E"/>
    <w:rsid w:val="009838E8"/>
    <w:rsid w:val="00983A13"/>
    <w:rsid w:val="00983DD0"/>
    <w:rsid w:val="0098494F"/>
    <w:rsid w:val="00984C9A"/>
    <w:rsid w:val="00985591"/>
    <w:rsid w:val="009860E7"/>
    <w:rsid w:val="00986499"/>
    <w:rsid w:val="009869B3"/>
    <w:rsid w:val="00986A91"/>
    <w:rsid w:val="00986E1C"/>
    <w:rsid w:val="009872DD"/>
    <w:rsid w:val="009903E0"/>
    <w:rsid w:val="009908B4"/>
    <w:rsid w:val="00990F89"/>
    <w:rsid w:val="00991BE2"/>
    <w:rsid w:val="00991C84"/>
    <w:rsid w:val="00991D61"/>
    <w:rsid w:val="009921F2"/>
    <w:rsid w:val="0099253D"/>
    <w:rsid w:val="00992784"/>
    <w:rsid w:val="00992F46"/>
    <w:rsid w:val="00992FA3"/>
    <w:rsid w:val="009930A8"/>
    <w:rsid w:val="00993306"/>
    <w:rsid w:val="009933D2"/>
    <w:rsid w:val="00993C71"/>
    <w:rsid w:val="00994278"/>
    <w:rsid w:val="00994BD5"/>
    <w:rsid w:val="00994F14"/>
    <w:rsid w:val="00994F35"/>
    <w:rsid w:val="00995486"/>
    <w:rsid w:val="0099594D"/>
    <w:rsid w:val="00995B01"/>
    <w:rsid w:val="00995BFB"/>
    <w:rsid w:val="00995E6D"/>
    <w:rsid w:val="009960E7"/>
    <w:rsid w:val="00996229"/>
    <w:rsid w:val="009969AE"/>
    <w:rsid w:val="00996A19"/>
    <w:rsid w:val="00996F51"/>
    <w:rsid w:val="009971C6"/>
    <w:rsid w:val="0099724F"/>
    <w:rsid w:val="009977A0"/>
    <w:rsid w:val="009979B8"/>
    <w:rsid w:val="00997E19"/>
    <w:rsid w:val="00997F68"/>
    <w:rsid w:val="009A0466"/>
    <w:rsid w:val="009A06FC"/>
    <w:rsid w:val="009A0AFA"/>
    <w:rsid w:val="009A0C55"/>
    <w:rsid w:val="009A0E19"/>
    <w:rsid w:val="009A0EDD"/>
    <w:rsid w:val="009A1524"/>
    <w:rsid w:val="009A1E0E"/>
    <w:rsid w:val="009A21A9"/>
    <w:rsid w:val="009A2218"/>
    <w:rsid w:val="009A227D"/>
    <w:rsid w:val="009A2709"/>
    <w:rsid w:val="009A2AB9"/>
    <w:rsid w:val="009A2B38"/>
    <w:rsid w:val="009A3BBA"/>
    <w:rsid w:val="009A3F0D"/>
    <w:rsid w:val="009A3FB9"/>
    <w:rsid w:val="009A3FC5"/>
    <w:rsid w:val="009A4099"/>
    <w:rsid w:val="009A41D0"/>
    <w:rsid w:val="009A49AF"/>
    <w:rsid w:val="009A5659"/>
    <w:rsid w:val="009A5667"/>
    <w:rsid w:val="009A56AF"/>
    <w:rsid w:val="009A5C8C"/>
    <w:rsid w:val="009A6071"/>
    <w:rsid w:val="009A6179"/>
    <w:rsid w:val="009A6630"/>
    <w:rsid w:val="009A6B44"/>
    <w:rsid w:val="009A723F"/>
    <w:rsid w:val="009A7906"/>
    <w:rsid w:val="009A7B1F"/>
    <w:rsid w:val="009A7D46"/>
    <w:rsid w:val="009B023E"/>
    <w:rsid w:val="009B035E"/>
    <w:rsid w:val="009B0838"/>
    <w:rsid w:val="009B0848"/>
    <w:rsid w:val="009B096F"/>
    <w:rsid w:val="009B0D82"/>
    <w:rsid w:val="009B0FDB"/>
    <w:rsid w:val="009B1092"/>
    <w:rsid w:val="009B118C"/>
    <w:rsid w:val="009B1759"/>
    <w:rsid w:val="009B175A"/>
    <w:rsid w:val="009B1867"/>
    <w:rsid w:val="009B1924"/>
    <w:rsid w:val="009B1ABB"/>
    <w:rsid w:val="009B1B1E"/>
    <w:rsid w:val="009B1F57"/>
    <w:rsid w:val="009B30F7"/>
    <w:rsid w:val="009B3691"/>
    <w:rsid w:val="009B374B"/>
    <w:rsid w:val="009B3761"/>
    <w:rsid w:val="009B3847"/>
    <w:rsid w:val="009B3DC9"/>
    <w:rsid w:val="009B3EB0"/>
    <w:rsid w:val="009B4346"/>
    <w:rsid w:val="009B455B"/>
    <w:rsid w:val="009B4569"/>
    <w:rsid w:val="009B4C4B"/>
    <w:rsid w:val="009B4F4C"/>
    <w:rsid w:val="009B4F4F"/>
    <w:rsid w:val="009B5232"/>
    <w:rsid w:val="009B55A2"/>
    <w:rsid w:val="009B5EA7"/>
    <w:rsid w:val="009B638B"/>
    <w:rsid w:val="009B6D82"/>
    <w:rsid w:val="009C01C5"/>
    <w:rsid w:val="009C03FE"/>
    <w:rsid w:val="009C08A8"/>
    <w:rsid w:val="009C12A7"/>
    <w:rsid w:val="009C12D7"/>
    <w:rsid w:val="009C205E"/>
    <w:rsid w:val="009C22C8"/>
    <w:rsid w:val="009C248A"/>
    <w:rsid w:val="009C2569"/>
    <w:rsid w:val="009C2EB4"/>
    <w:rsid w:val="009C322A"/>
    <w:rsid w:val="009C3418"/>
    <w:rsid w:val="009C3BFA"/>
    <w:rsid w:val="009C3D6E"/>
    <w:rsid w:val="009C3EBA"/>
    <w:rsid w:val="009C3F96"/>
    <w:rsid w:val="009C4071"/>
    <w:rsid w:val="009C42E3"/>
    <w:rsid w:val="009C473C"/>
    <w:rsid w:val="009C5B4E"/>
    <w:rsid w:val="009C6840"/>
    <w:rsid w:val="009C6BA1"/>
    <w:rsid w:val="009C6D07"/>
    <w:rsid w:val="009C7119"/>
    <w:rsid w:val="009D0149"/>
    <w:rsid w:val="009D074F"/>
    <w:rsid w:val="009D0CE8"/>
    <w:rsid w:val="009D0D9B"/>
    <w:rsid w:val="009D1287"/>
    <w:rsid w:val="009D188D"/>
    <w:rsid w:val="009D1A1D"/>
    <w:rsid w:val="009D1E0B"/>
    <w:rsid w:val="009D218D"/>
    <w:rsid w:val="009D2531"/>
    <w:rsid w:val="009D2692"/>
    <w:rsid w:val="009D2719"/>
    <w:rsid w:val="009D2833"/>
    <w:rsid w:val="009D2FB4"/>
    <w:rsid w:val="009D3ACB"/>
    <w:rsid w:val="009D3DF0"/>
    <w:rsid w:val="009D4147"/>
    <w:rsid w:val="009D49D9"/>
    <w:rsid w:val="009D4FA6"/>
    <w:rsid w:val="009D5569"/>
    <w:rsid w:val="009D56C2"/>
    <w:rsid w:val="009D5B7C"/>
    <w:rsid w:val="009D5D4E"/>
    <w:rsid w:val="009D5E5E"/>
    <w:rsid w:val="009D635E"/>
    <w:rsid w:val="009D657A"/>
    <w:rsid w:val="009D68CB"/>
    <w:rsid w:val="009D6AB4"/>
    <w:rsid w:val="009D70D1"/>
    <w:rsid w:val="009D7361"/>
    <w:rsid w:val="009D7BE0"/>
    <w:rsid w:val="009E00FD"/>
    <w:rsid w:val="009E0F31"/>
    <w:rsid w:val="009E1091"/>
    <w:rsid w:val="009E10E2"/>
    <w:rsid w:val="009E15FD"/>
    <w:rsid w:val="009E1680"/>
    <w:rsid w:val="009E1A42"/>
    <w:rsid w:val="009E1EF0"/>
    <w:rsid w:val="009E1FEC"/>
    <w:rsid w:val="009E2537"/>
    <w:rsid w:val="009E2EEE"/>
    <w:rsid w:val="009E35EB"/>
    <w:rsid w:val="009E36D3"/>
    <w:rsid w:val="009E3932"/>
    <w:rsid w:val="009E3BF7"/>
    <w:rsid w:val="009E3C84"/>
    <w:rsid w:val="009E4907"/>
    <w:rsid w:val="009E495E"/>
    <w:rsid w:val="009E4BB7"/>
    <w:rsid w:val="009E4EDF"/>
    <w:rsid w:val="009E50B5"/>
    <w:rsid w:val="009E524E"/>
    <w:rsid w:val="009E5798"/>
    <w:rsid w:val="009E5D4E"/>
    <w:rsid w:val="009E601B"/>
    <w:rsid w:val="009E64CE"/>
    <w:rsid w:val="009E69E3"/>
    <w:rsid w:val="009E6E93"/>
    <w:rsid w:val="009E715C"/>
    <w:rsid w:val="009E7237"/>
    <w:rsid w:val="009E7649"/>
    <w:rsid w:val="009E79BD"/>
    <w:rsid w:val="009E7B88"/>
    <w:rsid w:val="009E7F07"/>
    <w:rsid w:val="009E7F92"/>
    <w:rsid w:val="009F0651"/>
    <w:rsid w:val="009F077F"/>
    <w:rsid w:val="009F0A20"/>
    <w:rsid w:val="009F0A2C"/>
    <w:rsid w:val="009F0C60"/>
    <w:rsid w:val="009F13C7"/>
    <w:rsid w:val="009F1419"/>
    <w:rsid w:val="009F14C8"/>
    <w:rsid w:val="009F219A"/>
    <w:rsid w:val="009F2C63"/>
    <w:rsid w:val="009F2DF7"/>
    <w:rsid w:val="009F3513"/>
    <w:rsid w:val="009F3655"/>
    <w:rsid w:val="009F37C7"/>
    <w:rsid w:val="009F3864"/>
    <w:rsid w:val="009F393B"/>
    <w:rsid w:val="009F3A13"/>
    <w:rsid w:val="009F3EF8"/>
    <w:rsid w:val="009F3F8B"/>
    <w:rsid w:val="009F3FA9"/>
    <w:rsid w:val="009F409A"/>
    <w:rsid w:val="009F4211"/>
    <w:rsid w:val="009F497A"/>
    <w:rsid w:val="009F5298"/>
    <w:rsid w:val="009F53E4"/>
    <w:rsid w:val="009F5442"/>
    <w:rsid w:val="009F5478"/>
    <w:rsid w:val="009F57B3"/>
    <w:rsid w:val="009F5A77"/>
    <w:rsid w:val="009F5BEB"/>
    <w:rsid w:val="009F61E7"/>
    <w:rsid w:val="009F7672"/>
    <w:rsid w:val="009F77A5"/>
    <w:rsid w:val="009F796C"/>
    <w:rsid w:val="009F7B46"/>
    <w:rsid w:val="009F7D5E"/>
    <w:rsid w:val="00A00720"/>
    <w:rsid w:val="00A00804"/>
    <w:rsid w:val="00A01273"/>
    <w:rsid w:val="00A0127E"/>
    <w:rsid w:val="00A02157"/>
    <w:rsid w:val="00A02631"/>
    <w:rsid w:val="00A02C8F"/>
    <w:rsid w:val="00A03131"/>
    <w:rsid w:val="00A0399E"/>
    <w:rsid w:val="00A03AA9"/>
    <w:rsid w:val="00A03B66"/>
    <w:rsid w:val="00A03D59"/>
    <w:rsid w:val="00A03EBF"/>
    <w:rsid w:val="00A04545"/>
    <w:rsid w:val="00A04829"/>
    <w:rsid w:val="00A0495B"/>
    <w:rsid w:val="00A04E0F"/>
    <w:rsid w:val="00A05034"/>
    <w:rsid w:val="00A050EE"/>
    <w:rsid w:val="00A055E8"/>
    <w:rsid w:val="00A05FE7"/>
    <w:rsid w:val="00A06A51"/>
    <w:rsid w:val="00A07351"/>
    <w:rsid w:val="00A07ABC"/>
    <w:rsid w:val="00A07AF3"/>
    <w:rsid w:val="00A07C29"/>
    <w:rsid w:val="00A07CAB"/>
    <w:rsid w:val="00A07E5E"/>
    <w:rsid w:val="00A104BF"/>
    <w:rsid w:val="00A106DB"/>
    <w:rsid w:val="00A10705"/>
    <w:rsid w:val="00A107F0"/>
    <w:rsid w:val="00A108BE"/>
    <w:rsid w:val="00A10953"/>
    <w:rsid w:val="00A10ACC"/>
    <w:rsid w:val="00A10ADC"/>
    <w:rsid w:val="00A10FE3"/>
    <w:rsid w:val="00A111CC"/>
    <w:rsid w:val="00A11384"/>
    <w:rsid w:val="00A1146D"/>
    <w:rsid w:val="00A1161F"/>
    <w:rsid w:val="00A1164B"/>
    <w:rsid w:val="00A11772"/>
    <w:rsid w:val="00A11BA3"/>
    <w:rsid w:val="00A11D75"/>
    <w:rsid w:val="00A124DE"/>
    <w:rsid w:val="00A12FA4"/>
    <w:rsid w:val="00A132C0"/>
    <w:rsid w:val="00A13502"/>
    <w:rsid w:val="00A13CEC"/>
    <w:rsid w:val="00A14686"/>
    <w:rsid w:val="00A14B13"/>
    <w:rsid w:val="00A14C80"/>
    <w:rsid w:val="00A15061"/>
    <w:rsid w:val="00A154ED"/>
    <w:rsid w:val="00A15758"/>
    <w:rsid w:val="00A15C8F"/>
    <w:rsid w:val="00A165AC"/>
    <w:rsid w:val="00A165BC"/>
    <w:rsid w:val="00A166F0"/>
    <w:rsid w:val="00A16734"/>
    <w:rsid w:val="00A16A6B"/>
    <w:rsid w:val="00A16CA1"/>
    <w:rsid w:val="00A172A2"/>
    <w:rsid w:val="00A176FA"/>
    <w:rsid w:val="00A176FE"/>
    <w:rsid w:val="00A177B5"/>
    <w:rsid w:val="00A17829"/>
    <w:rsid w:val="00A17B11"/>
    <w:rsid w:val="00A17D6C"/>
    <w:rsid w:val="00A20583"/>
    <w:rsid w:val="00A215CB"/>
    <w:rsid w:val="00A21B56"/>
    <w:rsid w:val="00A21CAD"/>
    <w:rsid w:val="00A22338"/>
    <w:rsid w:val="00A224AB"/>
    <w:rsid w:val="00A2256A"/>
    <w:rsid w:val="00A225E2"/>
    <w:rsid w:val="00A2265A"/>
    <w:rsid w:val="00A22855"/>
    <w:rsid w:val="00A22E97"/>
    <w:rsid w:val="00A2307E"/>
    <w:rsid w:val="00A23357"/>
    <w:rsid w:val="00A24350"/>
    <w:rsid w:val="00A24A1B"/>
    <w:rsid w:val="00A24A60"/>
    <w:rsid w:val="00A24C0F"/>
    <w:rsid w:val="00A24C39"/>
    <w:rsid w:val="00A24E8A"/>
    <w:rsid w:val="00A25296"/>
    <w:rsid w:val="00A253F8"/>
    <w:rsid w:val="00A25815"/>
    <w:rsid w:val="00A258E6"/>
    <w:rsid w:val="00A26266"/>
    <w:rsid w:val="00A263FF"/>
    <w:rsid w:val="00A26F16"/>
    <w:rsid w:val="00A26F6C"/>
    <w:rsid w:val="00A26FDE"/>
    <w:rsid w:val="00A26FFC"/>
    <w:rsid w:val="00A27A00"/>
    <w:rsid w:val="00A27F00"/>
    <w:rsid w:val="00A27F70"/>
    <w:rsid w:val="00A3004F"/>
    <w:rsid w:val="00A30EDC"/>
    <w:rsid w:val="00A31191"/>
    <w:rsid w:val="00A3151C"/>
    <w:rsid w:val="00A32412"/>
    <w:rsid w:val="00A32489"/>
    <w:rsid w:val="00A325BB"/>
    <w:rsid w:val="00A33202"/>
    <w:rsid w:val="00A332EC"/>
    <w:rsid w:val="00A3354B"/>
    <w:rsid w:val="00A3397C"/>
    <w:rsid w:val="00A33D60"/>
    <w:rsid w:val="00A34673"/>
    <w:rsid w:val="00A34E8A"/>
    <w:rsid w:val="00A354AB"/>
    <w:rsid w:val="00A354DF"/>
    <w:rsid w:val="00A35536"/>
    <w:rsid w:val="00A35D60"/>
    <w:rsid w:val="00A35EA9"/>
    <w:rsid w:val="00A35F22"/>
    <w:rsid w:val="00A36178"/>
    <w:rsid w:val="00A36185"/>
    <w:rsid w:val="00A3658F"/>
    <w:rsid w:val="00A36641"/>
    <w:rsid w:val="00A3664D"/>
    <w:rsid w:val="00A36913"/>
    <w:rsid w:val="00A3692D"/>
    <w:rsid w:val="00A36A8C"/>
    <w:rsid w:val="00A36ED2"/>
    <w:rsid w:val="00A36EE8"/>
    <w:rsid w:val="00A374DA"/>
    <w:rsid w:val="00A37F18"/>
    <w:rsid w:val="00A403F8"/>
    <w:rsid w:val="00A40C39"/>
    <w:rsid w:val="00A40DA5"/>
    <w:rsid w:val="00A41585"/>
    <w:rsid w:val="00A41841"/>
    <w:rsid w:val="00A419C7"/>
    <w:rsid w:val="00A419F1"/>
    <w:rsid w:val="00A41CD2"/>
    <w:rsid w:val="00A41DB2"/>
    <w:rsid w:val="00A4221C"/>
    <w:rsid w:val="00A42253"/>
    <w:rsid w:val="00A423A8"/>
    <w:rsid w:val="00A423CB"/>
    <w:rsid w:val="00A424DC"/>
    <w:rsid w:val="00A42AA4"/>
    <w:rsid w:val="00A42FA8"/>
    <w:rsid w:val="00A43028"/>
    <w:rsid w:val="00A43034"/>
    <w:rsid w:val="00A43124"/>
    <w:rsid w:val="00A434CB"/>
    <w:rsid w:val="00A439E2"/>
    <w:rsid w:val="00A43A51"/>
    <w:rsid w:val="00A43EA2"/>
    <w:rsid w:val="00A4432F"/>
    <w:rsid w:val="00A4439A"/>
    <w:rsid w:val="00A443EA"/>
    <w:rsid w:val="00A44453"/>
    <w:rsid w:val="00A447E8"/>
    <w:rsid w:val="00A44B5E"/>
    <w:rsid w:val="00A44D68"/>
    <w:rsid w:val="00A45228"/>
    <w:rsid w:val="00A45853"/>
    <w:rsid w:val="00A46653"/>
    <w:rsid w:val="00A46748"/>
    <w:rsid w:val="00A46753"/>
    <w:rsid w:val="00A46B24"/>
    <w:rsid w:val="00A46C08"/>
    <w:rsid w:val="00A46D8B"/>
    <w:rsid w:val="00A47188"/>
    <w:rsid w:val="00A47300"/>
    <w:rsid w:val="00A47342"/>
    <w:rsid w:val="00A476C0"/>
    <w:rsid w:val="00A47DF9"/>
    <w:rsid w:val="00A503CD"/>
    <w:rsid w:val="00A5060E"/>
    <w:rsid w:val="00A507EF"/>
    <w:rsid w:val="00A5095D"/>
    <w:rsid w:val="00A50BAF"/>
    <w:rsid w:val="00A50FB2"/>
    <w:rsid w:val="00A51325"/>
    <w:rsid w:val="00A51912"/>
    <w:rsid w:val="00A51B4A"/>
    <w:rsid w:val="00A520F9"/>
    <w:rsid w:val="00A523B5"/>
    <w:rsid w:val="00A5249A"/>
    <w:rsid w:val="00A5288E"/>
    <w:rsid w:val="00A52B47"/>
    <w:rsid w:val="00A52D5B"/>
    <w:rsid w:val="00A537F5"/>
    <w:rsid w:val="00A53962"/>
    <w:rsid w:val="00A53EF0"/>
    <w:rsid w:val="00A541DC"/>
    <w:rsid w:val="00A54329"/>
    <w:rsid w:val="00A54B03"/>
    <w:rsid w:val="00A55130"/>
    <w:rsid w:val="00A5527A"/>
    <w:rsid w:val="00A5543A"/>
    <w:rsid w:val="00A556C3"/>
    <w:rsid w:val="00A557FC"/>
    <w:rsid w:val="00A564A9"/>
    <w:rsid w:val="00A56634"/>
    <w:rsid w:val="00A56A98"/>
    <w:rsid w:val="00A56AD6"/>
    <w:rsid w:val="00A56B8A"/>
    <w:rsid w:val="00A56F4F"/>
    <w:rsid w:val="00A6014F"/>
    <w:rsid w:val="00A6057D"/>
    <w:rsid w:val="00A60977"/>
    <w:rsid w:val="00A6121C"/>
    <w:rsid w:val="00A614BC"/>
    <w:rsid w:val="00A61684"/>
    <w:rsid w:val="00A61791"/>
    <w:rsid w:val="00A618F1"/>
    <w:rsid w:val="00A61B5D"/>
    <w:rsid w:val="00A61B72"/>
    <w:rsid w:val="00A62340"/>
    <w:rsid w:val="00A625EE"/>
    <w:rsid w:val="00A62B35"/>
    <w:rsid w:val="00A62E39"/>
    <w:rsid w:val="00A631D1"/>
    <w:rsid w:val="00A63331"/>
    <w:rsid w:val="00A63890"/>
    <w:rsid w:val="00A63BF0"/>
    <w:rsid w:val="00A63D52"/>
    <w:rsid w:val="00A63DAC"/>
    <w:rsid w:val="00A63F36"/>
    <w:rsid w:val="00A64187"/>
    <w:rsid w:val="00A642BF"/>
    <w:rsid w:val="00A643A4"/>
    <w:rsid w:val="00A6466F"/>
    <w:rsid w:val="00A65833"/>
    <w:rsid w:val="00A65863"/>
    <w:rsid w:val="00A659AC"/>
    <w:rsid w:val="00A66501"/>
    <w:rsid w:val="00A66796"/>
    <w:rsid w:val="00A66D27"/>
    <w:rsid w:val="00A66E42"/>
    <w:rsid w:val="00A6733F"/>
    <w:rsid w:val="00A676DD"/>
    <w:rsid w:val="00A6773D"/>
    <w:rsid w:val="00A679B3"/>
    <w:rsid w:val="00A67B2D"/>
    <w:rsid w:val="00A67EB1"/>
    <w:rsid w:val="00A7036E"/>
    <w:rsid w:val="00A709C2"/>
    <w:rsid w:val="00A70E6E"/>
    <w:rsid w:val="00A70FF2"/>
    <w:rsid w:val="00A7119B"/>
    <w:rsid w:val="00A712D0"/>
    <w:rsid w:val="00A717CB"/>
    <w:rsid w:val="00A7192B"/>
    <w:rsid w:val="00A71C76"/>
    <w:rsid w:val="00A71D70"/>
    <w:rsid w:val="00A71D8F"/>
    <w:rsid w:val="00A72128"/>
    <w:rsid w:val="00A7228D"/>
    <w:rsid w:val="00A72933"/>
    <w:rsid w:val="00A729F7"/>
    <w:rsid w:val="00A72A27"/>
    <w:rsid w:val="00A72ECD"/>
    <w:rsid w:val="00A73118"/>
    <w:rsid w:val="00A73405"/>
    <w:rsid w:val="00A7343F"/>
    <w:rsid w:val="00A73CB7"/>
    <w:rsid w:val="00A740B3"/>
    <w:rsid w:val="00A74317"/>
    <w:rsid w:val="00A74572"/>
    <w:rsid w:val="00A74983"/>
    <w:rsid w:val="00A74C28"/>
    <w:rsid w:val="00A74DF3"/>
    <w:rsid w:val="00A74F41"/>
    <w:rsid w:val="00A750E7"/>
    <w:rsid w:val="00A754AA"/>
    <w:rsid w:val="00A76490"/>
    <w:rsid w:val="00A771C3"/>
    <w:rsid w:val="00A77319"/>
    <w:rsid w:val="00A801FF"/>
    <w:rsid w:val="00A80220"/>
    <w:rsid w:val="00A80EAD"/>
    <w:rsid w:val="00A81020"/>
    <w:rsid w:val="00A81083"/>
    <w:rsid w:val="00A81AF9"/>
    <w:rsid w:val="00A81EED"/>
    <w:rsid w:val="00A82250"/>
    <w:rsid w:val="00A82BD7"/>
    <w:rsid w:val="00A834A6"/>
    <w:rsid w:val="00A83D2D"/>
    <w:rsid w:val="00A8404A"/>
    <w:rsid w:val="00A8453B"/>
    <w:rsid w:val="00A84809"/>
    <w:rsid w:val="00A850FB"/>
    <w:rsid w:val="00A8542E"/>
    <w:rsid w:val="00A856B6"/>
    <w:rsid w:val="00A857FE"/>
    <w:rsid w:val="00A85BC6"/>
    <w:rsid w:val="00A85E0B"/>
    <w:rsid w:val="00A85EF3"/>
    <w:rsid w:val="00A85F38"/>
    <w:rsid w:val="00A86027"/>
    <w:rsid w:val="00A86098"/>
    <w:rsid w:val="00A8633D"/>
    <w:rsid w:val="00A86868"/>
    <w:rsid w:val="00A86A01"/>
    <w:rsid w:val="00A86DB7"/>
    <w:rsid w:val="00A86DE9"/>
    <w:rsid w:val="00A872E5"/>
    <w:rsid w:val="00A8784E"/>
    <w:rsid w:val="00A87925"/>
    <w:rsid w:val="00A87979"/>
    <w:rsid w:val="00A87B36"/>
    <w:rsid w:val="00A87C9E"/>
    <w:rsid w:val="00A900C8"/>
    <w:rsid w:val="00A902CC"/>
    <w:rsid w:val="00A903C4"/>
    <w:rsid w:val="00A905F6"/>
    <w:rsid w:val="00A90BC1"/>
    <w:rsid w:val="00A90E25"/>
    <w:rsid w:val="00A90E34"/>
    <w:rsid w:val="00A910D7"/>
    <w:rsid w:val="00A91177"/>
    <w:rsid w:val="00A91967"/>
    <w:rsid w:val="00A91CD6"/>
    <w:rsid w:val="00A928F9"/>
    <w:rsid w:val="00A92B3B"/>
    <w:rsid w:val="00A92B44"/>
    <w:rsid w:val="00A9310C"/>
    <w:rsid w:val="00A931F0"/>
    <w:rsid w:val="00A9337A"/>
    <w:rsid w:val="00A93D58"/>
    <w:rsid w:val="00A94003"/>
    <w:rsid w:val="00A941B0"/>
    <w:rsid w:val="00A945D7"/>
    <w:rsid w:val="00A94888"/>
    <w:rsid w:val="00A94FB7"/>
    <w:rsid w:val="00A951B1"/>
    <w:rsid w:val="00A95209"/>
    <w:rsid w:val="00A9623F"/>
    <w:rsid w:val="00A96295"/>
    <w:rsid w:val="00A967B9"/>
    <w:rsid w:val="00A967BA"/>
    <w:rsid w:val="00A96A07"/>
    <w:rsid w:val="00A96A41"/>
    <w:rsid w:val="00A96A74"/>
    <w:rsid w:val="00A96D91"/>
    <w:rsid w:val="00A97023"/>
    <w:rsid w:val="00A976A5"/>
    <w:rsid w:val="00A977B0"/>
    <w:rsid w:val="00A97830"/>
    <w:rsid w:val="00A97919"/>
    <w:rsid w:val="00A97D46"/>
    <w:rsid w:val="00A97DDB"/>
    <w:rsid w:val="00AA0143"/>
    <w:rsid w:val="00AA02B1"/>
    <w:rsid w:val="00AA042E"/>
    <w:rsid w:val="00AA0480"/>
    <w:rsid w:val="00AA04C4"/>
    <w:rsid w:val="00AA06C7"/>
    <w:rsid w:val="00AA08A5"/>
    <w:rsid w:val="00AA0E18"/>
    <w:rsid w:val="00AA1175"/>
    <w:rsid w:val="00AA166C"/>
    <w:rsid w:val="00AA1A74"/>
    <w:rsid w:val="00AA1B27"/>
    <w:rsid w:val="00AA1BBF"/>
    <w:rsid w:val="00AA1FFE"/>
    <w:rsid w:val="00AA239A"/>
    <w:rsid w:val="00AA2D1D"/>
    <w:rsid w:val="00AA2EA7"/>
    <w:rsid w:val="00AA3051"/>
    <w:rsid w:val="00AA30E1"/>
    <w:rsid w:val="00AA3199"/>
    <w:rsid w:val="00AA31C6"/>
    <w:rsid w:val="00AA36B4"/>
    <w:rsid w:val="00AA3F76"/>
    <w:rsid w:val="00AA4752"/>
    <w:rsid w:val="00AA4820"/>
    <w:rsid w:val="00AA4AEC"/>
    <w:rsid w:val="00AA4F2F"/>
    <w:rsid w:val="00AA531D"/>
    <w:rsid w:val="00AA5473"/>
    <w:rsid w:val="00AA560D"/>
    <w:rsid w:val="00AA5FBE"/>
    <w:rsid w:val="00AA61D5"/>
    <w:rsid w:val="00AA61DA"/>
    <w:rsid w:val="00AA644F"/>
    <w:rsid w:val="00AA64A1"/>
    <w:rsid w:val="00AA7104"/>
    <w:rsid w:val="00AA72BD"/>
    <w:rsid w:val="00AA75DA"/>
    <w:rsid w:val="00AA7676"/>
    <w:rsid w:val="00AA771A"/>
    <w:rsid w:val="00AA7D37"/>
    <w:rsid w:val="00AB026A"/>
    <w:rsid w:val="00AB059D"/>
    <w:rsid w:val="00AB0DF2"/>
    <w:rsid w:val="00AB11D2"/>
    <w:rsid w:val="00AB123D"/>
    <w:rsid w:val="00AB1409"/>
    <w:rsid w:val="00AB145A"/>
    <w:rsid w:val="00AB17AB"/>
    <w:rsid w:val="00AB1B7F"/>
    <w:rsid w:val="00AB1C68"/>
    <w:rsid w:val="00AB2101"/>
    <w:rsid w:val="00AB220B"/>
    <w:rsid w:val="00AB2586"/>
    <w:rsid w:val="00AB280C"/>
    <w:rsid w:val="00AB285F"/>
    <w:rsid w:val="00AB2C52"/>
    <w:rsid w:val="00AB2DC1"/>
    <w:rsid w:val="00AB32A7"/>
    <w:rsid w:val="00AB3531"/>
    <w:rsid w:val="00AB3A73"/>
    <w:rsid w:val="00AB3AC2"/>
    <w:rsid w:val="00AB3BF1"/>
    <w:rsid w:val="00AB3E72"/>
    <w:rsid w:val="00AB4046"/>
    <w:rsid w:val="00AB46CA"/>
    <w:rsid w:val="00AB48AF"/>
    <w:rsid w:val="00AB4B0A"/>
    <w:rsid w:val="00AB4D2D"/>
    <w:rsid w:val="00AB4F37"/>
    <w:rsid w:val="00AB4F8D"/>
    <w:rsid w:val="00AB510C"/>
    <w:rsid w:val="00AB514C"/>
    <w:rsid w:val="00AB5585"/>
    <w:rsid w:val="00AB56D7"/>
    <w:rsid w:val="00AB5C71"/>
    <w:rsid w:val="00AB5C92"/>
    <w:rsid w:val="00AB5D1D"/>
    <w:rsid w:val="00AB5DEE"/>
    <w:rsid w:val="00AB6044"/>
    <w:rsid w:val="00AB6540"/>
    <w:rsid w:val="00AB6914"/>
    <w:rsid w:val="00AB6CE4"/>
    <w:rsid w:val="00AB6DDA"/>
    <w:rsid w:val="00AB6F6A"/>
    <w:rsid w:val="00AB70A0"/>
    <w:rsid w:val="00AB75B0"/>
    <w:rsid w:val="00AB7A12"/>
    <w:rsid w:val="00AB7A51"/>
    <w:rsid w:val="00AB7E08"/>
    <w:rsid w:val="00AB7EA4"/>
    <w:rsid w:val="00AC029D"/>
    <w:rsid w:val="00AC03B1"/>
    <w:rsid w:val="00AC0758"/>
    <w:rsid w:val="00AC084B"/>
    <w:rsid w:val="00AC1AC3"/>
    <w:rsid w:val="00AC1DC5"/>
    <w:rsid w:val="00AC223A"/>
    <w:rsid w:val="00AC2429"/>
    <w:rsid w:val="00AC2806"/>
    <w:rsid w:val="00AC291F"/>
    <w:rsid w:val="00AC2940"/>
    <w:rsid w:val="00AC2A9D"/>
    <w:rsid w:val="00AC2AA5"/>
    <w:rsid w:val="00AC2BE2"/>
    <w:rsid w:val="00AC2CF2"/>
    <w:rsid w:val="00AC3237"/>
    <w:rsid w:val="00AC3E01"/>
    <w:rsid w:val="00AC40FE"/>
    <w:rsid w:val="00AC4571"/>
    <w:rsid w:val="00AC4B1E"/>
    <w:rsid w:val="00AC4DF7"/>
    <w:rsid w:val="00AC50B6"/>
    <w:rsid w:val="00AC5E93"/>
    <w:rsid w:val="00AC5EC7"/>
    <w:rsid w:val="00AC6072"/>
    <w:rsid w:val="00AC6394"/>
    <w:rsid w:val="00AC63D8"/>
    <w:rsid w:val="00AC6770"/>
    <w:rsid w:val="00AC683D"/>
    <w:rsid w:val="00AC6C3B"/>
    <w:rsid w:val="00AC7255"/>
    <w:rsid w:val="00AC75E5"/>
    <w:rsid w:val="00AC7DFA"/>
    <w:rsid w:val="00AC7FFD"/>
    <w:rsid w:val="00AD00EA"/>
    <w:rsid w:val="00AD02D0"/>
    <w:rsid w:val="00AD0348"/>
    <w:rsid w:val="00AD0BCD"/>
    <w:rsid w:val="00AD0E77"/>
    <w:rsid w:val="00AD10B3"/>
    <w:rsid w:val="00AD197F"/>
    <w:rsid w:val="00AD1B57"/>
    <w:rsid w:val="00AD1B8C"/>
    <w:rsid w:val="00AD2347"/>
    <w:rsid w:val="00AD25EF"/>
    <w:rsid w:val="00AD2822"/>
    <w:rsid w:val="00AD2A45"/>
    <w:rsid w:val="00AD2F46"/>
    <w:rsid w:val="00AD2F7D"/>
    <w:rsid w:val="00AD2FE1"/>
    <w:rsid w:val="00AD3172"/>
    <w:rsid w:val="00AD3189"/>
    <w:rsid w:val="00AD326D"/>
    <w:rsid w:val="00AD34CB"/>
    <w:rsid w:val="00AD3725"/>
    <w:rsid w:val="00AD37FC"/>
    <w:rsid w:val="00AD3C6A"/>
    <w:rsid w:val="00AD3DD8"/>
    <w:rsid w:val="00AD4360"/>
    <w:rsid w:val="00AD461E"/>
    <w:rsid w:val="00AD4909"/>
    <w:rsid w:val="00AD4E9D"/>
    <w:rsid w:val="00AD66C8"/>
    <w:rsid w:val="00AD680D"/>
    <w:rsid w:val="00AD68C1"/>
    <w:rsid w:val="00AD6907"/>
    <w:rsid w:val="00AD6E2D"/>
    <w:rsid w:val="00AD6EA8"/>
    <w:rsid w:val="00AD7516"/>
    <w:rsid w:val="00AD79F8"/>
    <w:rsid w:val="00AD7B10"/>
    <w:rsid w:val="00AD7BDA"/>
    <w:rsid w:val="00AD7CD2"/>
    <w:rsid w:val="00AD7EF6"/>
    <w:rsid w:val="00AD7F0C"/>
    <w:rsid w:val="00AE0311"/>
    <w:rsid w:val="00AE0356"/>
    <w:rsid w:val="00AE06EE"/>
    <w:rsid w:val="00AE09C7"/>
    <w:rsid w:val="00AE0C1D"/>
    <w:rsid w:val="00AE0D6A"/>
    <w:rsid w:val="00AE0F83"/>
    <w:rsid w:val="00AE15EE"/>
    <w:rsid w:val="00AE19E1"/>
    <w:rsid w:val="00AE1E60"/>
    <w:rsid w:val="00AE277F"/>
    <w:rsid w:val="00AE27BB"/>
    <w:rsid w:val="00AE2B5D"/>
    <w:rsid w:val="00AE2D3E"/>
    <w:rsid w:val="00AE3046"/>
    <w:rsid w:val="00AE32E7"/>
    <w:rsid w:val="00AE3301"/>
    <w:rsid w:val="00AE3976"/>
    <w:rsid w:val="00AE399E"/>
    <w:rsid w:val="00AE3A5E"/>
    <w:rsid w:val="00AE3DCF"/>
    <w:rsid w:val="00AE40E3"/>
    <w:rsid w:val="00AE40E9"/>
    <w:rsid w:val="00AE47A9"/>
    <w:rsid w:val="00AE4A44"/>
    <w:rsid w:val="00AE4C28"/>
    <w:rsid w:val="00AE588A"/>
    <w:rsid w:val="00AE58D9"/>
    <w:rsid w:val="00AE5ACA"/>
    <w:rsid w:val="00AE5D64"/>
    <w:rsid w:val="00AE631F"/>
    <w:rsid w:val="00AE63DE"/>
    <w:rsid w:val="00AE65DD"/>
    <w:rsid w:val="00AE6672"/>
    <w:rsid w:val="00AE6F5B"/>
    <w:rsid w:val="00AE7127"/>
    <w:rsid w:val="00AE7270"/>
    <w:rsid w:val="00AE7632"/>
    <w:rsid w:val="00AE79B6"/>
    <w:rsid w:val="00AE7D05"/>
    <w:rsid w:val="00AE7DA0"/>
    <w:rsid w:val="00AF0050"/>
    <w:rsid w:val="00AF0094"/>
    <w:rsid w:val="00AF00DE"/>
    <w:rsid w:val="00AF06ED"/>
    <w:rsid w:val="00AF1244"/>
    <w:rsid w:val="00AF1373"/>
    <w:rsid w:val="00AF15D8"/>
    <w:rsid w:val="00AF173B"/>
    <w:rsid w:val="00AF181A"/>
    <w:rsid w:val="00AF199A"/>
    <w:rsid w:val="00AF19E4"/>
    <w:rsid w:val="00AF1CCD"/>
    <w:rsid w:val="00AF1E01"/>
    <w:rsid w:val="00AF2560"/>
    <w:rsid w:val="00AF25D4"/>
    <w:rsid w:val="00AF31AB"/>
    <w:rsid w:val="00AF31CB"/>
    <w:rsid w:val="00AF354D"/>
    <w:rsid w:val="00AF3618"/>
    <w:rsid w:val="00AF3627"/>
    <w:rsid w:val="00AF3666"/>
    <w:rsid w:val="00AF3764"/>
    <w:rsid w:val="00AF3838"/>
    <w:rsid w:val="00AF3D1A"/>
    <w:rsid w:val="00AF3E94"/>
    <w:rsid w:val="00AF40F1"/>
    <w:rsid w:val="00AF4137"/>
    <w:rsid w:val="00AF43E2"/>
    <w:rsid w:val="00AF49C7"/>
    <w:rsid w:val="00AF4B5B"/>
    <w:rsid w:val="00AF4EA7"/>
    <w:rsid w:val="00AF5581"/>
    <w:rsid w:val="00AF5A68"/>
    <w:rsid w:val="00AF5B17"/>
    <w:rsid w:val="00AF5F43"/>
    <w:rsid w:val="00AF665C"/>
    <w:rsid w:val="00AF6986"/>
    <w:rsid w:val="00AF770A"/>
    <w:rsid w:val="00AF77E6"/>
    <w:rsid w:val="00AF78EA"/>
    <w:rsid w:val="00AF7EE3"/>
    <w:rsid w:val="00AF7EE8"/>
    <w:rsid w:val="00B00333"/>
    <w:rsid w:val="00B00350"/>
    <w:rsid w:val="00B00826"/>
    <w:rsid w:val="00B019EE"/>
    <w:rsid w:val="00B01D27"/>
    <w:rsid w:val="00B01F9F"/>
    <w:rsid w:val="00B02147"/>
    <w:rsid w:val="00B0218E"/>
    <w:rsid w:val="00B02360"/>
    <w:rsid w:val="00B0256F"/>
    <w:rsid w:val="00B02CEB"/>
    <w:rsid w:val="00B042B6"/>
    <w:rsid w:val="00B0472D"/>
    <w:rsid w:val="00B04E28"/>
    <w:rsid w:val="00B053DB"/>
    <w:rsid w:val="00B056D4"/>
    <w:rsid w:val="00B05A6A"/>
    <w:rsid w:val="00B06124"/>
    <w:rsid w:val="00B0619C"/>
    <w:rsid w:val="00B064DA"/>
    <w:rsid w:val="00B0661E"/>
    <w:rsid w:val="00B069B4"/>
    <w:rsid w:val="00B06B99"/>
    <w:rsid w:val="00B06F59"/>
    <w:rsid w:val="00B0712B"/>
    <w:rsid w:val="00B0763D"/>
    <w:rsid w:val="00B07A1B"/>
    <w:rsid w:val="00B07A2C"/>
    <w:rsid w:val="00B07CB2"/>
    <w:rsid w:val="00B10193"/>
    <w:rsid w:val="00B10215"/>
    <w:rsid w:val="00B1038B"/>
    <w:rsid w:val="00B10F27"/>
    <w:rsid w:val="00B11098"/>
    <w:rsid w:val="00B1117D"/>
    <w:rsid w:val="00B111C3"/>
    <w:rsid w:val="00B11538"/>
    <w:rsid w:val="00B11A7E"/>
    <w:rsid w:val="00B11D58"/>
    <w:rsid w:val="00B12B7E"/>
    <w:rsid w:val="00B135C9"/>
    <w:rsid w:val="00B1384F"/>
    <w:rsid w:val="00B13B96"/>
    <w:rsid w:val="00B14155"/>
    <w:rsid w:val="00B14317"/>
    <w:rsid w:val="00B14503"/>
    <w:rsid w:val="00B1460E"/>
    <w:rsid w:val="00B151F3"/>
    <w:rsid w:val="00B1523F"/>
    <w:rsid w:val="00B15EC0"/>
    <w:rsid w:val="00B15EF6"/>
    <w:rsid w:val="00B15FE1"/>
    <w:rsid w:val="00B16056"/>
    <w:rsid w:val="00B16158"/>
    <w:rsid w:val="00B164E2"/>
    <w:rsid w:val="00B16A50"/>
    <w:rsid w:val="00B170AA"/>
    <w:rsid w:val="00B1743E"/>
    <w:rsid w:val="00B17B63"/>
    <w:rsid w:val="00B20694"/>
    <w:rsid w:val="00B20B25"/>
    <w:rsid w:val="00B20C96"/>
    <w:rsid w:val="00B20D21"/>
    <w:rsid w:val="00B210AE"/>
    <w:rsid w:val="00B21C5B"/>
    <w:rsid w:val="00B22251"/>
    <w:rsid w:val="00B223CC"/>
    <w:rsid w:val="00B224ED"/>
    <w:rsid w:val="00B22D5E"/>
    <w:rsid w:val="00B22DE2"/>
    <w:rsid w:val="00B23599"/>
    <w:rsid w:val="00B235A0"/>
    <w:rsid w:val="00B23831"/>
    <w:rsid w:val="00B240D3"/>
    <w:rsid w:val="00B24211"/>
    <w:rsid w:val="00B24D34"/>
    <w:rsid w:val="00B25704"/>
    <w:rsid w:val="00B25897"/>
    <w:rsid w:val="00B25BEF"/>
    <w:rsid w:val="00B25C54"/>
    <w:rsid w:val="00B25D6A"/>
    <w:rsid w:val="00B261D9"/>
    <w:rsid w:val="00B261FA"/>
    <w:rsid w:val="00B2621E"/>
    <w:rsid w:val="00B26295"/>
    <w:rsid w:val="00B26465"/>
    <w:rsid w:val="00B26A4B"/>
    <w:rsid w:val="00B26BA8"/>
    <w:rsid w:val="00B26CA9"/>
    <w:rsid w:val="00B26DBD"/>
    <w:rsid w:val="00B274D9"/>
    <w:rsid w:val="00B2754E"/>
    <w:rsid w:val="00B2758C"/>
    <w:rsid w:val="00B276E8"/>
    <w:rsid w:val="00B27983"/>
    <w:rsid w:val="00B27B50"/>
    <w:rsid w:val="00B27D4B"/>
    <w:rsid w:val="00B3080D"/>
    <w:rsid w:val="00B30B91"/>
    <w:rsid w:val="00B30CC3"/>
    <w:rsid w:val="00B31889"/>
    <w:rsid w:val="00B32184"/>
    <w:rsid w:val="00B3224B"/>
    <w:rsid w:val="00B325DE"/>
    <w:rsid w:val="00B32920"/>
    <w:rsid w:val="00B32EA4"/>
    <w:rsid w:val="00B3308B"/>
    <w:rsid w:val="00B335AA"/>
    <w:rsid w:val="00B33750"/>
    <w:rsid w:val="00B33794"/>
    <w:rsid w:val="00B338C7"/>
    <w:rsid w:val="00B34B67"/>
    <w:rsid w:val="00B35328"/>
    <w:rsid w:val="00B35613"/>
    <w:rsid w:val="00B359FF"/>
    <w:rsid w:val="00B35F1C"/>
    <w:rsid w:val="00B36133"/>
    <w:rsid w:val="00B361F1"/>
    <w:rsid w:val="00B363A6"/>
    <w:rsid w:val="00B36881"/>
    <w:rsid w:val="00B36AE5"/>
    <w:rsid w:val="00B36C6A"/>
    <w:rsid w:val="00B371A4"/>
    <w:rsid w:val="00B3736D"/>
    <w:rsid w:val="00B37AC7"/>
    <w:rsid w:val="00B37B0E"/>
    <w:rsid w:val="00B401B7"/>
    <w:rsid w:val="00B40B00"/>
    <w:rsid w:val="00B40C39"/>
    <w:rsid w:val="00B40C90"/>
    <w:rsid w:val="00B40E08"/>
    <w:rsid w:val="00B4121A"/>
    <w:rsid w:val="00B41507"/>
    <w:rsid w:val="00B41780"/>
    <w:rsid w:val="00B42259"/>
    <w:rsid w:val="00B42BB3"/>
    <w:rsid w:val="00B42DAE"/>
    <w:rsid w:val="00B43021"/>
    <w:rsid w:val="00B432FE"/>
    <w:rsid w:val="00B4382C"/>
    <w:rsid w:val="00B440A3"/>
    <w:rsid w:val="00B443AC"/>
    <w:rsid w:val="00B44532"/>
    <w:rsid w:val="00B4504F"/>
    <w:rsid w:val="00B450D8"/>
    <w:rsid w:val="00B4548B"/>
    <w:rsid w:val="00B4549A"/>
    <w:rsid w:val="00B45D16"/>
    <w:rsid w:val="00B45DD0"/>
    <w:rsid w:val="00B45E1C"/>
    <w:rsid w:val="00B4636C"/>
    <w:rsid w:val="00B46B3B"/>
    <w:rsid w:val="00B46D5D"/>
    <w:rsid w:val="00B46EE4"/>
    <w:rsid w:val="00B46F3F"/>
    <w:rsid w:val="00B472ED"/>
    <w:rsid w:val="00B47763"/>
    <w:rsid w:val="00B4781D"/>
    <w:rsid w:val="00B47C64"/>
    <w:rsid w:val="00B47C8C"/>
    <w:rsid w:val="00B47F3B"/>
    <w:rsid w:val="00B50004"/>
    <w:rsid w:val="00B500A0"/>
    <w:rsid w:val="00B503E1"/>
    <w:rsid w:val="00B518E5"/>
    <w:rsid w:val="00B51AEA"/>
    <w:rsid w:val="00B521BB"/>
    <w:rsid w:val="00B525E5"/>
    <w:rsid w:val="00B528E8"/>
    <w:rsid w:val="00B52BE2"/>
    <w:rsid w:val="00B52C95"/>
    <w:rsid w:val="00B52E42"/>
    <w:rsid w:val="00B52F06"/>
    <w:rsid w:val="00B5372D"/>
    <w:rsid w:val="00B538AD"/>
    <w:rsid w:val="00B53E08"/>
    <w:rsid w:val="00B53E95"/>
    <w:rsid w:val="00B54340"/>
    <w:rsid w:val="00B543BA"/>
    <w:rsid w:val="00B5445E"/>
    <w:rsid w:val="00B54768"/>
    <w:rsid w:val="00B54858"/>
    <w:rsid w:val="00B548B6"/>
    <w:rsid w:val="00B54DF5"/>
    <w:rsid w:val="00B55027"/>
    <w:rsid w:val="00B55658"/>
    <w:rsid w:val="00B55F59"/>
    <w:rsid w:val="00B560DA"/>
    <w:rsid w:val="00B565E8"/>
    <w:rsid w:val="00B568F2"/>
    <w:rsid w:val="00B569D5"/>
    <w:rsid w:val="00B56C2D"/>
    <w:rsid w:val="00B5711A"/>
    <w:rsid w:val="00B571F2"/>
    <w:rsid w:val="00B57200"/>
    <w:rsid w:val="00B577AC"/>
    <w:rsid w:val="00B57D76"/>
    <w:rsid w:val="00B60077"/>
    <w:rsid w:val="00B60A7F"/>
    <w:rsid w:val="00B60DF4"/>
    <w:rsid w:val="00B6104D"/>
    <w:rsid w:val="00B61A89"/>
    <w:rsid w:val="00B61AB2"/>
    <w:rsid w:val="00B61CB2"/>
    <w:rsid w:val="00B61D2D"/>
    <w:rsid w:val="00B61F3D"/>
    <w:rsid w:val="00B6217D"/>
    <w:rsid w:val="00B62393"/>
    <w:rsid w:val="00B625A9"/>
    <w:rsid w:val="00B6283F"/>
    <w:rsid w:val="00B6296C"/>
    <w:rsid w:val="00B629D1"/>
    <w:rsid w:val="00B629E3"/>
    <w:rsid w:val="00B62D50"/>
    <w:rsid w:val="00B62FEF"/>
    <w:rsid w:val="00B636E4"/>
    <w:rsid w:val="00B63771"/>
    <w:rsid w:val="00B637B9"/>
    <w:rsid w:val="00B63AAD"/>
    <w:rsid w:val="00B63F94"/>
    <w:rsid w:val="00B64078"/>
    <w:rsid w:val="00B64187"/>
    <w:rsid w:val="00B64D8D"/>
    <w:rsid w:val="00B64F7D"/>
    <w:rsid w:val="00B652E9"/>
    <w:rsid w:val="00B6540D"/>
    <w:rsid w:val="00B656E9"/>
    <w:rsid w:val="00B65C7B"/>
    <w:rsid w:val="00B65DD5"/>
    <w:rsid w:val="00B65DF8"/>
    <w:rsid w:val="00B65E4C"/>
    <w:rsid w:val="00B6640F"/>
    <w:rsid w:val="00B66421"/>
    <w:rsid w:val="00B66585"/>
    <w:rsid w:val="00B66901"/>
    <w:rsid w:val="00B671B1"/>
    <w:rsid w:val="00B67282"/>
    <w:rsid w:val="00B676CD"/>
    <w:rsid w:val="00B676D6"/>
    <w:rsid w:val="00B67ACA"/>
    <w:rsid w:val="00B70118"/>
    <w:rsid w:val="00B701B3"/>
    <w:rsid w:val="00B70353"/>
    <w:rsid w:val="00B70691"/>
    <w:rsid w:val="00B70B92"/>
    <w:rsid w:val="00B70BB9"/>
    <w:rsid w:val="00B70C14"/>
    <w:rsid w:val="00B71266"/>
    <w:rsid w:val="00B71555"/>
    <w:rsid w:val="00B71709"/>
    <w:rsid w:val="00B717EE"/>
    <w:rsid w:val="00B71A8C"/>
    <w:rsid w:val="00B71B64"/>
    <w:rsid w:val="00B726B0"/>
    <w:rsid w:val="00B72753"/>
    <w:rsid w:val="00B72890"/>
    <w:rsid w:val="00B729E3"/>
    <w:rsid w:val="00B72E37"/>
    <w:rsid w:val="00B72EA5"/>
    <w:rsid w:val="00B72F60"/>
    <w:rsid w:val="00B73784"/>
    <w:rsid w:val="00B73836"/>
    <w:rsid w:val="00B73E04"/>
    <w:rsid w:val="00B7415A"/>
    <w:rsid w:val="00B741AE"/>
    <w:rsid w:val="00B74254"/>
    <w:rsid w:val="00B742EE"/>
    <w:rsid w:val="00B7467A"/>
    <w:rsid w:val="00B7484F"/>
    <w:rsid w:val="00B74931"/>
    <w:rsid w:val="00B74C48"/>
    <w:rsid w:val="00B75245"/>
    <w:rsid w:val="00B75721"/>
    <w:rsid w:val="00B758A4"/>
    <w:rsid w:val="00B75A19"/>
    <w:rsid w:val="00B7600D"/>
    <w:rsid w:val="00B76231"/>
    <w:rsid w:val="00B76310"/>
    <w:rsid w:val="00B766EF"/>
    <w:rsid w:val="00B767A3"/>
    <w:rsid w:val="00B76AC4"/>
    <w:rsid w:val="00B77E9F"/>
    <w:rsid w:val="00B80856"/>
    <w:rsid w:val="00B80B6F"/>
    <w:rsid w:val="00B8122D"/>
    <w:rsid w:val="00B818B0"/>
    <w:rsid w:val="00B82047"/>
    <w:rsid w:val="00B8212B"/>
    <w:rsid w:val="00B821B5"/>
    <w:rsid w:val="00B823E2"/>
    <w:rsid w:val="00B824D3"/>
    <w:rsid w:val="00B82592"/>
    <w:rsid w:val="00B82F0E"/>
    <w:rsid w:val="00B83339"/>
    <w:rsid w:val="00B84036"/>
    <w:rsid w:val="00B840B6"/>
    <w:rsid w:val="00B84239"/>
    <w:rsid w:val="00B84479"/>
    <w:rsid w:val="00B845D6"/>
    <w:rsid w:val="00B84669"/>
    <w:rsid w:val="00B84DCB"/>
    <w:rsid w:val="00B85617"/>
    <w:rsid w:val="00B85EEE"/>
    <w:rsid w:val="00B86008"/>
    <w:rsid w:val="00B86023"/>
    <w:rsid w:val="00B867E9"/>
    <w:rsid w:val="00B86AD8"/>
    <w:rsid w:val="00B87029"/>
    <w:rsid w:val="00B87144"/>
    <w:rsid w:val="00B8732D"/>
    <w:rsid w:val="00B8745A"/>
    <w:rsid w:val="00B87DC2"/>
    <w:rsid w:val="00B905E3"/>
    <w:rsid w:val="00B90A86"/>
    <w:rsid w:val="00B90E33"/>
    <w:rsid w:val="00B90ED7"/>
    <w:rsid w:val="00B910C0"/>
    <w:rsid w:val="00B91170"/>
    <w:rsid w:val="00B91254"/>
    <w:rsid w:val="00B9126F"/>
    <w:rsid w:val="00B913DB"/>
    <w:rsid w:val="00B91A0B"/>
    <w:rsid w:val="00B91A62"/>
    <w:rsid w:val="00B924EA"/>
    <w:rsid w:val="00B925B3"/>
    <w:rsid w:val="00B92746"/>
    <w:rsid w:val="00B92B85"/>
    <w:rsid w:val="00B92E25"/>
    <w:rsid w:val="00B931D2"/>
    <w:rsid w:val="00B9364C"/>
    <w:rsid w:val="00B93B7B"/>
    <w:rsid w:val="00B93DC0"/>
    <w:rsid w:val="00B93DC9"/>
    <w:rsid w:val="00B94199"/>
    <w:rsid w:val="00B94416"/>
    <w:rsid w:val="00B946DA"/>
    <w:rsid w:val="00B94877"/>
    <w:rsid w:val="00B94F7A"/>
    <w:rsid w:val="00B9508C"/>
    <w:rsid w:val="00B95148"/>
    <w:rsid w:val="00B953C4"/>
    <w:rsid w:val="00B957F3"/>
    <w:rsid w:val="00B95B62"/>
    <w:rsid w:val="00B95C51"/>
    <w:rsid w:val="00B962A8"/>
    <w:rsid w:val="00B9658E"/>
    <w:rsid w:val="00B968DA"/>
    <w:rsid w:val="00B96E00"/>
    <w:rsid w:val="00B97200"/>
    <w:rsid w:val="00B97E96"/>
    <w:rsid w:val="00BA06FA"/>
    <w:rsid w:val="00BA079C"/>
    <w:rsid w:val="00BA09CB"/>
    <w:rsid w:val="00BA0F44"/>
    <w:rsid w:val="00BA1240"/>
    <w:rsid w:val="00BA1322"/>
    <w:rsid w:val="00BA1E9F"/>
    <w:rsid w:val="00BA21DE"/>
    <w:rsid w:val="00BA25C6"/>
    <w:rsid w:val="00BA2792"/>
    <w:rsid w:val="00BA29C5"/>
    <w:rsid w:val="00BA2AFF"/>
    <w:rsid w:val="00BA2D65"/>
    <w:rsid w:val="00BA342A"/>
    <w:rsid w:val="00BA3522"/>
    <w:rsid w:val="00BA356E"/>
    <w:rsid w:val="00BA36F5"/>
    <w:rsid w:val="00BA3781"/>
    <w:rsid w:val="00BA3A67"/>
    <w:rsid w:val="00BA3B07"/>
    <w:rsid w:val="00BA4283"/>
    <w:rsid w:val="00BA4403"/>
    <w:rsid w:val="00BA46A5"/>
    <w:rsid w:val="00BA48BE"/>
    <w:rsid w:val="00BA4CBC"/>
    <w:rsid w:val="00BA566E"/>
    <w:rsid w:val="00BA56D4"/>
    <w:rsid w:val="00BA6266"/>
    <w:rsid w:val="00BA65EA"/>
    <w:rsid w:val="00BA6959"/>
    <w:rsid w:val="00BA6B15"/>
    <w:rsid w:val="00BA6EAC"/>
    <w:rsid w:val="00BA7013"/>
    <w:rsid w:val="00BA73E2"/>
    <w:rsid w:val="00BA781D"/>
    <w:rsid w:val="00BA7A6A"/>
    <w:rsid w:val="00BB0B0A"/>
    <w:rsid w:val="00BB0C5F"/>
    <w:rsid w:val="00BB0C95"/>
    <w:rsid w:val="00BB0E16"/>
    <w:rsid w:val="00BB1CDB"/>
    <w:rsid w:val="00BB1F24"/>
    <w:rsid w:val="00BB214E"/>
    <w:rsid w:val="00BB237B"/>
    <w:rsid w:val="00BB23C1"/>
    <w:rsid w:val="00BB285A"/>
    <w:rsid w:val="00BB2990"/>
    <w:rsid w:val="00BB2A09"/>
    <w:rsid w:val="00BB32D6"/>
    <w:rsid w:val="00BB3663"/>
    <w:rsid w:val="00BB36CF"/>
    <w:rsid w:val="00BB39F0"/>
    <w:rsid w:val="00BB3A8B"/>
    <w:rsid w:val="00BB3DE1"/>
    <w:rsid w:val="00BB42AC"/>
    <w:rsid w:val="00BB4F6C"/>
    <w:rsid w:val="00BB54C4"/>
    <w:rsid w:val="00BB5F75"/>
    <w:rsid w:val="00BB622C"/>
    <w:rsid w:val="00BB6830"/>
    <w:rsid w:val="00BB6992"/>
    <w:rsid w:val="00BB6B27"/>
    <w:rsid w:val="00BB6B86"/>
    <w:rsid w:val="00BB6E35"/>
    <w:rsid w:val="00BB71F0"/>
    <w:rsid w:val="00BB740C"/>
    <w:rsid w:val="00BB7B9F"/>
    <w:rsid w:val="00BB7D67"/>
    <w:rsid w:val="00BC052F"/>
    <w:rsid w:val="00BC0D2D"/>
    <w:rsid w:val="00BC10EF"/>
    <w:rsid w:val="00BC15FE"/>
    <w:rsid w:val="00BC18A1"/>
    <w:rsid w:val="00BC1A38"/>
    <w:rsid w:val="00BC1D59"/>
    <w:rsid w:val="00BC1FFF"/>
    <w:rsid w:val="00BC26AA"/>
    <w:rsid w:val="00BC28CF"/>
    <w:rsid w:val="00BC2B66"/>
    <w:rsid w:val="00BC2CB2"/>
    <w:rsid w:val="00BC2DC7"/>
    <w:rsid w:val="00BC32EE"/>
    <w:rsid w:val="00BC36F9"/>
    <w:rsid w:val="00BC3A95"/>
    <w:rsid w:val="00BC3AD7"/>
    <w:rsid w:val="00BC3B8F"/>
    <w:rsid w:val="00BC3D18"/>
    <w:rsid w:val="00BC3DE5"/>
    <w:rsid w:val="00BC3F7A"/>
    <w:rsid w:val="00BC40B1"/>
    <w:rsid w:val="00BC42D7"/>
    <w:rsid w:val="00BC465D"/>
    <w:rsid w:val="00BC4676"/>
    <w:rsid w:val="00BC480C"/>
    <w:rsid w:val="00BC4AC8"/>
    <w:rsid w:val="00BC4E6F"/>
    <w:rsid w:val="00BC5435"/>
    <w:rsid w:val="00BC54F3"/>
    <w:rsid w:val="00BC5567"/>
    <w:rsid w:val="00BC5770"/>
    <w:rsid w:val="00BC57F9"/>
    <w:rsid w:val="00BC5B71"/>
    <w:rsid w:val="00BC5DA2"/>
    <w:rsid w:val="00BC6273"/>
    <w:rsid w:val="00BC637E"/>
    <w:rsid w:val="00BC656A"/>
    <w:rsid w:val="00BC6828"/>
    <w:rsid w:val="00BC69AE"/>
    <w:rsid w:val="00BC6A71"/>
    <w:rsid w:val="00BC6FF5"/>
    <w:rsid w:val="00BC7131"/>
    <w:rsid w:val="00BC7E39"/>
    <w:rsid w:val="00BC7F8A"/>
    <w:rsid w:val="00BD04CA"/>
    <w:rsid w:val="00BD04E7"/>
    <w:rsid w:val="00BD0B3B"/>
    <w:rsid w:val="00BD0BA6"/>
    <w:rsid w:val="00BD0DD5"/>
    <w:rsid w:val="00BD0F1B"/>
    <w:rsid w:val="00BD11DB"/>
    <w:rsid w:val="00BD1501"/>
    <w:rsid w:val="00BD1EB5"/>
    <w:rsid w:val="00BD237A"/>
    <w:rsid w:val="00BD2397"/>
    <w:rsid w:val="00BD23B9"/>
    <w:rsid w:val="00BD23EA"/>
    <w:rsid w:val="00BD2823"/>
    <w:rsid w:val="00BD2E37"/>
    <w:rsid w:val="00BD3154"/>
    <w:rsid w:val="00BD3379"/>
    <w:rsid w:val="00BD3586"/>
    <w:rsid w:val="00BD3633"/>
    <w:rsid w:val="00BD3E28"/>
    <w:rsid w:val="00BD3EA7"/>
    <w:rsid w:val="00BD3FBD"/>
    <w:rsid w:val="00BD451D"/>
    <w:rsid w:val="00BD47A7"/>
    <w:rsid w:val="00BD4A0D"/>
    <w:rsid w:val="00BD5241"/>
    <w:rsid w:val="00BD56AB"/>
    <w:rsid w:val="00BD5802"/>
    <w:rsid w:val="00BD5950"/>
    <w:rsid w:val="00BD5E28"/>
    <w:rsid w:val="00BD6026"/>
    <w:rsid w:val="00BD6245"/>
    <w:rsid w:val="00BD6387"/>
    <w:rsid w:val="00BD6645"/>
    <w:rsid w:val="00BD729B"/>
    <w:rsid w:val="00BD746D"/>
    <w:rsid w:val="00BD74DE"/>
    <w:rsid w:val="00BD7526"/>
    <w:rsid w:val="00BD78E7"/>
    <w:rsid w:val="00BE0078"/>
    <w:rsid w:val="00BE0157"/>
    <w:rsid w:val="00BE055C"/>
    <w:rsid w:val="00BE086F"/>
    <w:rsid w:val="00BE096F"/>
    <w:rsid w:val="00BE0BA3"/>
    <w:rsid w:val="00BE0E7D"/>
    <w:rsid w:val="00BE0EB8"/>
    <w:rsid w:val="00BE11EA"/>
    <w:rsid w:val="00BE1764"/>
    <w:rsid w:val="00BE1C9F"/>
    <w:rsid w:val="00BE1D6A"/>
    <w:rsid w:val="00BE1E9A"/>
    <w:rsid w:val="00BE217B"/>
    <w:rsid w:val="00BE2732"/>
    <w:rsid w:val="00BE2925"/>
    <w:rsid w:val="00BE2F99"/>
    <w:rsid w:val="00BE326C"/>
    <w:rsid w:val="00BE3299"/>
    <w:rsid w:val="00BE3495"/>
    <w:rsid w:val="00BE3746"/>
    <w:rsid w:val="00BE39D7"/>
    <w:rsid w:val="00BE3B17"/>
    <w:rsid w:val="00BE3B9A"/>
    <w:rsid w:val="00BE3F2A"/>
    <w:rsid w:val="00BE469F"/>
    <w:rsid w:val="00BE4BC4"/>
    <w:rsid w:val="00BE4C27"/>
    <w:rsid w:val="00BE4F75"/>
    <w:rsid w:val="00BE4F8F"/>
    <w:rsid w:val="00BE501A"/>
    <w:rsid w:val="00BE56D3"/>
    <w:rsid w:val="00BE572F"/>
    <w:rsid w:val="00BE5E88"/>
    <w:rsid w:val="00BE5FA5"/>
    <w:rsid w:val="00BE6043"/>
    <w:rsid w:val="00BE6422"/>
    <w:rsid w:val="00BE66E1"/>
    <w:rsid w:val="00BE6787"/>
    <w:rsid w:val="00BE6A44"/>
    <w:rsid w:val="00BE6A47"/>
    <w:rsid w:val="00BE6B0C"/>
    <w:rsid w:val="00BE6B10"/>
    <w:rsid w:val="00BE6E54"/>
    <w:rsid w:val="00BE73E6"/>
    <w:rsid w:val="00BE7706"/>
    <w:rsid w:val="00BE79BC"/>
    <w:rsid w:val="00BF0D82"/>
    <w:rsid w:val="00BF1290"/>
    <w:rsid w:val="00BF12A3"/>
    <w:rsid w:val="00BF13B4"/>
    <w:rsid w:val="00BF159E"/>
    <w:rsid w:val="00BF1905"/>
    <w:rsid w:val="00BF1B50"/>
    <w:rsid w:val="00BF1C56"/>
    <w:rsid w:val="00BF235A"/>
    <w:rsid w:val="00BF2372"/>
    <w:rsid w:val="00BF265B"/>
    <w:rsid w:val="00BF29C8"/>
    <w:rsid w:val="00BF2ED9"/>
    <w:rsid w:val="00BF2FF4"/>
    <w:rsid w:val="00BF3463"/>
    <w:rsid w:val="00BF34D6"/>
    <w:rsid w:val="00BF38AF"/>
    <w:rsid w:val="00BF4B7F"/>
    <w:rsid w:val="00BF4F8F"/>
    <w:rsid w:val="00BF4FB7"/>
    <w:rsid w:val="00BF56B9"/>
    <w:rsid w:val="00BF58D9"/>
    <w:rsid w:val="00BF5944"/>
    <w:rsid w:val="00BF5987"/>
    <w:rsid w:val="00BF5A1A"/>
    <w:rsid w:val="00BF5AE5"/>
    <w:rsid w:val="00BF606F"/>
    <w:rsid w:val="00BF651F"/>
    <w:rsid w:val="00BF69F1"/>
    <w:rsid w:val="00BF6A28"/>
    <w:rsid w:val="00BF6A47"/>
    <w:rsid w:val="00BF7156"/>
    <w:rsid w:val="00BF7265"/>
    <w:rsid w:val="00BF76E5"/>
    <w:rsid w:val="00BF776E"/>
    <w:rsid w:val="00BF78AB"/>
    <w:rsid w:val="00BF7A1E"/>
    <w:rsid w:val="00BF7BA3"/>
    <w:rsid w:val="00C00135"/>
    <w:rsid w:val="00C00267"/>
    <w:rsid w:val="00C006A2"/>
    <w:rsid w:val="00C00C94"/>
    <w:rsid w:val="00C00E21"/>
    <w:rsid w:val="00C0132C"/>
    <w:rsid w:val="00C013F2"/>
    <w:rsid w:val="00C01545"/>
    <w:rsid w:val="00C01631"/>
    <w:rsid w:val="00C0193E"/>
    <w:rsid w:val="00C01A79"/>
    <w:rsid w:val="00C01BC2"/>
    <w:rsid w:val="00C02321"/>
    <w:rsid w:val="00C02E9A"/>
    <w:rsid w:val="00C03B1A"/>
    <w:rsid w:val="00C03B3B"/>
    <w:rsid w:val="00C03BD5"/>
    <w:rsid w:val="00C03D33"/>
    <w:rsid w:val="00C04213"/>
    <w:rsid w:val="00C04B4F"/>
    <w:rsid w:val="00C05154"/>
    <w:rsid w:val="00C055CF"/>
    <w:rsid w:val="00C0566E"/>
    <w:rsid w:val="00C05729"/>
    <w:rsid w:val="00C059AE"/>
    <w:rsid w:val="00C05C33"/>
    <w:rsid w:val="00C060E7"/>
    <w:rsid w:val="00C0623B"/>
    <w:rsid w:val="00C064F3"/>
    <w:rsid w:val="00C06A6E"/>
    <w:rsid w:val="00C06FE8"/>
    <w:rsid w:val="00C07289"/>
    <w:rsid w:val="00C07300"/>
    <w:rsid w:val="00C074E9"/>
    <w:rsid w:val="00C07768"/>
    <w:rsid w:val="00C07BA8"/>
    <w:rsid w:val="00C07CC8"/>
    <w:rsid w:val="00C07D74"/>
    <w:rsid w:val="00C100D5"/>
    <w:rsid w:val="00C1034B"/>
    <w:rsid w:val="00C103EF"/>
    <w:rsid w:val="00C1053C"/>
    <w:rsid w:val="00C108B4"/>
    <w:rsid w:val="00C10D23"/>
    <w:rsid w:val="00C110C1"/>
    <w:rsid w:val="00C11BC9"/>
    <w:rsid w:val="00C11C25"/>
    <w:rsid w:val="00C11D68"/>
    <w:rsid w:val="00C11DB5"/>
    <w:rsid w:val="00C12601"/>
    <w:rsid w:val="00C126EF"/>
    <w:rsid w:val="00C128DC"/>
    <w:rsid w:val="00C12FE7"/>
    <w:rsid w:val="00C12FEC"/>
    <w:rsid w:val="00C13163"/>
    <w:rsid w:val="00C13260"/>
    <w:rsid w:val="00C132B1"/>
    <w:rsid w:val="00C13396"/>
    <w:rsid w:val="00C135F8"/>
    <w:rsid w:val="00C136B2"/>
    <w:rsid w:val="00C1385D"/>
    <w:rsid w:val="00C13A3A"/>
    <w:rsid w:val="00C13A43"/>
    <w:rsid w:val="00C13A8B"/>
    <w:rsid w:val="00C1420D"/>
    <w:rsid w:val="00C14ABC"/>
    <w:rsid w:val="00C14EF6"/>
    <w:rsid w:val="00C1586E"/>
    <w:rsid w:val="00C15E49"/>
    <w:rsid w:val="00C1623F"/>
    <w:rsid w:val="00C1679F"/>
    <w:rsid w:val="00C16A4A"/>
    <w:rsid w:val="00C16D61"/>
    <w:rsid w:val="00C174AF"/>
    <w:rsid w:val="00C175E2"/>
    <w:rsid w:val="00C17C1D"/>
    <w:rsid w:val="00C17E77"/>
    <w:rsid w:val="00C17EC8"/>
    <w:rsid w:val="00C20024"/>
    <w:rsid w:val="00C201A1"/>
    <w:rsid w:val="00C201B1"/>
    <w:rsid w:val="00C20AEE"/>
    <w:rsid w:val="00C20BBA"/>
    <w:rsid w:val="00C2135D"/>
    <w:rsid w:val="00C21DBF"/>
    <w:rsid w:val="00C2204C"/>
    <w:rsid w:val="00C222A8"/>
    <w:rsid w:val="00C223B7"/>
    <w:rsid w:val="00C22617"/>
    <w:rsid w:val="00C2265E"/>
    <w:rsid w:val="00C22808"/>
    <w:rsid w:val="00C22831"/>
    <w:rsid w:val="00C228DF"/>
    <w:rsid w:val="00C22F72"/>
    <w:rsid w:val="00C23760"/>
    <w:rsid w:val="00C2378B"/>
    <w:rsid w:val="00C237C7"/>
    <w:rsid w:val="00C23E8F"/>
    <w:rsid w:val="00C24323"/>
    <w:rsid w:val="00C2476E"/>
    <w:rsid w:val="00C247C0"/>
    <w:rsid w:val="00C24856"/>
    <w:rsid w:val="00C24AC5"/>
    <w:rsid w:val="00C24ADB"/>
    <w:rsid w:val="00C24EE3"/>
    <w:rsid w:val="00C24F40"/>
    <w:rsid w:val="00C250D6"/>
    <w:rsid w:val="00C25490"/>
    <w:rsid w:val="00C255C0"/>
    <w:rsid w:val="00C25EAC"/>
    <w:rsid w:val="00C2610D"/>
    <w:rsid w:val="00C26251"/>
    <w:rsid w:val="00C26494"/>
    <w:rsid w:val="00C2670B"/>
    <w:rsid w:val="00C26C3D"/>
    <w:rsid w:val="00C26E93"/>
    <w:rsid w:val="00C27319"/>
    <w:rsid w:val="00C27384"/>
    <w:rsid w:val="00C27439"/>
    <w:rsid w:val="00C275C5"/>
    <w:rsid w:val="00C2782D"/>
    <w:rsid w:val="00C27987"/>
    <w:rsid w:val="00C279A8"/>
    <w:rsid w:val="00C27BC9"/>
    <w:rsid w:val="00C27BDD"/>
    <w:rsid w:val="00C27D04"/>
    <w:rsid w:val="00C27ED5"/>
    <w:rsid w:val="00C30311"/>
    <w:rsid w:val="00C303C5"/>
    <w:rsid w:val="00C3070E"/>
    <w:rsid w:val="00C30BE3"/>
    <w:rsid w:val="00C30C89"/>
    <w:rsid w:val="00C30F78"/>
    <w:rsid w:val="00C31556"/>
    <w:rsid w:val="00C31C6D"/>
    <w:rsid w:val="00C328BD"/>
    <w:rsid w:val="00C336CA"/>
    <w:rsid w:val="00C3388C"/>
    <w:rsid w:val="00C33BED"/>
    <w:rsid w:val="00C33C3C"/>
    <w:rsid w:val="00C33EB2"/>
    <w:rsid w:val="00C33EBC"/>
    <w:rsid w:val="00C3402B"/>
    <w:rsid w:val="00C34075"/>
    <w:rsid w:val="00C344A4"/>
    <w:rsid w:val="00C34806"/>
    <w:rsid w:val="00C348F3"/>
    <w:rsid w:val="00C34997"/>
    <w:rsid w:val="00C34EA8"/>
    <w:rsid w:val="00C34FAB"/>
    <w:rsid w:val="00C35371"/>
    <w:rsid w:val="00C3548A"/>
    <w:rsid w:val="00C35608"/>
    <w:rsid w:val="00C35CD4"/>
    <w:rsid w:val="00C35D94"/>
    <w:rsid w:val="00C36180"/>
    <w:rsid w:val="00C36601"/>
    <w:rsid w:val="00C368C4"/>
    <w:rsid w:val="00C36A32"/>
    <w:rsid w:val="00C36B7A"/>
    <w:rsid w:val="00C36BDE"/>
    <w:rsid w:val="00C36FE2"/>
    <w:rsid w:val="00C371BD"/>
    <w:rsid w:val="00C373D9"/>
    <w:rsid w:val="00C373ED"/>
    <w:rsid w:val="00C376B3"/>
    <w:rsid w:val="00C37C36"/>
    <w:rsid w:val="00C37D55"/>
    <w:rsid w:val="00C37E8C"/>
    <w:rsid w:val="00C37EC3"/>
    <w:rsid w:val="00C40044"/>
    <w:rsid w:val="00C40747"/>
    <w:rsid w:val="00C4086A"/>
    <w:rsid w:val="00C40EF5"/>
    <w:rsid w:val="00C414F1"/>
    <w:rsid w:val="00C415C1"/>
    <w:rsid w:val="00C4199A"/>
    <w:rsid w:val="00C4218F"/>
    <w:rsid w:val="00C426CD"/>
    <w:rsid w:val="00C42A78"/>
    <w:rsid w:val="00C4318D"/>
    <w:rsid w:val="00C43341"/>
    <w:rsid w:val="00C43FDD"/>
    <w:rsid w:val="00C440D5"/>
    <w:rsid w:val="00C441C3"/>
    <w:rsid w:val="00C44BA3"/>
    <w:rsid w:val="00C44CCE"/>
    <w:rsid w:val="00C44DB7"/>
    <w:rsid w:val="00C44DE3"/>
    <w:rsid w:val="00C451B0"/>
    <w:rsid w:val="00C45233"/>
    <w:rsid w:val="00C45457"/>
    <w:rsid w:val="00C455B4"/>
    <w:rsid w:val="00C45809"/>
    <w:rsid w:val="00C45E4D"/>
    <w:rsid w:val="00C45F69"/>
    <w:rsid w:val="00C46487"/>
    <w:rsid w:val="00C464CF"/>
    <w:rsid w:val="00C46615"/>
    <w:rsid w:val="00C467F1"/>
    <w:rsid w:val="00C469D1"/>
    <w:rsid w:val="00C4719E"/>
    <w:rsid w:val="00C478CF"/>
    <w:rsid w:val="00C47980"/>
    <w:rsid w:val="00C50609"/>
    <w:rsid w:val="00C50E14"/>
    <w:rsid w:val="00C50F2C"/>
    <w:rsid w:val="00C51463"/>
    <w:rsid w:val="00C516D0"/>
    <w:rsid w:val="00C5180E"/>
    <w:rsid w:val="00C51AF1"/>
    <w:rsid w:val="00C51BD5"/>
    <w:rsid w:val="00C52139"/>
    <w:rsid w:val="00C521C5"/>
    <w:rsid w:val="00C52A2F"/>
    <w:rsid w:val="00C52CBA"/>
    <w:rsid w:val="00C52D85"/>
    <w:rsid w:val="00C52F76"/>
    <w:rsid w:val="00C537AA"/>
    <w:rsid w:val="00C53B84"/>
    <w:rsid w:val="00C54134"/>
    <w:rsid w:val="00C543ED"/>
    <w:rsid w:val="00C545FC"/>
    <w:rsid w:val="00C546CE"/>
    <w:rsid w:val="00C54745"/>
    <w:rsid w:val="00C54799"/>
    <w:rsid w:val="00C54937"/>
    <w:rsid w:val="00C5534C"/>
    <w:rsid w:val="00C55383"/>
    <w:rsid w:val="00C554F8"/>
    <w:rsid w:val="00C55EE4"/>
    <w:rsid w:val="00C56232"/>
    <w:rsid w:val="00C56840"/>
    <w:rsid w:val="00C5741D"/>
    <w:rsid w:val="00C57933"/>
    <w:rsid w:val="00C57B72"/>
    <w:rsid w:val="00C57C22"/>
    <w:rsid w:val="00C57CB6"/>
    <w:rsid w:val="00C60176"/>
    <w:rsid w:val="00C60583"/>
    <w:rsid w:val="00C60BA4"/>
    <w:rsid w:val="00C60D1B"/>
    <w:rsid w:val="00C60DBC"/>
    <w:rsid w:val="00C61465"/>
    <w:rsid w:val="00C614B7"/>
    <w:rsid w:val="00C61824"/>
    <w:rsid w:val="00C61B64"/>
    <w:rsid w:val="00C61F19"/>
    <w:rsid w:val="00C61F62"/>
    <w:rsid w:val="00C61F83"/>
    <w:rsid w:val="00C62116"/>
    <w:rsid w:val="00C625B7"/>
    <w:rsid w:val="00C62786"/>
    <w:rsid w:val="00C62BCE"/>
    <w:rsid w:val="00C6356A"/>
    <w:rsid w:val="00C638BC"/>
    <w:rsid w:val="00C63DC2"/>
    <w:rsid w:val="00C63EEC"/>
    <w:rsid w:val="00C64AC3"/>
    <w:rsid w:val="00C64D74"/>
    <w:rsid w:val="00C65995"/>
    <w:rsid w:val="00C6599C"/>
    <w:rsid w:val="00C659BC"/>
    <w:rsid w:val="00C65DC1"/>
    <w:rsid w:val="00C660BA"/>
    <w:rsid w:val="00C6616E"/>
    <w:rsid w:val="00C665D6"/>
    <w:rsid w:val="00C66753"/>
    <w:rsid w:val="00C66B94"/>
    <w:rsid w:val="00C66CCB"/>
    <w:rsid w:val="00C66CD9"/>
    <w:rsid w:val="00C66F1C"/>
    <w:rsid w:val="00C66FCA"/>
    <w:rsid w:val="00C6791B"/>
    <w:rsid w:val="00C67B40"/>
    <w:rsid w:val="00C704DF"/>
    <w:rsid w:val="00C70652"/>
    <w:rsid w:val="00C70939"/>
    <w:rsid w:val="00C7094C"/>
    <w:rsid w:val="00C70A67"/>
    <w:rsid w:val="00C70A83"/>
    <w:rsid w:val="00C70F58"/>
    <w:rsid w:val="00C7122B"/>
    <w:rsid w:val="00C7123D"/>
    <w:rsid w:val="00C71515"/>
    <w:rsid w:val="00C71551"/>
    <w:rsid w:val="00C71DED"/>
    <w:rsid w:val="00C71FFE"/>
    <w:rsid w:val="00C723C6"/>
    <w:rsid w:val="00C728A8"/>
    <w:rsid w:val="00C73095"/>
    <w:rsid w:val="00C73759"/>
    <w:rsid w:val="00C73E6D"/>
    <w:rsid w:val="00C73F31"/>
    <w:rsid w:val="00C74035"/>
    <w:rsid w:val="00C7410F"/>
    <w:rsid w:val="00C74862"/>
    <w:rsid w:val="00C7496D"/>
    <w:rsid w:val="00C749B3"/>
    <w:rsid w:val="00C752D5"/>
    <w:rsid w:val="00C753EB"/>
    <w:rsid w:val="00C75464"/>
    <w:rsid w:val="00C7546E"/>
    <w:rsid w:val="00C75926"/>
    <w:rsid w:val="00C75ECA"/>
    <w:rsid w:val="00C7629E"/>
    <w:rsid w:val="00C762F5"/>
    <w:rsid w:val="00C764BC"/>
    <w:rsid w:val="00C766B9"/>
    <w:rsid w:val="00C76BF1"/>
    <w:rsid w:val="00C77789"/>
    <w:rsid w:val="00C77A02"/>
    <w:rsid w:val="00C77D91"/>
    <w:rsid w:val="00C77FAF"/>
    <w:rsid w:val="00C80043"/>
    <w:rsid w:val="00C8005E"/>
    <w:rsid w:val="00C8099F"/>
    <w:rsid w:val="00C80EF5"/>
    <w:rsid w:val="00C823C1"/>
    <w:rsid w:val="00C8257B"/>
    <w:rsid w:val="00C827A9"/>
    <w:rsid w:val="00C82A51"/>
    <w:rsid w:val="00C82E2F"/>
    <w:rsid w:val="00C839D9"/>
    <w:rsid w:val="00C83DBF"/>
    <w:rsid w:val="00C83E51"/>
    <w:rsid w:val="00C83FE4"/>
    <w:rsid w:val="00C84231"/>
    <w:rsid w:val="00C844DA"/>
    <w:rsid w:val="00C8460A"/>
    <w:rsid w:val="00C8491A"/>
    <w:rsid w:val="00C84E7E"/>
    <w:rsid w:val="00C854AA"/>
    <w:rsid w:val="00C86209"/>
    <w:rsid w:val="00C86421"/>
    <w:rsid w:val="00C86642"/>
    <w:rsid w:val="00C868EC"/>
    <w:rsid w:val="00C869E9"/>
    <w:rsid w:val="00C869F9"/>
    <w:rsid w:val="00C86AB8"/>
    <w:rsid w:val="00C870DA"/>
    <w:rsid w:val="00C87367"/>
    <w:rsid w:val="00C87551"/>
    <w:rsid w:val="00C87688"/>
    <w:rsid w:val="00C879AC"/>
    <w:rsid w:val="00C87D1B"/>
    <w:rsid w:val="00C87F9F"/>
    <w:rsid w:val="00C90709"/>
    <w:rsid w:val="00C909E5"/>
    <w:rsid w:val="00C90E19"/>
    <w:rsid w:val="00C914DE"/>
    <w:rsid w:val="00C9239E"/>
    <w:rsid w:val="00C92620"/>
    <w:rsid w:val="00C926A0"/>
    <w:rsid w:val="00C926BE"/>
    <w:rsid w:val="00C92745"/>
    <w:rsid w:val="00C929F8"/>
    <w:rsid w:val="00C92A3F"/>
    <w:rsid w:val="00C9304D"/>
    <w:rsid w:val="00C93097"/>
    <w:rsid w:val="00C93F3D"/>
    <w:rsid w:val="00C942F3"/>
    <w:rsid w:val="00C94527"/>
    <w:rsid w:val="00C9462A"/>
    <w:rsid w:val="00C9470A"/>
    <w:rsid w:val="00C94917"/>
    <w:rsid w:val="00C94BDC"/>
    <w:rsid w:val="00C950D3"/>
    <w:rsid w:val="00C950E9"/>
    <w:rsid w:val="00C953F4"/>
    <w:rsid w:val="00C95C0D"/>
    <w:rsid w:val="00C95C71"/>
    <w:rsid w:val="00C95D88"/>
    <w:rsid w:val="00C95EA5"/>
    <w:rsid w:val="00C96B98"/>
    <w:rsid w:val="00C96DB8"/>
    <w:rsid w:val="00C9708D"/>
    <w:rsid w:val="00C97166"/>
    <w:rsid w:val="00C971DF"/>
    <w:rsid w:val="00C97415"/>
    <w:rsid w:val="00C97466"/>
    <w:rsid w:val="00C976BA"/>
    <w:rsid w:val="00C977E8"/>
    <w:rsid w:val="00C97BD9"/>
    <w:rsid w:val="00C97F2B"/>
    <w:rsid w:val="00C97FA5"/>
    <w:rsid w:val="00CA0B5D"/>
    <w:rsid w:val="00CA10A7"/>
    <w:rsid w:val="00CA12CD"/>
    <w:rsid w:val="00CA1C04"/>
    <w:rsid w:val="00CA1C0C"/>
    <w:rsid w:val="00CA1C66"/>
    <w:rsid w:val="00CA2065"/>
    <w:rsid w:val="00CA20B5"/>
    <w:rsid w:val="00CA214F"/>
    <w:rsid w:val="00CA222A"/>
    <w:rsid w:val="00CA259A"/>
    <w:rsid w:val="00CA2BFB"/>
    <w:rsid w:val="00CA3385"/>
    <w:rsid w:val="00CA3691"/>
    <w:rsid w:val="00CA41AD"/>
    <w:rsid w:val="00CA43C1"/>
    <w:rsid w:val="00CA45DE"/>
    <w:rsid w:val="00CA502E"/>
    <w:rsid w:val="00CA516B"/>
    <w:rsid w:val="00CA532B"/>
    <w:rsid w:val="00CA5D35"/>
    <w:rsid w:val="00CA5D9D"/>
    <w:rsid w:val="00CA61BD"/>
    <w:rsid w:val="00CA64A1"/>
    <w:rsid w:val="00CA64B3"/>
    <w:rsid w:val="00CA653E"/>
    <w:rsid w:val="00CA69E7"/>
    <w:rsid w:val="00CA6A40"/>
    <w:rsid w:val="00CA6ACA"/>
    <w:rsid w:val="00CA7056"/>
    <w:rsid w:val="00CA73A7"/>
    <w:rsid w:val="00CA73F2"/>
    <w:rsid w:val="00CA7465"/>
    <w:rsid w:val="00CA7554"/>
    <w:rsid w:val="00CA7B48"/>
    <w:rsid w:val="00CA7F31"/>
    <w:rsid w:val="00CB001F"/>
    <w:rsid w:val="00CB01EF"/>
    <w:rsid w:val="00CB0658"/>
    <w:rsid w:val="00CB0733"/>
    <w:rsid w:val="00CB0DD4"/>
    <w:rsid w:val="00CB0E93"/>
    <w:rsid w:val="00CB0F3B"/>
    <w:rsid w:val="00CB0FA4"/>
    <w:rsid w:val="00CB1044"/>
    <w:rsid w:val="00CB11A9"/>
    <w:rsid w:val="00CB11D5"/>
    <w:rsid w:val="00CB12CE"/>
    <w:rsid w:val="00CB1BDA"/>
    <w:rsid w:val="00CB1D12"/>
    <w:rsid w:val="00CB244A"/>
    <w:rsid w:val="00CB277B"/>
    <w:rsid w:val="00CB2E4D"/>
    <w:rsid w:val="00CB2EC2"/>
    <w:rsid w:val="00CB32F8"/>
    <w:rsid w:val="00CB38B8"/>
    <w:rsid w:val="00CB3FA2"/>
    <w:rsid w:val="00CB43E0"/>
    <w:rsid w:val="00CB457B"/>
    <w:rsid w:val="00CB4595"/>
    <w:rsid w:val="00CB4AC8"/>
    <w:rsid w:val="00CB4D5C"/>
    <w:rsid w:val="00CB5320"/>
    <w:rsid w:val="00CB5C5B"/>
    <w:rsid w:val="00CB6532"/>
    <w:rsid w:val="00CB664D"/>
    <w:rsid w:val="00CB687D"/>
    <w:rsid w:val="00CB6914"/>
    <w:rsid w:val="00CB6E71"/>
    <w:rsid w:val="00CB716F"/>
    <w:rsid w:val="00CB721E"/>
    <w:rsid w:val="00CB79D9"/>
    <w:rsid w:val="00CB7B44"/>
    <w:rsid w:val="00CC07EA"/>
    <w:rsid w:val="00CC1459"/>
    <w:rsid w:val="00CC15F6"/>
    <w:rsid w:val="00CC1BFA"/>
    <w:rsid w:val="00CC1CE8"/>
    <w:rsid w:val="00CC1DFB"/>
    <w:rsid w:val="00CC1E05"/>
    <w:rsid w:val="00CC24DD"/>
    <w:rsid w:val="00CC29BC"/>
    <w:rsid w:val="00CC2BE9"/>
    <w:rsid w:val="00CC2F0C"/>
    <w:rsid w:val="00CC342B"/>
    <w:rsid w:val="00CC3A06"/>
    <w:rsid w:val="00CC3A3B"/>
    <w:rsid w:val="00CC4101"/>
    <w:rsid w:val="00CC4A86"/>
    <w:rsid w:val="00CC4AC4"/>
    <w:rsid w:val="00CC5AF6"/>
    <w:rsid w:val="00CC5C42"/>
    <w:rsid w:val="00CC639F"/>
    <w:rsid w:val="00CC65FA"/>
    <w:rsid w:val="00CC69D8"/>
    <w:rsid w:val="00CC6DFB"/>
    <w:rsid w:val="00CC6FDC"/>
    <w:rsid w:val="00CC714E"/>
    <w:rsid w:val="00CC7E74"/>
    <w:rsid w:val="00CC7ED6"/>
    <w:rsid w:val="00CD002E"/>
    <w:rsid w:val="00CD068D"/>
    <w:rsid w:val="00CD0941"/>
    <w:rsid w:val="00CD097D"/>
    <w:rsid w:val="00CD0CB3"/>
    <w:rsid w:val="00CD0D0F"/>
    <w:rsid w:val="00CD1141"/>
    <w:rsid w:val="00CD2618"/>
    <w:rsid w:val="00CD2A3B"/>
    <w:rsid w:val="00CD2FB0"/>
    <w:rsid w:val="00CD32C9"/>
    <w:rsid w:val="00CD3516"/>
    <w:rsid w:val="00CD35F0"/>
    <w:rsid w:val="00CD3EAB"/>
    <w:rsid w:val="00CD3F64"/>
    <w:rsid w:val="00CD40FD"/>
    <w:rsid w:val="00CD41E5"/>
    <w:rsid w:val="00CD4294"/>
    <w:rsid w:val="00CD4831"/>
    <w:rsid w:val="00CD4868"/>
    <w:rsid w:val="00CD4F0A"/>
    <w:rsid w:val="00CD534F"/>
    <w:rsid w:val="00CD559F"/>
    <w:rsid w:val="00CD55E6"/>
    <w:rsid w:val="00CD5934"/>
    <w:rsid w:val="00CD5B49"/>
    <w:rsid w:val="00CD5E6D"/>
    <w:rsid w:val="00CD5F77"/>
    <w:rsid w:val="00CD5F90"/>
    <w:rsid w:val="00CD6008"/>
    <w:rsid w:val="00CD63C4"/>
    <w:rsid w:val="00CD67BE"/>
    <w:rsid w:val="00CD69C0"/>
    <w:rsid w:val="00CD6A5A"/>
    <w:rsid w:val="00CD6CB2"/>
    <w:rsid w:val="00CD7148"/>
    <w:rsid w:val="00CD72F0"/>
    <w:rsid w:val="00CD739B"/>
    <w:rsid w:val="00CD7B31"/>
    <w:rsid w:val="00CE002E"/>
    <w:rsid w:val="00CE0273"/>
    <w:rsid w:val="00CE0465"/>
    <w:rsid w:val="00CE077E"/>
    <w:rsid w:val="00CE0BEB"/>
    <w:rsid w:val="00CE0E04"/>
    <w:rsid w:val="00CE1337"/>
    <w:rsid w:val="00CE1FED"/>
    <w:rsid w:val="00CE20FE"/>
    <w:rsid w:val="00CE218A"/>
    <w:rsid w:val="00CE22F4"/>
    <w:rsid w:val="00CE24FA"/>
    <w:rsid w:val="00CE2618"/>
    <w:rsid w:val="00CE261E"/>
    <w:rsid w:val="00CE2712"/>
    <w:rsid w:val="00CE2BD4"/>
    <w:rsid w:val="00CE3275"/>
    <w:rsid w:val="00CE3594"/>
    <w:rsid w:val="00CE3777"/>
    <w:rsid w:val="00CE377A"/>
    <w:rsid w:val="00CE3B3E"/>
    <w:rsid w:val="00CE4060"/>
    <w:rsid w:val="00CE4228"/>
    <w:rsid w:val="00CE4379"/>
    <w:rsid w:val="00CE4546"/>
    <w:rsid w:val="00CE47B8"/>
    <w:rsid w:val="00CE49D9"/>
    <w:rsid w:val="00CE5045"/>
    <w:rsid w:val="00CE54F6"/>
    <w:rsid w:val="00CE5D36"/>
    <w:rsid w:val="00CE6379"/>
    <w:rsid w:val="00CE68B5"/>
    <w:rsid w:val="00CE6965"/>
    <w:rsid w:val="00CE6D66"/>
    <w:rsid w:val="00CE6E19"/>
    <w:rsid w:val="00CE6E63"/>
    <w:rsid w:val="00CE7248"/>
    <w:rsid w:val="00CE777A"/>
    <w:rsid w:val="00CE7A9C"/>
    <w:rsid w:val="00CE7BAF"/>
    <w:rsid w:val="00CE7EFF"/>
    <w:rsid w:val="00CF01B3"/>
    <w:rsid w:val="00CF05D1"/>
    <w:rsid w:val="00CF0ACF"/>
    <w:rsid w:val="00CF1060"/>
    <w:rsid w:val="00CF113E"/>
    <w:rsid w:val="00CF11B8"/>
    <w:rsid w:val="00CF1390"/>
    <w:rsid w:val="00CF13AD"/>
    <w:rsid w:val="00CF154F"/>
    <w:rsid w:val="00CF1B9F"/>
    <w:rsid w:val="00CF1BE0"/>
    <w:rsid w:val="00CF1E5C"/>
    <w:rsid w:val="00CF1FA6"/>
    <w:rsid w:val="00CF205D"/>
    <w:rsid w:val="00CF2776"/>
    <w:rsid w:val="00CF2D01"/>
    <w:rsid w:val="00CF31C8"/>
    <w:rsid w:val="00CF3AC8"/>
    <w:rsid w:val="00CF3E2D"/>
    <w:rsid w:val="00CF424E"/>
    <w:rsid w:val="00CF4940"/>
    <w:rsid w:val="00CF4956"/>
    <w:rsid w:val="00CF5591"/>
    <w:rsid w:val="00CF618F"/>
    <w:rsid w:val="00CF6403"/>
    <w:rsid w:val="00CF6BC9"/>
    <w:rsid w:val="00CF6C63"/>
    <w:rsid w:val="00CF6C72"/>
    <w:rsid w:val="00CF6FAE"/>
    <w:rsid w:val="00CF6FD1"/>
    <w:rsid w:val="00CF70E7"/>
    <w:rsid w:val="00CF731C"/>
    <w:rsid w:val="00CF757D"/>
    <w:rsid w:val="00CF75B3"/>
    <w:rsid w:val="00CF79E5"/>
    <w:rsid w:val="00D00333"/>
    <w:rsid w:val="00D00365"/>
    <w:rsid w:val="00D00587"/>
    <w:rsid w:val="00D00728"/>
    <w:rsid w:val="00D00788"/>
    <w:rsid w:val="00D008D4"/>
    <w:rsid w:val="00D00B7A"/>
    <w:rsid w:val="00D00D37"/>
    <w:rsid w:val="00D01004"/>
    <w:rsid w:val="00D02364"/>
    <w:rsid w:val="00D027F8"/>
    <w:rsid w:val="00D02912"/>
    <w:rsid w:val="00D030E7"/>
    <w:rsid w:val="00D03177"/>
    <w:rsid w:val="00D03200"/>
    <w:rsid w:val="00D033BB"/>
    <w:rsid w:val="00D035FA"/>
    <w:rsid w:val="00D03DF0"/>
    <w:rsid w:val="00D04028"/>
    <w:rsid w:val="00D040C3"/>
    <w:rsid w:val="00D045DA"/>
    <w:rsid w:val="00D04A97"/>
    <w:rsid w:val="00D04AE4"/>
    <w:rsid w:val="00D051FB"/>
    <w:rsid w:val="00D05467"/>
    <w:rsid w:val="00D0586B"/>
    <w:rsid w:val="00D05A89"/>
    <w:rsid w:val="00D05E25"/>
    <w:rsid w:val="00D06578"/>
    <w:rsid w:val="00D06AD4"/>
    <w:rsid w:val="00D06D46"/>
    <w:rsid w:val="00D0784A"/>
    <w:rsid w:val="00D07BFE"/>
    <w:rsid w:val="00D07CB1"/>
    <w:rsid w:val="00D07F8E"/>
    <w:rsid w:val="00D10387"/>
    <w:rsid w:val="00D10A6C"/>
    <w:rsid w:val="00D10A9E"/>
    <w:rsid w:val="00D10D26"/>
    <w:rsid w:val="00D10DCB"/>
    <w:rsid w:val="00D1104C"/>
    <w:rsid w:val="00D114C3"/>
    <w:rsid w:val="00D11719"/>
    <w:rsid w:val="00D11A60"/>
    <w:rsid w:val="00D11AAE"/>
    <w:rsid w:val="00D11CB1"/>
    <w:rsid w:val="00D121D8"/>
    <w:rsid w:val="00D12609"/>
    <w:rsid w:val="00D127FE"/>
    <w:rsid w:val="00D12892"/>
    <w:rsid w:val="00D12ADB"/>
    <w:rsid w:val="00D12BC0"/>
    <w:rsid w:val="00D13C06"/>
    <w:rsid w:val="00D13CAF"/>
    <w:rsid w:val="00D13F8A"/>
    <w:rsid w:val="00D13FA2"/>
    <w:rsid w:val="00D1509A"/>
    <w:rsid w:val="00D15386"/>
    <w:rsid w:val="00D153C2"/>
    <w:rsid w:val="00D15487"/>
    <w:rsid w:val="00D154E4"/>
    <w:rsid w:val="00D15803"/>
    <w:rsid w:val="00D1588F"/>
    <w:rsid w:val="00D15E39"/>
    <w:rsid w:val="00D16357"/>
    <w:rsid w:val="00D1676F"/>
    <w:rsid w:val="00D16A56"/>
    <w:rsid w:val="00D16A99"/>
    <w:rsid w:val="00D16EDC"/>
    <w:rsid w:val="00D16F6B"/>
    <w:rsid w:val="00D16FA6"/>
    <w:rsid w:val="00D17253"/>
    <w:rsid w:val="00D172AD"/>
    <w:rsid w:val="00D172C5"/>
    <w:rsid w:val="00D177E7"/>
    <w:rsid w:val="00D17E7E"/>
    <w:rsid w:val="00D204AA"/>
    <w:rsid w:val="00D2054E"/>
    <w:rsid w:val="00D2058D"/>
    <w:rsid w:val="00D2077A"/>
    <w:rsid w:val="00D20E5D"/>
    <w:rsid w:val="00D21102"/>
    <w:rsid w:val="00D21260"/>
    <w:rsid w:val="00D212AC"/>
    <w:rsid w:val="00D21F5E"/>
    <w:rsid w:val="00D221AC"/>
    <w:rsid w:val="00D22550"/>
    <w:rsid w:val="00D2319F"/>
    <w:rsid w:val="00D2353D"/>
    <w:rsid w:val="00D23566"/>
    <w:rsid w:val="00D2392E"/>
    <w:rsid w:val="00D24169"/>
    <w:rsid w:val="00D24271"/>
    <w:rsid w:val="00D243C2"/>
    <w:rsid w:val="00D245E5"/>
    <w:rsid w:val="00D2493B"/>
    <w:rsid w:val="00D24D1E"/>
    <w:rsid w:val="00D25013"/>
    <w:rsid w:val="00D2502C"/>
    <w:rsid w:val="00D250B9"/>
    <w:rsid w:val="00D25146"/>
    <w:rsid w:val="00D25194"/>
    <w:rsid w:val="00D25929"/>
    <w:rsid w:val="00D25CA2"/>
    <w:rsid w:val="00D2613F"/>
    <w:rsid w:val="00D26417"/>
    <w:rsid w:val="00D2669E"/>
    <w:rsid w:val="00D2686C"/>
    <w:rsid w:val="00D27168"/>
    <w:rsid w:val="00D27ADC"/>
    <w:rsid w:val="00D27FD1"/>
    <w:rsid w:val="00D301FA"/>
    <w:rsid w:val="00D3091B"/>
    <w:rsid w:val="00D3092F"/>
    <w:rsid w:val="00D30930"/>
    <w:rsid w:val="00D31046"/>
    <w:rsid w:val="00D310D5"/>
    <w:rsid w:val="00D3125D"/>
    <w:rsid w:val="00D31322"/>
    <w:rsid w:val="00D31D97"/>
    <w:rsid w:val="00D31F2C"/>
    <w:rsid w:val="00D31FDB"/>
    <w:rsid w:val="00D32440"/>
    <w:rsid w:val="00D3258D"/>
    <w:rsid w:val="00D327C2"/>
    <w:rsid w:val="00D327E1"/>
    <w:rsid w:val="00D331E2"/>
    <w:rsid w:val="00D33580"/>
    <w:rsid w:val="00D33A69"/>
    <w:rsid w:val="00D34843"/>
    <w:rsid w:val="00D35F80"/>
    <w:rsid w:val="00D3608F"/>
    <w:rsid w:val="00D36AD3"/>
    <w:rsid w:val="00D37726"/>
    <w:rsid w:val="00D3780B"/>
    <w:rsid w:val="00D37B66"/>
    <w:rsid w:val="00D37E30"/>
    <w:rsid w:val="00D401CE"/>
    <w:rsid w:val="00D402AE"/>
    <w:rsid w:val="00D407EA"/>
    <w:rsid w:val="00D408BE"/>
    <w:rsid w:val="00D409EE"/>
    <w:rsid w:val="00D40E4A"/>
    <w:rsid w:val="00D4107A"/>
    <w:rsid w:val="00D41748"/>
    <w:rsid w:val="00D41C62"/>
    <w:rsid w:val="00D41E52"/>
    <w:rsid w:val="00D42113"/>
    <w:rsid w:val="00D421AD"/>
    <w:rsid w:val="00D42318"/>
    <w:rsid w:val="00D428E0"/>
    <w:rsid w:val="00D42BA8"/>
    <w:rsid w:val="00D42E02"/>
    <w:rsid w:val="00D43750"/>
    <w:rsid w:val="00D43D85"/>
    <w:rsid w:val="00D440B7"/>
    <w:rsid w:val="00D44107"/>
    <w:rsid w:val="00D442E0"/>
    <w:rsid w:val="00D44302"/>
    <w:rsid w:val="00D443E5"/>
    <w:rsid w:val="00D4457D"/>
    <w:rsid w:val="00D447CF"/>
    <w:rsid w:val="00D44A17"/>
    <w:rsid w:val="00D44AB6"/>
    <w:rsid w:val="00D4531F"/>
    <w:rsid w:val="00D45BDE"/>
    <w:rsid w:val="00D45EEE"/>
    <w:rsid w:val="00D463D2"/>
    <w:rsid w:val="00D46449"/>
    <w:rsid w:val="00D4681B"/>
    <w:rsid w:val="00D46991"/>
    <w:rsid w:val="00D46E28"/>
    <w:rsid w:val="00D470B1"/>
    <w:rsid w:val="00D474BB"/>
    <w:rsid w:val="00D47745"/>
    <w:rsid w:val="00D478C3"/>
    <w:rsid w:val="00D478CD"/>
    <w:rsid w:val="00D47C8C"/>
    <w:rsid w:val="00D47DB5"/>
    <w:rsid w:val="00D47E08"/>
    <w:rsid w:val="00D5193D"/>
    <w:rsid w:val="00D51A43"/>
    <w:rsid w:val="00D533BC"/>
    <w:rsid w:val="00D53555"/>
    <w:rsid w:val="00D537DC"/>
    <w:rsid w:val="00D53B84"/>
    <w:rsid w:val="00D53CC1"/>
    <w:rsid w:val="00D53D31"/>
    <w:rsid w:val="00D53F7A"/>
    <w:rsid w:val="00D54A27"/>
    <w:rsid w:val="00D55DE4"/>
    <w:rsid w:val="00D55ED9"/>
    <w:rsid w:val="00D56316"/>
    <w:rsid w:val="00D5644D"/>
    <w:rsid w:val="00D56796"/>
    <w:rsid w:val="00D56EA1"/>
    <w:rsid w:val="00D570CF"/>
    <w:rsid w:val="00D572E1"/>
    <w:rsid w:val="00D574BE"/>
    <w:rsid w:val="00D5757F"/>
    <w:rsid w:val="00D57A6B"/>
    <w:rsid w:val="00D57B73"/>
    <w:rsid w:val="00D6039D"/>
    <w:rsid w:val="00D60920"/>
    <w:rsid w:val="00D609E8"/>
    <w:rsid w:val="00D60B42"/>
    <w:rsid w:val="00D60C5D"/>
    <w:rsid w:val="00D60F34"/>
    <w:rsid w:val="00D610ED"/>
    <w:rsid w:val="00D6135A"/>
    <w:rsid w:val="00D61539"/>
    <w:rsid w:val="00D6188B"/>
    <w:rsid w:val="00D61EE2"/>
    <w:rsid w:val="00D62709"/>
    <w:rsid w:val="00D62CF2"/>
    <w:rsid w:val="00D62EB6"/>
    <w:rsid w:val="00D6313A"/>
    <w:rsid w:val="00D631D3"/>
    <w:rsid w:val="00D63231"/>
    <w:rsid w:val="00D634D1"/>
    <w:rsid w:val="00D635B6"/>
    <w:rsid w:val="00D6388E"/>
    <w:rsid w:val="00D639B2"/>
    <w:rsid w:val="00D63C3D"/>
    <w:rsid w:val="00D63E19"/>
    <w:rsid w:val="00D6430E"/>
    <w:rsid w:val="00D6443E"/>
    <w:rsid w:val="00D64619"/>
    <w:rsid w:val="00D6483D"/>
    <w:rsid w:val="00D6492F"/>
    <w:rsid w:val="00D64DC2"/>
    <w:rsid w:val="00D64FEE"/>
    <w:rsid w:val="00D650B7"/>
    <w:rsid w:val="00D652C1"/>
    <w:rsid w:val="00D65893"/>
    <w:rsid w:val="00D65ADB"/>
    <w:rsid w:val="00D65B20"/>
    <w:rsid w:val="00D65C89"/>
    <w:rsid w:val="00D65DFA"/>
    <w:rsid w:val="00D65E46"/>
    <w:rsid w:val="00D65E9A"/>
    <w:rsid w:val="00D6601E"/>
    <w:rsid w:val="00D662E6"/>
    <w:rsid w:val="00D66404"/>
    <w:rsid w:val="00D6649C"/>
    <w:rsid w:val="00D66598"/>
    <w:rsid w:val="00D700C4"/>
    <w:rsid w:val="00D704DE"/>
    <w:rsid w:val="00D70BD7"/>
    <w:rsid w:val="00D70CFE"/>
    <w:rsid w:val="00D70E5F"/>
    <w:rsid w:val="00D718B4"/>
    <w:rsid w:val="00D71C56"/>
    <w:rsid w:val="00D721E8"/>
    <w:rsid w:val="00D72E2D"/>
    <w:rsid w:val="00D72F34"/>
    <w:rsid w:val="00D72FCE"/>
    <w:rsid w:val="00D730F4"/>
    <w:rsid w:val="00D7377F"/>
    <w:rsid w:val="00D73937"/>
    <w:rsid w:val="00D74223"/>
    <w:rsid w:val="00D744DB"/>
    <w:rsid w:val="00D74608"/>
    <w:rsid w:val="00D74615"/>
    <w:rsid w:val="00D74901"/>
    <w:rsid w:val="00D74A72"/>
    <w:rsid w:val="00D75B6F"/>
    <w:rsid w:val="00D75D68"/>
    <w:rsid w:val="00D75D88"/>
    <w:rsid w:val="00D76173"/>
    <w:rsid w:val="00D76232"/>
    <w:rsid w:val="00D76BAC"/>
    <w:rsid w:val="00D76CBC"/>
    <w:rsid w:val="00D76D23"/>
    <w:rsid w:val="00D77878"/>
    <w:rsid w:val="00D77901"/>
    <w:rsid w:val="00D77B32"/>
    <w:rsid w:val="00D77C59"/>
    <w:rsid w:val="00D77F8F"/>
    <w:rsid w:val="00D800A6"/>
    <w:rsid w:val="00D803CC"/>
    <w:rsid w:val="00D805ED"/>
    <w:rsid w:val="00D80699"/>
    <w:rsid w:val="00D807E2"/>
    <w:rsid w:val="00D808C7"/>
    <w:rsid w:val="00D8090C"/>
    <w:rsid w:val="00D80E77"/>
    <w:rsid w:val="00D81340"/>
    <w:rsid w:val="00D8172E"/>
    <w:rsid w:val="00D81B4E"/>
    <w:rsid w:val="00D81DBA"/>
    <w:rsid w:val="00D81ED0"/>
    <w:rsid w:val="00D82141"/>
    <w:rsid w:val="00D82604"/>
    <w:rsid w:val="00D828BF"/>
    <w:rsid w:val="00D82BFE"/>
    <w:rsid w:val="00D82CB0"/>
    <w:rsid w:val="00D82DEA"/>
    <w:rsid w:val="00D842EE"/>
    <w:rsid w:val="00D84512"/>
    <w:rsid w:val="00D84AB0"/>
    <w:rsid w:val="00D84E1A"/>
    <w:rsid w:val="00D851B6"/>
    <w:rsid w:val="00D85284"/>
    <w:rsid w:val="00D864F5"/>
    <w:rsid w:val="00D86539"/>
    <w:rsid w:val="00D866F8"/>
    <w:rsid w:val="00D8695B"/>
    <w:rsid w:val="00D906C0"/>
    <w:rsid w:val="00D90787"/>
    <w:rsid w:val="00D908DF"/>
    <w:rsid w:val="00D9145D"/>
    <w:rsid w:val="00D91A9E"/>
    <w:rsid w:val="00D91AC8"/>
    <w:rsid w:val="00D91B78"/>
    <w:rsid w:val="00D9253D"/>
    <w:rsid w:val="00D92842"/>
    <w:rsid w:val="00D92A11"/>
    <w:rsid w:val="00D93152"/>
    <w:rsid w:val="00D93212"/>
    <w:rsid w:val="00D932E9"/>
    <w:rsid w:val="00D93300"/>
    <w:rsid w:val="00D936D0"/>
    <w:rsid w:val="00D93C7B"/>
    <w:rsid w:val="00D943AA"/>
    <w:rsid w:val="00D94768"/>
    <w:rsid w:val="00D94884"/>
    <w:rsid w:val="00D9492D"/>
    <w:rsid w:val="00D949F3"/>
    <w:rsid w:val="00D94A32"/>
    <w:rsid w:val="00D94B5F"/>
    <w:rsid w:val="00D94D36"/>
    <w:rsid w:val="00D94FA9"/>
    <w:rsid w:val="00D9500F"/>
    <w:rsid w:val="00D9577B"/>
    <w:rsid w:val="00D95B01"/>
    <w:rsid w:val="00D95B2A"/>
    <w:rsid w:val="00D965B8"/>
    <w:rsid w:val="00D9701B"/>
    <w:rsid w:val="00D97519"/>
    <w:rsid w:val="00D9752E"/>
    <w:rsid w:val="00D97B32"/>
    <w:rsid w:val="00DA0119"/>
    <w:rsid w:val="00DA0642"/>
    <w:rsid w:val="00DA070B"/>
    <w:rsid w:val="00DA141B"/>
    <w:rsid w:val="00DA1B3A"/>
    <w:rsid w:val="00DA1FD3"/>
    <w:rsid w:val="00DA2244"/>
    <w:rsid w:val="00DA23AC"/>
    <w:rsid w:val="00DA259B"/>
    <w:rsid w:val="00DA26BE"/>
    <w:rsid w:val="00DA2AEB"/>
    <w:rsid w:val="00DA2B5D"/>
    <w:rsid w:val="00DA33F0"/>
    <w:rsid w:val="00DA3691"/>
    <w:rsid w:val="00DA48D3"/>
    <w:rsid w:val="00DA4982"/>
    <w:rsid w:val="00DA4B29"/>
    <w:rsid w:val="00DA4B6E"/>
    <w:rsid w:val="00DA50FD"/>
    <w:rsid w:val="00DA53D8"/>
    <w:rsid w:val="00DA54B4"/>
    <w:rsid w:val="00DA5945"/>
    <w:rsid w:val="00DA5E7D"/>
    <w:rsid w:val="00DA61C7"/>
    <w:rsid w:val="00DA6459"/>
    <w:rsid w:val="00DA6A07"/>
    <w:rsid w:val="00DA6C7E"/>
    <w:rsid w:val="00DA6CCB"/>
    <w:rsid w:val="00DA70A3"/>
    <w:rsid w:val="00DA7441"/>
    <w:rsid w:val="00DA787B"/>
    <w:rsid w:val="00DA7A1D"/>
    <w:rsid w:val="00DB0598"/>
    <w:rsid w:val="00DB0690"/>
    <w:rsid w:val="00DB0860"/>
    <w:rsid w:val="00DB0C08"/>
    <w:rsid w:val="00DB1136"/>
    <w:rsid w:val="00DB1A2E"/>
    <w:rsid w:val="00DB1CB8"/>
    <w:rsid w:val="00DB1E92"/>
    <w:rsid w:val="00DB23CA"/>
    <w:rsid w:val="00DB2400"/>
    <w:rsid w:val="00DB2411"/>
    <w:rsid w:val="00DB264B"/>
    <w:rsid w:val="00DB29BD"/>
    <w:rsid w:val="00DB29FC"/>
    <w:rsid w:val="00DB2B8D"/>
    <w:rsid w:val="00DB2F2D"/>
    <w:rsid w:val="00DB2F43"/>
    <w:rsid w:val="00DB3055"/>
    <w:rsid w:val="00DB364E"/>
    <w:rsid w:val="00DB37DF"/>
    <w:rsid w:val="00DB3CF4"/>
    <w:rsid w:val="00DB42EE"/>
    <w:rsid w:val="00DB4D54"/>
    <w:rsid w:val="00DB54F4"/>
    <w:rsid w:val="00DB5630"/>
    <w:rsid w:val="00DB59B6"/>
    <w:rsid w:val="00DB5E6D"/>
    <w:rsid w:val="00DB5FAB"/>
    <w:rsid w:val="00DB5FC3"/>
    <w:rsid w:val="00DB60AA"/>
    <w:rsid w:val="00DB60E0"/>
    <w:rsid w:val="00DB6231"/>
    <w:rsid w:val="00DB665D"/>
    <w:rsid w:val="00DB6833"/>
    <w:rsid w:val="00DB68C9"/>
    <w:rsid w:val="00DB6EBA"/>
    <w:rsid w:val="00DB6F90"/>
    <w:rsid w:val="00DB7713"/>
    <w:rsid w:val="00DC005B"/>
    <w:rsid w:val="00DC04E6"/>
    <w:rsid w:val="00DC061C"/>
    <w:rsid w:val="00DC0B5A"/>
    <w:rsid w:val="00DC0E2D"/>
    <w:rsid w:val="00DC1462"/>
    <w:rsid w:val="00DC155B"/>
    <w:rsid w:val="00DC1A36"/>
    <w:rsid w:val="00DC1B3F"/>
    <w:rsid w:val="00DC1B8B"/>
    <w:rsid w:val="00DC1D83"/>
    <w:rsid w:val="00DC211A"/>
    <w:rsid w:val="00DC2737"/>
    <w:rsid w:val="00DC2AE4"/>
    <w:rsid w:val="00DC2DBA"/>
    <w:rsid w:val="00DC2EA2"/>
    <w:rsid w:val="00DC2F34"/>
    <w:rsid w:val="00DC2FF1"/>
    <w:rsid w:val="00DC309F"/>
    <w:rsid w:val="00DC326C"/>
    <w:rsid w:val="00DC3481"/>
    <w:rsid w:val="00DC42EB"/>
    <w:rsid w:val="00DC4471"/>
    <w:rsid w:val="00DC4F71"/>
    <w:rsid w:val="00DC4FCC"/>
    <w:rsid w:val="00DC5667"/>
    <w:rsid w:val="00DC5768"/>
    <w:rsid w:val="00DC5802"/>
    <w:rsid w:val="00DC5B64"/>
    <w:rsid w:val="00DC5D66"/>
    <w:rsid w:val="00DC6067"/>
    <w:rsid w:val="00DC6374"/>
    <w:rsid w:val="00DC6894"/>
    <w:rsid w:val="00DC71B0"/>
    <w:rsid w:val="00DC73BC"/>
    <w:rsid w:val="00DC73DC"/>
    <w:rsid w:val="00DC7496"/>
    <w:rsid w:val="00DC749A"/>
    <w:rsid w:val="00DC7553"/>
    <w:rsid w:val="00DC7731"/>
    <w:rsid w:val="00DD0302"/>
    <w:rsid w:val="00DD0332"/>
    <w:rsid w:val="00DD0590"/>
    <w:rsid w:val="00DD06FE"/>
    <w:rsid w:val="00DD094F"/>
    <w:rsid w:val="00DD0959"/>
    <w:rsid w:val="00DD168E"/>
    <w:rsid w:val="00DD16E4"/>
    <w:rsid w:val="00DD180D"/>
    <w:rsid w:val="00DD18F8"/>
    <w:rsid w:val="00DD190C"/>
    <w:rsid w:val="00DD1CCD"/>
    <w:rsid w:val="00DD23C4"/>
    <w:rsid w:val="00DD259A"/>
    <w:rsid w:val="00DD25BF"/>
    <w:rsid w:val="00DD27CE"/>
    <w:rsid w:val="00DD28CB"/>
    <w:rsid w:val="00DD2BD3"/>
    <w:rsid w:val="00DD2CCC"/>
    <w:rsid w:val="00DD2FF6"/>
    <w:rsid w:val="00DD3728"/>
    <w:rsid w:val="00DD3744"/>
    <w:rsid w:val="00DD3DB7"/>
    <w:rsid w:val="00DD411D"/>
    <w:rsid w:val="00DD456A"/>
    <w:rsid w:val="00DD457A"/>
    <w:rsid w:val="00DD4640"/>
    <w:rsid w:val="00DD4BFE"/>
    <w:rsid w:val="00DD4DC5"/>
    <w:rsid w:val="00DD4E88"/>
    <w:rsid w:val="00DD4F6B"/>
    <w:rsid w:val="00DD61E3"/>
    <w:rsid w:val="00DD6364"/>
    <w:rsid w:val="00DD64EC"/>
    <w:rsid w:val="00DD678D"/>
    <w:rsid w:val="00DD6E93"/>
    <w:rsid w:val="00DD6F10"/>
    <w:rsid w:val="00DD78F7"/>
    <w:rsid w:val="00DD79AF"/>
    <w:rsid w:val="00DD7D7F"/>
    <w:rsid w:val="00DD7E82"/>
    <w:rsid w:val="00DE0932"/>
    <w:rsid w:val="00DE10F9"/>
    <w:rsid w:val="00DE1BCC"/>
    <w:rsid w:val="00DE245A"/>
    <w:rsid w:val="00DE2DFE"/>
    <w:rsid w:val="00DE311C"/>
    <w:rsid w:val="00DE3248"/>
    <w:rsid w:val="00DE3F4C"/>
    <w:rsid w:val="00DE407B"/>
    <w:rsid w:val="00DE4099"/>
    <w:rsid w:val="00DE40F7"/>
    <w:rsid w:val="00DE42DF"/>
    <w:rsid w:val="00DE4405"/>
    <w:rsid w:val="00DE4762"/>
    <w:rsid w:val="00DE47FD"/>
    <w:rsid w:val="00DE4850"/>
    <w:rsid w:val="00DE49E5"/>
    <w:rsid w:val="00DE4D45"/>
    <w:rsid w:val="00DE4D80"/>
    <w:rsid w:val="00DE5456"/>
    <w:rsid w:val="00DE575F"/>
    <w:rsid w:val="00DE5C01"/>
    <w:rsid w:val="00DE5C26"/>
    <w:rsid w:val="00DE5E8C"/>
    <w:rsid w:val="00DE5FF1"/>
    <w:rsid w:val="00DE643E"/>
    <w:rsid w:val="00DE68B3"/>
    <w:rsid w:val="00DE6C34"/>
    <w:rsid w:val="00DE7D3D"/>
    <w:rsid w:val="00DF00AA"/>
    <w:rsid w:val="00DF0380"/>
    <w:rsid w:val="00DF0A88"/>
    <w:rsid w:val="00DF0AB8"/>
    <w:rsid w:val="00DF0BCE"/>
    <w:rsid w:val="00DF127C"/>
    <w:rsid w:val="00DF19DF"/>
    <w:rsid w:val="00DF1B67"/>
    <w:rsid w:val="00DF21AE"/>
    <w:rsid w:val="00DF2C9F"/>
    <w:rsid w:val="00DF2F26"/>
    <w:rsid w:val="00DF3329"/>
    <w:rsid w:val="00DF35A5"/>
    <w:rsid w:val="00DF3D78"/>
    <w:rsid w:val="00DF3D90"/>
    <w:rsid w:val="00DF3F14"/>
    <w:rsid w:val="00DF3FC8"/>
    <w:rsid w:val="00DF49F7"/>
    <w:rsid w:val="00DF4D17"/>
    <w:rsid w:val="00DF4DB1"/>
    <w:rsid w:val="00DF5021"/>
    <w:rsid w:val="00DF591D"/>
    <w:rsid w:val="00DF5B3D"/>
    <w:rsid w:val="00DF616A"/>
    <w:rsid w:val="00DF67F6"/>
    <w:rsid w:val="00DF769B"/>
    <w:rsid w:val="00DF7E4C"/>
    <w:rsid w:val="00E0011A"/>
    <w:rsid w:val="00E00B18"/>
    <w:rsid w:val="00E00BA2"/>
    <w:rsid w:val="00E00BE5"/>
    <w:rsid w:val="00E00CC9"/>
    <w:rsid w:val="00E00D35"/>
    <w:rsid w:val="00E00D3E"/>
    <w:rsid w:val="00E00E51"/>
    <w:rsid w:val="00E00FE0"/>
    <w:rsid w:val="00E01028"/>
    <w:rsid w:val="00E0108C"/>
    <w:rsid w:val="00E01177"/>
    <w:rsid w:val="00E01192"/>
    <w:rsid w:val="00E01205"/>
    <w:rsid w:val="00E0154A"/>
    <w:rsid w:val="00E015A1"/>
    <w:rsid w:val="00E0186E"/>
    <w:rsid w:val="00E0198A"/>
    <w:rsid w:val="00E01DA8"/>
    <w:rsid w:val="00E01DDD"/>
    <w:rsid w:val="00E02053"/>
    <w:rsid w:val="00E023F6"/>
    <w:rsid w:val="00E02FD1"/>
    <w:rsid w:val="00E034B2"/>
    <w:rsid w:val="00E0399B"/>
    <w:rsid w:val="00E03DD2"/>
    <w:rsid w:val="00E046D8"/>
    <w:rsid w:val="00E04C32"/>
    <w:rsid w:val="00E0511E"/>
    <w:rsid w:val="00E0530F"/>
    <w:rsid w:val="00E05A50"/>
    <w:rsid w:val="00E05CD0"/>
    <w:rsid w:val="00E05E33"/>
    <w:rsid w:val="00E05FF0"/>
    <w:rsid w:val="00E0615B"/>
    <w:rsid w:val="00E0698C"/>
    <w:rsid w:val="00E0701B"/>
    <w:rsid w:val="00E072E7"/>
    <w:rsid w:val="00E077A1"/>
    <w:rsid w:val="00E077B9"/>
    <w:rsid w:val="00E07A36"/>
    <w:rsid w:val="00E07A72"/>
    <w:rsid w:val="00E07DF1"/>
    <w:rsid w:val="00E07EEB"/>
    <w:rsid w:val="00E10265"/>
    <w:rsid w:val="00E103E9"/>
    <w:rsid w:val="00E109E8"/>
    <w:rsid w:val="00E114D4"/>
    <w:rsid w:val="00E1199A"/>
    <w:rsid w:val="00E123CC"/>
    <w:rsid w:val="00E12496"/>
    <w:rsid w:val="00E12664"/>
    <w:rsid w:val="00E1297F"/>
    <w:rsid w:val="00E12A5E"/>
    <w:rsid w:val="00E12F9B"/>
    <w:rsid w:val="00E1314D"/>
    <w:rsid w:val="00E133B7"/>
    <w:rsid w:val="00E13528"/>
    <w:rsid w:val="00E14103"/>
    <w:rsid w:val="00E146A1"/>
    <w:rsid w:val="00E1477B"/>
    <w:rsid w:val="00E14786"/>
    <w:rsid w:val="00E1481C"/>
    <w:rsid w:val="00E148AB"/>
    <w:rsid w:val="00E14A21"/>
    <w:rsid w:val="00E14FE3"/>
    <w:rsid w:val="00E1502C"/>
    <w:rsid w:val="00E15127"/>
    <w:rsid w:val="00E1533A"/>
    <w:rsid w:val="00E159A4"/>
    <w:rsid w:val="00E15A88"/>
    <w:rsid w:val="00E15DB8"/>
    <w:rsid w:val="00E16516"/>
    <w:rsid w:val="00E16B57"/>
    <w:rsid w:val="00E16B89"/>
    <w:rsid w:val="00E16C7F"/>
    <w:rsid w:val="00E16DEE"/>
    <w:rsid w:val="00E16E45"/>
    <w:rsid w:val="00E17014"/>
    <w:rsid w:val="00E17040"/>
    <w:rsid w:val="00E20317"/>
    <w:rsid w:val="00E207A4"/>
    <w:rsid w:val="00E21015"/>
    <w:rsid w:val="00E21121"/>
    <w:rsid w:val="00E2143C"/>
    <w:rsid w:val="00E21655"/>
    <w:rsid w:val="00E21B5C"/>
    <w:rsid w:val="00E21DB2"/>
    <w:rsid w:val="00E2248F"/>
    <w:rsid w:val="00E22BF9"/>
    <w:rsid w:val="00E24166"/>
    <w:rsid w:val="00E243D1"/>
    <w:rsid w:val="00E24441"/>
    <w:rsid w:val="00E244BF"/>
    <w:rsid w:val="00E2453E"/>
    <w:rsid w:val="00E24685"/>
    <w:rsid w:val="00E24871"/>
    <w:rsid w:val="00E24B98"/>
    <w:rsid w:val="00E2501A"/>
    <w:rsid w:val="00E254A4"/>
    <w:rsid w:val="00E25E3D"/>
    <w:rsid w:val="00E25F17"/>
    <w:rsid w:val="00E263FF"/>
    <w:rsid w:val="00E26618"/>
    <w:rsid w:val="00E2696B"/>
    <w:rsid w:val="00E26C82"/>
    <w:rsid w:val="00E26E29"/>
    <w:rsid w:val="00E270E3"/>
    <w:rsid w:val="00E27598"/>
    <w:rsid w:val="00E27A9C"/>
    <w:rsid w:val="00E305AE"/>
    <w:rsid w:val="00E30B51"/>
    <w:rsid w:val="00E30BFE"/>
    <w:rsid w:val="00E30DB4"/>
    <w:rsid w:val="00E30E4B"/>
    <w:rsid w:val="00E3131D"/>
    <w:rsid w:val="00E319F6"/>
    <w:rsid w:val="00E31B79"/>
    <w:rsid w:val="00E31ED7"/>
    <w:rsid w:val="00E321C2"/>
    <w:rsid w:val="00E32D0A"/>
    <w:rsid w:val="00E32EBA"/>
    <w:rsid w:val="00E33271"/>
    <w:rsid w:val="00E33522"/>
    <w:rsid w:val="00E33732"/>
    <w:rsid w:val="00E338D3"/>
    <w:rsid w:val="00E33905"/>
    <w:rsid w:val="00E339BA"/>
    <w:rsid w:val="00E33A5E"/>
    <w:rsid w:val="00E34213"/>
    <w:rsid w:val="00E34299"/>
    <w:rsid w:val="00E34300"/>
    <w:rsid w:val="00E344A5"/>
    <w:rsid w:val="00E34736"/>
    <w:rsid w:val="00E34ABC"/>
    <w:rsid w:val="00E34AD6"/>
    <w:rsid w:val="00E34C0D"/>
    <w:rsid w:val="00E34F74"/>
    <w:rsid w:val="00E35142"/>
    <w:rsid w:val="00E35206"/>
    <w:rsid w:val="00E35318"/>
    <w:rsid w:val="00E3572D"/>
    <w:rsid w:val="00E35897"/>
    <w:rsid w:val="00E35E20"/>
    <w:rsid w:val="00E36FE7"/>
    <w:rsid w:val="00E37C94"/>
    <w:rsid w:val="00E4004D"/>
    <w:rsid w:val="00E40347"/>
    <w:rsid w:val="00E403FE"/>
    <w:rsid w:val="00E40A25"/>
    <w:rsid w:val="00E40C88"/>
    <w:rsid w:val="00E40D49"/>
    <w:rsid w:val="00E40DAF"/>
    <w:rsid w:val="00E4114D"/>
    <w:rsid w:val="00E4136E"/>
    <w:rsid w:val="00E41504"/>
    <w:rsid w:val="00E41965"/>
    <w:rsid w:val="00E41A79"/>
    <w:rsid w:val="00E422E7"/>
    <w:rsid w:val="00E4241E"/>
    <w:rsid w:val="00E428BD"/>
    <w:rsid w:val="00E42D05"/>
    <w:rsid w:val="00E43A14"/>
    <w:rsid w:val="00E43A69"/>
    <w:rsid w:val="00E43CC7"/>
    <w:rsid w:val="00E43FB7"/>
    <w:rsid w:val="00E44217"/>
    <w:rsid w:val="00E449CF"/>
    <w:rsid w:val="00E44FF9"/>
    <w:rsid w:val="00E45480"/>
    <w:rsid w:val="00E4554F"/>
    <w:rsid w:val="00E4605B"/>
    <w:rsid w:val="00E46273"/>
    <w:rsid w:val="00E4659B"/>
    <w:rsid w:val="00E4677C"/>
    <w:rsid w:val="00E467A4"/>
    <w:rsid w:val="00E46882"/>
    <w:rsid w:val="00E47341"/>
    <w:rsid w:val="00E47D65"/>
    <w:rsid w:val="00E47E3B"/>
    <w:rsid w:val="00E500CF"/>
    <w:rsid w:val="00E50CB0"/>
    <w:rsid w:val="00E50E0F"/>
    <w:rsid w:val="00E51110"/>
    <w:rsid w:val="00E51833"/>
    <w:rsid w:val="00E5186B"/>
    <w:rsid w:val="00E5197A"/>
    <w:rsid w:val="00E51A3F"/>
    <w:rsid w:val="00E520D6"/>
    <w:rsid w:val="00E52285"/>
    <w:rsid w:val="00E52A92"/>
    <w:rsid w:val="00E52B8C"/>
    <w:rsid w:val="00E52DD0"/>
    <w:rsid w:val="00E537D5"/>
    <w:rsid w:val="00E53880"/>
    <w:rsid w:val="00E53950"/>
    <w:rsid w:val="00E53ED2"/>
    <w:rsid w:val="00E5410E"/>
    <w:rsid w:val="00E548B1"/>
    <w:rsid w:val="00E5525B"/>
    <w:rsid w:val="00E55A21"/>
    <w:rsid w:val="00E5670A"/>
    <w:rsid w:val="00E56793"/>
    <w:rsid w:val="00E56C46"/>
    <w:rsid w:val="00E56E04"/>
    <w:rsid w:val="00E57183"/>
    <w:rsid w:val="00E5793D"/>
    <w:rsid w:val="00E57A00"/>
    <w:rsid w:val="00E57A6D"/>
    <w:rsid w:val="00E57A7A"/>
    <w:rsid w:val="00E57B72"/>
    <w:rsid w:val="00E57DDC"/>
    <w:rsid w:val="00E57FA1"/>
    <w:rsid w:val="00E6066E"/>
    <w:rsid w:val="00E60E87"/>
    <w:rsid w:val="00E60EF8"/>
    <w:rsid w:val="00E6117F"/>
    <w:rsid w:val="00E61A2E"/>
    <w:rsid w:val="00E6208C"/>
    <w:rsid w:val="00E630E3"/>
    <w:rsid w:val="00E63A12"/>
    <w:rsid w:val="00E64182"/>
    <w:rsid w:val="00E642DB"/>
    <w:rsid w:val="00E6430E"/>
    <w:rsid w:val="00E64726"/>
    <w:rsid w:val="00E6498B"/>
    <w:rsid w:val="00E64D11"/>
    <w:rsid w:val="00E65822"/>
    <w:rsid w:val="00E6583B"/>
    <w:rsid w:val="00E6597E"/>
    <w:rsid w:val="00E65DE1"/>
    <w:rsid w:val="00E660EB"/>
    <w:rsid w:val="00E66162"/>
    <w:rsid w:val="00E66654"/>
    <w:rsid w:val="00E66A28"/>
    <w:rsid w:val="00E674C0"/>
    <w:rsid w:val="00E67587"/>
    <w:rsid w:val="00E67677"/>
    <w:rsid w:val="00E67D07"/>
    <w:rsid w:val="00E67F0E"/>
    <w:rsid w:val="00E7051C"/>
    <w:rsid w:val="00E70576"/>
    <w:rsid w:val="00E70B0B"/>
    <w:rsid w:val="00E70CD7"/>
    <w:rsid w:val="00E714D2"/>
    <w:rsid w:val="00E715E2"/>
    <w:rsid w:val="00E716EC"/>
    <w:rsid w:val="00E71A22"/>
    <w:rsid w:val="00E71B1B"/>
    <w:rsid w:val="00E71F3F"/>
    <w:rsid w:val="00E72138"/>
    <w:rsid w:val="00E722FE"/>
    <w:rsid w:val="00E72765"/>
    <w:rsid w:val="00E727F2"/>
    <w:rsid w:val="00E72F72"/>
    <w:rsid w:val="00E734BD"/>
    <w:rsid w:val="00E735D4"/>
    <w:rsid w:val="00E739CE"/>
    <w:rsid w:val="00E73FF3"/>
    <w:rsid w:val="00E74059"/>
    <w:rsid w:val="00E741C4"/>
    <w:rsid w:val="00E7450A"/>
    <w:rsid w:val="00E74715"/>
    <w:rsid w:val="00E755DA"/>
    <w:rsid w:val="00E756A8"/>
    <w:rsid w:val="00E7572A"/>
    <w:rsid w:val="00E75D16"/>
    <w:rsid w:val="00E761F4"/>
    <w:rsid w:val="00E7630D"/>
    <w:rsid w:val="00E77244"/>
    <w:rsid w:val="00E80251"/>
    <w:rsid w:val="00E802FC"/>
    <w:rsid w:val="00E80B4F"/>
    <w:rsid w:val="00E80EA2"/>
    <w:rsid w:val="00E815D1"/>
    <w:rsid w:val="00E81654"/>
    <w:rsid w:val="00E81736"/>
    <w:rsid w:val="00E81889"/>
    <w:rsid w:val="00E81AC5"/>
    <w:rsid w:val="00E824FE"/>
    <w:rsid w:val="00E82655"/>
    <w:rsid w:val="00E8269B"/>
    <w:rsid w:val="00E82995"/>
    <w:rsid w:val="00E83A63"/>
    <w:rsid w:val="00E83C64"/>
    <w:rsid w:val="00E83D77"/>
    <w:rsid w:val="00E84289"/>
    <w:rsid w:val="00E84385"/>
    <w:rsid w:val="00E849A4"/>
    <w:rsid w:val="00E850A1"/>
    <w:rsid w:val="00E85672"/>
    <w:rsid w:val="00E85858"/>
    <w:rsid w:val="00E8599F"/>
    <w:rsid w:val="00E85CEB"/>
    <w:rsid w:val="00E86621"/>
    <w:rsid w:val="00E86760"/>
    <w:rsid w:val="00E86A1D"/>
    <w:rsid w:val="00E87126"/>
    <w:rsid w:val="00E872E1"/>
    <w:rsid w:val="00E87300"/>
    <w:rsid w:val="00E874AC"/>
    <w:rsid w:val="00E875A1"/>
    <w:rsid w:val="00E87948"/>
    <w:rsid w:val="00E87B58"/>
    <w:rsid w:val="00E87BC9"/>
    <w:rsid w:val="00E87DF9"/>
    <w:rsid w:val="00E90282"/>
    <w:rsid w:val="00E9043F"/>
    <w:rsid w:val="00E90665"/>
    <w:rsid w:val="00E914BC"/>
    <w:rsid w:val="00E91502"/>
    <w:rsid w:val="00E91600"/>
    <w:rsid w:val="00E91638"/>
    <w:rsid w:val="00E91D90"/>
    <w:rsid w:val="00E92133"/>
    <w:rsid w:val="00E92144"/>
    <w:rsid w:val="00E9277F"/>
    <w:rsid w:val="00E92DE4"/>
    <w:rsid w:val="00E934BD"/>
    <w:rsid w:val="00E93545"/>
    <w:rsid w:val="00E93737"/>
    <w:rsid w:val="00E93823"/>
    <w:rsid w:val="00E93B3D"/>
    <w:rsid w:val="00E93F43"/>
    <w:rsid w:val="00E94101"/>
    <w:rsid w:val="00E942D1"/>
    <w:rsid w:val="00E942F8"/>
    <w:rsid w:val="00E946D6"/>
    <w:rsid w:val="00E94865"/>
    <w:rsid w:val="00E95368"/>
    <w:rsid w:val="00E95794"/>
    <w:rsid w:val="00E95A4E"/>
    <w:rsid w:val="00E95E48"/>
    <w:rsid w:val="00E961B3"/>
    <w:rsid w:val="00E9627C"/>
    <w:rsid w:val="00E964A1"/>
    <w:rsid w:val="00E964F4"/>
    <w:rsid w:val="00E9660D"/>
    <w:rsid w:val="00E9691A"/>
    <w:rsid w:val="00E969C6"/>
    <w:rsid w:val="00E96C6F"/>
    <w:rsid w:val="00E96E65"/>
    <w:rsid w:val="00E97147"/>
    <w:rsid w:val="00E97558"/>
    <w:rsid w:val="00E97597"/>
    <w:rsid w:val="00E977D1"/>
    <w:rsid w:val="00E97A0D"/>
    <w:rsid w:val="00E97DDE"/>
    <w:rsid w:val="00E97FF8"/>
    <w:rsid w:val="00EA0047"/>
    <w:rsid w:val="00EA07E3"/>
    <w:rsid w:val="00EA07F3"/>
    <w:rsid w:val="00EA0964"/>
    <w:rsid w:val="00EA0D5A"/>
    <w:rsid w:val="00EA0E94"/>
    <w:rsid w:val="00EA0E9F"/>
    <w:rsid w:val="00EA1012"/>
    <w:rsid w:val="00EA13BC"/>
    <w:rsid w:val="00EA1FA7"/>
    <w:rsid w:val="00EA209C"/>
    <w:rsid w:val="00EA245D"/>
    <w:rsid w:val="00EA25AB"/>
    <w:rsid w:val="00EA26F5"/>
    <w:rsid w:val="00EA27A9"/>
    <w:rsid w:val="00EA27EB"/>
    <w:rsid w:val="00EA2C44"/>
    <w:rsid w:val="00EA3A94"/>
    <w:rsid w:val="00EA3D25"/>
    <w:rsid w:val="00EA3E96"/>
    <w:rsid w:val="00EA4082"/>
    <w:rsid w:val="00EA475C"/>
    <w:rsid w:val="00EA4853"/>
    <w:rsid w:val="00EA4DEA"/>
    <w:rsid w:val="00EA5334"/>
    <w:rsid w:val="00EA55E9"/>
    <w:rsid w:val="00EA5621"/>
    <w:rsid w:val="00EA573F"/>
    <w:rsid w:val="00EA5914"/>
    <w:rsid w:val="00EA594C"/>
    <w:rsid w:val="00EA5AAF"/>
    <w:rsid w:val="00EA5CEF"/>
    <w:rsid w:val="00EA5E7F"/>
    <w:rsid w:val="00EA5F31"/>
    <w:rsid w:val="00EA5F78"/>
    <w:rsid w:val="00EA5FBE"/>
    <w:rsid w:val="00EA6325"/>
    <w:rsid w:val="00EA6E81"/>
    <w:rsid w:val="00EA706D"/>
    <w:rsid w:val="00EA74D4"/>
    <w:rsid w:val="00EA7728"/>
    <w:rsid w:val="00EA77CA"/>
    <w:rsid w:val="00EA7943"/>
    <w:rsid w:val="00EA7B3B"/>
    <w:rsid w:val="00EA7DB5"/>
    <w:rsid w:val="00EA7E63"/>
    <w:rsid w:val="00EB04A6"/>
    <w:rsid w:val="00EB04CC"/>
    <w:rsid w:val="00EB0CAD"/>
    <w:rsid w:val="00EB0D0D"/>
    <w:rsid w:val="00EB1D72"/>
    <w:rsid w:val="00EB20D8"/>
    <w:rsid w:val="00EB2253"/>
    <w:rsid w:val="00EB2971"/>
    <w:rsid w:val="00EB2D58"/>
    <w:rsid w:val="00EB2D5A"/>
    <w:rsid w:val="00EB3B0F"/>
    <w:rsid w:val="00EB3DAA"/>
    <w:rsid w:val="00EB4362"/>
    <w:rsid w:val="00EB45F1"/>
    <w:rsid w:val="00EB4BE0"/>
    <w:rsid w:val="00EB4C95"/>
    <w:rsid w:val="00EB4EF1"/>
    <w:rsid w:val="00EB4F54"/>
    <w:rsid w:val="00EB51FB"/>
    <w:rsid w:val="00EB545F"/>
    <w:rsid w:val="00EB550B"/>
    <w:rsid w:val="00EB604B"/>
    <w:rsid w:val="00EB653D"/>
    <w:rsid w:val="00EB6575"/>
    <w:rsid w:val="00EB684C"/>
    <w:rsid w:val="00EB688C"/>
    <w:rsid w:val="00EB6B60"/>
    <w:rsid w:val="00EB6DBE"/>
    <w:rsid w:val="00EB725D"/>
    <w:rsid w:val="00EB7380"/>
    <w:rsid w:val="00EB7461"/>
    <w:rsid w:val="00EB7A79"/>
    <w:rsid w:val="00EB7B70"/>
    <w:rsid w:val="00EB7CA8"/>
    <w:rsid w:val="00EC0C8D"/>
    <w:rsid w:val="00EC0CDE"/>
    <w:rsid w:val="00EC0D1B"/>
    <w:rsid w:val="00EC0E6A"/>
    <w:rsid w:val="00EC1055"/>
    <w:rsid w:val="00EC10B7"/>
    <w:rsid w:val="00EC118C"/>
    <w:rsid w:val="00EC14E6"/>
    <w:rsid w:val="00EC16BD"/>
    <w:rsid w:val="00EC191C"/>
    <w:rsid w:val="00EC2046"/>
    <w:rsid w:val="00EC3075"/>
    <w:rsid w:val="00EC30C6"/>
    <w:rsid w:val="00EC39EA"/>
    <w:rsid w:val="00EC4287"/>
    <w:rsid w:val="00EC44A4"/>
    <w:rsid w:val="00EC4807"/>
    <w:rsid w:val="00EC4AF7"/>
    <w:rsid w:val="00EC53DE"/>
    <w:rsid w:val="00EC5738"/>
    <w:rsid w:val="00EC5CEE"/>
    <w:rsid w:val="00EC5F47"/>
    <w:rsid w:val="00EC615C"/>
    <w:rsid w:val="00EC68E5"/>
    <w:rsid w:val="00EC6935"/>
    <w:rsid w:val="00EC6A83"/>
    <w:rsid w:val="00EC6BDA"/>
    <w:rsid w:val="00EC6C32"/>
    <w:rsid w:val="00EC70F6"/>
    <w:rsid w:val="00EC733A"/>
    <w:rsid w:val="00EC7409"/>
    <w:rsid w:val="00EC7547"/>
    <w:rsid w:val="00EC7738"/>
    <w:rsid w:val="00EC7B10"/>
    <w:rsid w:val="00ED04BF"/>
    <w:rsid w:val="00ED0B30"/>
    <w:rsid w:val="00ED0E47"/>
    <w:rsid w:val="00ED0F3A"/>
    <w:rsid w:val="00ED0F81"/>
    <w:rsid w:val="00ED0FE2"/>
    <w:rsid w:val="00ED1052"/>
    <w:rsid w:val="00ED107C"/>
    <w:rsid w:val="00ED11E2"/>
    <w:rsid w:val="00ED13A0"/>
    <w:rsid w:val="00ED1820"/>
    <w:rsid w:val="00ED1A83"/>
    <w:rsid w:val="00ED1D5E"/>
    <w:rsid w:val="00ED1D63"/>
    <w:rsid w:val="00ED1F78"/>
    <w:rsid w:val="00ED2197"/>
    <w:rsid w:val="00ED2489"/>
    <w:rsid w:val="00ED2653"/>
    <w:rsid w:val="00ED2717"/>
    <w:rsid w:val="00ED282E"/>
    <w:rsid w:val="00ED30C5"/>
    <w:rsid w:val="00ED37C8"/>
    <w:rsid w:val="00ED3AF7"/>
    <w:rsid w:val="00ED3B0A"/>
    <w:rsid w:val="00ED3FE2"/>
    <w:rsid w:val="00ED416F"/>
    <w:rsid w:val="00ED440B"/>
    <w:rsid w:val="00ED479C"/>
    <w:rsid w:val="00ED5067"/>
    <w:rsid w:val="00ED527A"/>
    <w:rsid w:val="00ED54B3"/>
    <w:rsid w:val="00ED56C3"/>
    <w:rsid w:val="00ED5CC6"/>
    <w:rsid w:val="00ED5D74"/>
    <w:rsid w:val="00ED5FA9"/>
    <w:rsid w:val="00ED63E3"/>
    <w:rsid w:val="00ED6EED"/>
    <w:rsid w:val="00ED7280"/>
    <w:rsid w:val="00ED73D1"/>
    <w:rsid w:val="00ED7553"/>
    <w:rsid w:val="00ED7A57"/>
    <w:rsid w:val="00ED7C14"/>
    <w:rsid w:val="00ED7F24"/>
    <w:rsid w:val="00ED7F3C"/>
    <w:rsid w:val="00ED7FFA"/>
    <w:rsid w:val="00EE0588"/>
    <w:rsid w:val="00EE0F28"/>
    <w:rsid w:val="00EE10A0"/>
    <w:rsid w:val="00EE1C09"/>
    <w:rsid w:val="00EE1FED"/>
    <w:rsid w:val="00EE257E"/>
    <w:rsid w:val="00EE2E4B"/>
    <w:rsid w:val="00EE2F6E"/>
    <w:rsid w:val="00EE2F9B"/>
    <w:rsid w:val="00EE3285"/>
    <w:rsid w:val="00EE359C"/>
    <w:rsid w:val="00EE3E53"/>
    <w:rsid w:val="00EE3EC9"/>
    <w:rsid w:val="00EE40A4"/>
    <w:rsid w:val="00EE4C12"/>
    <w:rsid w:val="00EE4CEB"/>
    <w:rsid w:val="00EE4D9F"/>
    <w:rsid w:val="00EE4E09"/>
    <w:rsid w:val="00EE50D5"/>
    <w:rsid w:val="00EE5A6F"/>
    <w:rsid w:val="00EE5C7C"/>
    <w:rsid w:val="00EE6B88"/>
    <w:rsid w:val="00EE71B3"/>
    <w:rsid w:val="00EE7371"/>
    <w:rsid w:val="00EE75AA"/>
    <w:rsid w:val="00EE782E"/>
    <w:rsid w:val="00EE7D99"/>
    <w:rsid w:val="00EE7E51"/>
    <w:rsid w:val="00EF0316"/>
    <w:rsid w:val="00EF0658"/>
    <w:rsid w:val="00EF069A"/>
    <w:rsid w:val="00EF0B6D"/>
    <w:rsid w:val="00EF0E11"/>
    <w:rsid w:val="00EF0E2D"/>
    <w:rsid w:val="00EF17E9"/>
    <w:rsid w:val="00EF1D5E"/>
    <w:rsid w:val="00EF1E1E"/>
    <w:rsid w:val="00EF20E6"/>
    <w:rsid w:val="00EF2957"/>
    <w:rsid w:val="00EF2A6F"/>
    <w:rsid w:val="00EF2E1A"/>
    <w:rsid w:val="00EF2FEE"/>
    <w:rsid w:val="00EF30FA"/>
    <w:rsid w:val="00EF3462"/>
    <w:rsid w:val="00EF3464"/>
    <w:rsid w:val="00EF36E8"/>
    <w:rsid w:val="00EF3990"/>
    <w:rsid w:val="00EF3B89"/>
    <w:rsid w:val="00EF3E04"/>
    <w:rsid w:val="00EF3E4C"/>
    <w:rsid w:val="00EF4337"/>
    <w:rsid w:val="00EF4588"/>
    <w:rsid w:val="00EF45F7"/>
    <w:rsid w:val="00EF46EC"/>
    <w:rsid w:val="00EF4932"/>
    <w:rsid w:val="00EF4A20"/>
    <w:rsid w:val="00EF4A49"/>
    <w:rsid w:val="00EF4DEF"/>
    <w:rsid w:val="00EF551F"/>
    <w:rsid w:val="00EF5BBA"/>
    <w:rsid w:val="00EF6019"/>
    <w:rsid w:val="00EF602D"/>
    <w:rsid w:val="00EF64AB"/>
    <w:rsid w:val="00EF6822"/>
    <w:rsid w:val="00EF6898"/>
    <w:rsid w:val="00EF6A06"/>
    <w:rsid w:val="00EF765E"/>
    <w:rsid w:val="00EF773B"/>
    <w:rsid w:val="00EF7E5B"/>
    <w:rsid w:val="00F00239"/>
    <w:rsid w:val="00F003E2"/>
    <w:rsid w:val="00F003E3"/>
    <w:rsid w:val="00F005E4"/>
    <w:rsid w:val="00F006F4"/>
    <w:rsid w:val="00F00CF9"/>
    <w:rsid w:val="00F018D7"/>
    <w:rsid w:val="00F01965"/>
    <w:rsid w:val="00F01A16"/>
    <w:rsid w:val="00F01D33"/>
    <w:rsid w:val="00F01DDE"/>
    <w:rsid w:val="00F01F16"/>
    <w:rsid w:val="00F021BC"/>
    <w:rsid w:val="00F025E0"/>
    <w:rsid w:val="00F02670"/>
    <w:rsid w:val="00F02865"/>
    <w:rsid w:val="00F02DD3"/>
    <w:rsid w:val="00F03654"/>
    <w:rsid w:val="00F03E5C"/>
    <w:rsid w:val="00F03F7D"/>
    <w:rsid w:val="00F042A4"/>
    <w:rsid w:val="00F04656"/>
    <w:rsid w:val="00F046EA"/>
    <w:rsid w:val="00F04F47"/>
    <w:rsid w:val="00F050E9"/>
    <w:rsid w:val="00F05231"/>
    <w:rsid w:val="00F0531B"/>
    <w:rsid w:val="00F055A9"/>
    <w:rsid w:val="00F05A0C"/>
    <w:rsid w:val="00F05C8B"/>
    <w:rsid w:val="00F06011"/>
    <w:rsid w:val="00F0615F"/>
    <w:rsid w:val="00F061A2"/>
    <w:rsid w:val="00F066C9"/>
    <w:rsid w:val="00F06A06"/>
    <w:rsid w:val="00F06E0F"/>
    <w:rsid w:val="00F06F3B"/>
    <w:rsid w:val="00F079B4"/>
    <w:rsid w:val="00F07ABE"/>
    <w:rsid w:val="00F07C0E"/>
    <w:rsid w:val="00F07CE3"/>
    <w:rsid w:val="00F07D3B"/>
    <w:rsid w:val="00F10D0C"/>
    <w:rsid w:val="00F10F04"/>
    <w:rsid w:val="00F10F70"/>
    <w:rsid w:val="00F11138"/>
    <w:rsid w:val="00F11490"/>
    <w:rsid w:val="00F1157B"/>
    <w:rsid w:val="00F1173D"/>
    <w:rsid w:val="00F11A3F"/>
    <w:rsid w:val="00F11BFE"/>
    <w:rsid w:val="00F11F25"/>
    <w:rsid w:val="00F1223E"/>
    <w:rsid w:val="00F12266"/>
    <w:rsid w:val="00F12426"/>
    <w:rsid w:val="00F12575"/>
    <w:rsid w:val="00F12634"/>
    <w:rsid w:val="00F12E2A"/>
    <w:rsid w:val="00F130D9"/>
    <w:rsid w:val="00F136F7"/>
    <w:rsid w:val="00F13B3D"/>
    <w:rsid w:val="00F13BEF"/>
    <w:rsid w:val="00F1412E"/>
    <w:rsid w:val="00F14164"/>
    <w:rsid w:val="00F141EF"/>
    <w:rsid w:val="00F14793"/>
    <w:rsid w:val="00F15143"/>
    <w:rsid w:val="00F152F5"/>
    <w:rsid w:val="00F153FF"/>
    <w:rsid w:val="00F15996"/>
    <w:rsid w:val="00F15B5B"/>
    <w:rsid w:val="00F15BC3"/>
    <w:rsid w:val="00F16277"/>
    <w:rsid w:val="00F16970"/>
    <w:rsid w:val="00F17658"/>
    <w:rsid w:val="00F17808"/>
    <w:rsid w:val="00F1783A"/>
    <w:rsid w:val="00F17854"/>
    <w:rsid w:val="00F1790B"/>
    <w:rsid w:val="00F17B1C"/>
    <w:rsid w:val="00F2014F"/>
    <w:rsid w:val="00F20192"/>
    <w:rsid w:val="00F2071B"/>
    <w:rsid w:val="00F20FC3"/>
    <w:rsid w:val="00F21089"/>
    <w:rsid w:val="00F212F5"/>
    <w:rsid w:val="00F2161F"/>
    <w:rsid w:val="00F21CD2"/>
    <w:rsid w:val="00F22D9E"/>
    <w:rsid w:val="00F23241"/>
    <w:rsid w:val="00F239D4"/>
    <w:rsid w:val="00F23B21"/>
    <w:rsid w:val="00F2410A"/>
    <w:rsid w:val="00F249A4"/>
    <w:rsid w:val="00F250EA"/>
    <w:rsid w:val="00F251BC"/>
    <w:rsid w:val="00F25ABC"/>
    <w:rsid w:val="00F25B69"/>
    <w:rsid w:val="00F25D53"/>
    <w:rsid w:val="00F25EFD"/>
    <w:rsid w:val="00F2617E"/>
    <w:rsid w:val="00F261C5"/>
    <w:rsid w:val="00F26421"/>
    <w:rsid w:val="00F2666B"/>
    <w:rsid w:val="00F2706B"/>
    <w:rsid w:val="00F271F2"/>
    <w:rsid w:val="00F27468"/>
    <w:rsid w:val="00F277E4"/>
    <w:rsid w:val="00F27941"/>
    <w:rsid w:val="00F27A06"/>
    <w:rsid w:val="00F27A5F"/>
    <w:rsid w:val="00F27B58"/>
    <w:rsid w:val="00F27D40"/>
    <w:rsid w:val="00F27DBB"/>
    <w:rsid w:val="00F27DD9"/>
    <w:rsid w:val="00F27E8A"/>
    <w:rsid w:val="00F27FE2"/>
    <w:rsid w:val="00F300AA"/>
    <w:rsid w:val="00F300DC"/>
    <w:rsid w:val="00F300DE"/>
    <w:rsid w:val="00F30534"/>
    <w:rsid w:val="00F306FA"/>
    <w:rsid w:val="00F309A7"/>
    <w:rsid w:val="00F31041"/>
    <w:rsid w:val="00F3125F"/>
    <w:rsid w:val="00F312B2"/>
    <w:rsid w:val="00F31BA8"/>
    <w:rsid w:val="00F320DA"/>
    <w:rsid w:val="00F321C2"/>
    <w:rsid w:val="00F327BC"/>
    <w:rsid w:val="00F32831"/>
    <w:rsid w:val="00F3324C"/>
    <w:rsid w:val="00F332A5"/>
    <w:rsid w:val="00F332C0"/>
    <w:rsid w:val="00F33559"/>
    <w:rsid w:val="00F336F1"/>
    <w:rsid w:val="00F338B1"/>
    <w:rsid w:val="00F33BE0"/>
    <w:rsid w:val="00F33DA4"/>
    <w:rsid w:val="00F33E4A"/>
    <w:rsid w:val="00F34024"/>
    <w:rsid w:val="00F34291"/>
    <w:rsid w:val="00F34C3B"/>
    <w:rsid w:val="00F34CF1"/>
    <w:rsid w:val="00F34D88"/>
    <w:rsid w:val="00F35276"/>
    <w:rsid w:val="00F35479"/>
    <w:rsid w:val="00F35667"/>
    <w:rsid w:val="00F35AAB"/>
    <w:rsid w:val="00F364B3"/>
    <w:rsid w:val="00F3697E"/>
    <w:rsid w:val="00F36B82"/>
    <w:rsid w:val="00F37182"/>
    <w:rsid w:val="00F373D3"/>
    <w:rsid w:val="00F37612"/>
    <w:rsid w:val="00F37926"/>
    <w:rsid w:val="00F37AB1"/>
    <w:rsid w:val="00F37CD2"/>
    <w:rsid w:val="00F37DB3"/>
    <w:rsid w:val="00F37E5C"/>
    <w:rsid w:val="00F404A1"/>
    <w:rsid w:val="00F408DE"/>
    <w:rsid w:val="00F408FC"/>
    <w:rsid w:val="00F409BD"/>
    <w:rsid w:val="00F40CD2"/>
    <w:rsid w:val="00F40F4C"/>
    <w:rsid w:val="00F4110B"/>
    <w:rsid w:val="00F41E5D"/>
    <w:rsid w:val="00F41ECB"/>
    <w:rsid w:val="00F4205E"/>
    <w:rsid w:val="00F42384"/>
    <w:rsid w:val="00F423B1"/>
    <w:rsid w:val="00F42443"/>
    <w:rsid w:val="00F4262C"/>
    <w:rsid w:val="00F426D1"/>
    <w:rsid w:val="00F42702"/>
    <w:rsid w:val="00F428FD"/>
    <w:rsid w:val="00F42E07"/>
    <w:rsid w:val="00F42E8A"/>
    <w:rsid w:val="00F43073"/>
    <w:rsid w:val="00F4321F"/>
    <w:rsid w:val="00F43641"/>
    <w:rsid w:val="00F43B83"/>
    <w:rsid w:val="00F43D2E"/>
    <w:rsid w:val="00F44040"/>
    <w:rsid w:val="00F445D6"/>
    <w:rsid w:val="00F4461F"/>
    <w:rsid w:val="00F44E51"/>
    <w:rsid w:val="00F44FFE"/>
    <w:rsid w:val="00F45550"/>
    <w:rsid w:val="00F45B3E"/>
    <w:rsid w:val="00F45B99"/>
    <w:rsid w:val="00F45EE6"/>
    <w:rsid w:val="00F46090"/>
    <w:rsid w:val="00F4612C"/>
    <w:rsid w:val="00F46252"/>
    <w:rsid w:val="00F46258"/>
    <w:rsid w:val="00F4643A"/>
    <w:rsid w:val="00F46C27"/>
    <w:rsid w:val="00F47005"/>
    <w:rsid w:val="00F472CD"/>
    <w:rsid w:val="00F47426"/>
    <w:rsid w:val="00F474E3"/>
    <w:rsid w:val="00F47532"/>
    <w:rsid w:val="00F47CF3"/>
    <w:rsid w:val="00F47F4E"/>
    <w:rsid w:val="00F50250"/>
    <w:rsid w:val="00F508F7"/>
    <w:rsid w:val="00F50E62"/>
    <w:rsid w:val="00F50EF7"/>
    <w:rsid w:val="00F51076"/>
    <w:rsid w:val="00F51A72"/>
    <w:rsid w:val="00F52013"/>
    <w:rsid w:val="00F521F5"/>
    <w:rsid w:val="00F52C76"/>
    <w:rsid w:val="00F52FC4"/>
    <w:rsid w:val="00F53406"/>
    <w:rsid w:val="00F53452"/>
    <w:rsid w:val="00F53684"/>
    <w:rsid w:val="00F53A12"/>
    <w:rsid w:val="00F5404E"/>
    <w:rsid w:val="00F5438C"/>
    <w:rsid w:val="00F545C6"/>
    <w:rsid w:val="00F54768"/>
    <w:rsid w:val="00F54EA6"/>
    <w:rsid w:val="00F54F7E"/>
    <w:rsid w:val="00F54F89"/>
    <w:rsid w:val="00F550E2"/>
    <w:rsid w:val="00F55327"/>
    <w:rsid w:val="00F553E2"/>
    <w:rsid w:val="00F55D7D"/>
    <w:rsid w:val="00F55F68"/>
    <w:rsid w:val="00F55FB0"/>
    <w:rsid w:val="00F5655F"/>
    <w:rsid w:val="00F56873"/>
    <w:rsid w:val="00F5690D"/>
    <w:rsid w:val="00F5697D"/>
    <w:rsid w:val="00F56E5B"/>
    <w:rsid w:val="00F5736E"/>
    <w:rsid w:val="00F5778D"/>
    <w:rsid w:val="00F578E3"/>
    <w:rsid w:val="00F57C1D"/>
    <w:rsid w:val="00F57F21"/>
    <w:rsid w:val="00F6034D"/>
    <w:rsid w:val="00F6046B"/>
    <w:rsid w:val="00F60B88"/>
    <w:rsid w:val="00F60D09"/>
    <w:rsid w:val="00F60E8C"/>
    <w:rsid w:val="00F60EF1"/>
    <w:rsid w:val="00F61881"/>
    <w:rsid w:val="00F618BE"/>
    <w:rsid w:val="00F61E56"/>
    <w:rsid w:val="00F61EAD"/>
    <w:rsid w:val="00F62697"/>
    <w:rsid w:val="00F62FC8"/>
    <w:rsid w:val="00F632B1"/>
    <w:rsid w:val="00F63898"/>
    <w:rsid w:val="00F63B46"/>
    <w:rsid w:val="00F644E5"/>
    <w:rsid w:val="00F64704"/>
    <w:rsid w:val="00F64770"/>
    <w:rsid w:val="00F647CB"/>
    <w:rsid w:val="00F65071"/>
    <w:rsid w:val="00F6571A"/>
    <w:rsid w:val="00F65C98"/>
    <w:rsid w:val="00F662E8"/>
    <w:rsid w:val="00F66450"/>
    <w:rsid w:val="00F664C0"/>
    <w:rsid w:val="00F66533"/>
    <w:rsid w:val="00F6686D"/>
    <w:rsid w:val="00F66938"/>
    <w:rsid w:val="00F66958"/>
    <w:rsid w:val="00F66AEE"/>
    <w:rsid w:val="00F6710B"/>
    <w:rsid w:val="00F67247"/>
    <w:rsid w:val="00F67DD2"/>
    <w:rsid w:val="00F70156"/>
    <w:rsid w:val="00F70492"/>
    <w:rsid w:val="00F707D2"/>
    <w:rsid w:val="00F70A1D"/>
    <w:rsid w:val="00F71831"/>
    <w:rsid w:val="00F71B27"/>
    <w:rsid w:val="00F724C2"/>
    <w:rsid w:val="00F72902"/>
    <w:rsid w:val="00F73273"/>
    <w:rsid w:val="00F7342C"/>
    <w:rsid w:val="00F73AF2"/>
    <w:rsid w:val="00F73F20"/>
    <w:rsid w:val="00F7403F"/>
    <w:rsid w:val="00F74488"/>
    <w:rsid w:val="00F74527"/>
    <w:rsid w:val="00F75565"/>
    <w:rsid w:val="00F7586A"/>
    <w:rsid w:val="00F759F8"/>
    <w:rsid w:val="00F772C8"/>
    <w:rsid w:val="00F777E2"/>
    <w:rsid w:val="00F77B07"/>
    <w:rsid w:val="00F77C9D"/>
    <w:rsid w:val="00F80718"/>
    <w:rsid w:val="00F80B24"/>
    <w:rsid w:val="00F80B43"/>
    <w:rsid w:val="00F81163"/>
    <w:rsid w:val="00F81884"/>
    <w:rsid w:val="00F8198D"/>
    <w:rsid w:val="00F81F48"/>
    <w:rsid w:val="00F81FE7"/>
    <w:rsid w:val="00F82E72"/>
    <w:rsid w:val="00F8359C"/>
    <w:rsid w:val="00F8466B"/>
    <w:rsid w:val="00F84916"/>
    <w:rsid w:val="00F84D28"/>
    <w:rsid w:val="00F857D5"/>
    <w:rsid w:val="00F858B6"/>
    <w:rsid w:val="00F8592C"/>
    <w:rsid w:val="00F85A74"/>
    <w:rsid w:val="00F85CFF"/>
    <w:rsid w:val="00F85E1E"/>
    <w:rsid w:val="00F8626C"/>
    <w:rsid w:val="00F8676F"/>
    <w:rsid w:val="00F87656"/>
    <w:rsid w:val="00F87961"/>
    <w:rsid w:val="00F87F8C"/>
    <w:rsid w:val="00F902EB"/>
    <w:rsid w:val="00F9046D"/>
    <w:rsid w:val="00F90799"/>
    <w:rsid w:val="00F90DE0"/>
    <w:rsid w:val="00F90FC2"/>
    <w:rsid w:val="00F9153E"/>
    <w:rsid w:val="00F916D0"/>
    <w:rsid w:val="00F91A80"/>
    <w:rsid w:val="00F91E1C"/>
    <w:rsid w:val="00F91F9F"/>
    <w:rsid w:val="00F924C2"/>
    <w:rsid w:val="00F92550"/>
    <w:rsid w:val="00F92576"/>
    <w:rsid w:val="00F92710"/>
    <w:rsid w:val="00F92904"/>
    <w:rsid w:val="00F92941"/>
    <w:rsid w:val="00F92B57"/>
    <w:rsid w:val="00F92CDC"/>
    <w:rsid w:val="00F92DF3"/>
    <w:rsid w:val="00F92E37"/>
    <w:rsid w:val="00F93434"/>
    <w:rsid w:val="00F9398E"/>
    <w:rsid w:val="00F93A2D"/>
    <w:rsid w:val="00F93E6B"/>
    <w:rsid w:val="00F94068"/>
    <w:rsid w:val="00F94498"/>
    <w:rsid w:val="00F94599"/>
    <w:rsid w:val="00F94AB8"/>
    <w:rsid w:val="00F94B31"/>
    <w:rsid w:val="00F94B6C"/>
    <w:rsid w:val="00F94B97"/>
    <w:rsid w:val="00F94BDA"/>
    <w:rsid w:val="00F94D03"/>
    <w:rsid w:val="00F94D0F"/>
    <w:rsid w:val="00F94EA2"/>
    <w:rsid w:val="00F95669"/>
    <w:rsid w:val="00F9570F"/>
    <w:rsid w:val="00F95847"/>
    <w:rsid w:val="00F95D18"/>
    <w:rsid w:val="00F96402"/>
    <w:rsid w:val="00F96551"/>
    <w:rsid w:val="00F96F16"/>
    <w:rsid w:val="00F97D33"/>
    <w:rsid w:val="00F97F58"/>
    <w:rsid w:val="00FA04E0"/>
    <w:rsid w:val="00FA0771"/>
    <w:rsid w:val="00FA0952"/>
    <w:rsid w:val="00FA0B0C"/>
    <w:rsid w:val="00FA0D6A"/>
    <w:rsid w:val="00FA0E37"/>
    <w:rsid w:val="00FA11EF"/>
    <w:rsid w:val="00FA1749"/>
    <w:rsid w:val="00FA191C"/>
    <w:rsid w:val="00FA1925"/>
    <w:rsid w:val="00FA1981"/>
    <w:rsid w:val="00FA1B45"/>
    <w:rsid w:val="00FA1E63"/>
    <w:rsid w:val="00FA2160"/>
    <w:rsid w:val="00FA21DC"/>
    <w:rsid w:val="00FA24F1"/>
    <w:rsid w:val="00FA2A74"/>
    <w:rsid w:val="00FA2DA2"/>
    <w:rsid w:val="00FA3085"/>
    <w:rsid w:val="00FA334D"/>
    <w:rsid w:val="00FA33E6"/>
    <w:rsid w:val="00FA3852"/>
    <w:rsid w:val="00FA40EF"/>
    <w:rsid w:val="00FA43FB"/>
    <w:rsid w:val="00FA451D"/>
    <w:rsid w:val="00FA465F"/>
    <w:rsid w:val="00FA4D3C"/>
    <w:rsid w:val="00FA4D71"/>
    <w:rsid w:val="00FA4E36"/>
    <w:rsid w:val="00FA516A"/>
    <w:rsid w:val="00FA5191"/>
    <w:rsid w:val="00FA52C3"/>
    <w:rsid w:val="00FA58CA"/>
    <w:rsid w:val="00FA59C8"/>
    <w:rsid w:val="00FA5F23"/>
    <w:rsid w:val="00FA6115"/>
    <w:rsid w:val="00FA6326"/>
    <w:rsid w:val="00FA65C8"/>
    <w:rsid w:val="00FA696C"/>
    <w:rsid w:val="00FA6E00"/>
    <w:rsid w:val="00FA6F82"/>
    <w:rsid w:val="00FA74CA"/>
    <w:rsid w:val="00FA7D86"/>
    <w:rsid w:val="00FA7E7A"/>
    <w:rsid w:val="00FB0430"/>
    <w:rsid w:val="00FB04A8"/>
    <w:rsid w:val="00FB0556"/>
    <w:rsid w:val="00FB055F"/>
    <w:rsid w:val="00FB0CBE"/>
    <w:rsid w:val="00FB0DA3"/>
    <w:rsid w:val="00FB0FE1"/>
    <w:rsid w:val="00FB12D3"/>
    <w:rsid w:val="00FB16BD"/>
    <w:rsid w:val="00FB1FAB"/>
    <w:rsid w:val="00FB2062"/>
    <w:rsid w:val="00FB231B"/>
    <w:rsid w:val="00FB231C"/>
    <w:rsid w:val="00FB238A"/>
    <w:rsid w:val="00FB275C"/>
    <w:rsid w:val="00FB2A7C"/>
    <w:rsid w:val="00FB303E"/>
    <w:rsid w:val="00FB3511"/>
    <w:rsid w:val="00FB3BB7"/>
    <w:rsid w:val="00FB3CD2"/>
    <w:rsid w:val="00FB3CFC"/>
    <w:rsid w:val="00FB3D07"/>
    <w:rsid w:val="00FB4244"/>
    <w:rsid w:val="00FB451C"/>
    <w:rsid w:val="00FB4636"/>
    <w:rsid w:val="00FB4B49"/>
    <w:rsid w:val="00FB4D05"/>
    <w:rsid w:val="00FB587E"/>
    <w:rsid w:val="00FB60E3"/>
    <w:rsid w:val="00FB65A5"/>
    <w:rsid w:val="00FB69B8"/>
    <w:rsid w:val="00FB69F8"/>
    <w:rsid w:val="00FB7023"/>
    <w:rsid w:val="00FB7723"/>
    <w:rsid w:val="00FB7808"/>
    <w:rsid w:val="00FC0007"/>
    <w:rsid w:val="00FC05B7"/>
    <w:rsid w:val="00FC09A7"/>
    <w:rsid w:val="00FC1395"/>
    <w:rsid w:val="00FC14E2"/>
    <w:rsid w:val="00FC15AD"/>
    <w:rsid w:val="00FC1702"/>
    <w:rsid w:val="00FC18C8"/>
    <w:rsid w:val="00FC1E1E"/>
    <w:rsid w:val="00FC28D5"/>
    <w:rsid w:val="00FC2CD9"/>
    <w:rsid w:val="00FC2F73"/>
    <w:rsid w:val="00FC2F7C"/>
    <w:rsid w:val="00FC368D"/>
    <w:rsid w:val="00FC3E57"/>
    <w:rsid w:val="00FC3F0E"/>
    <w:rsid w:val="00FC3F56"/>
    <w:rsid w:val="00FC4122"/>
    <w:rsid w:val="00FC4633"/>
    <w:rsid w:val="00FC476F"/>
    <w:rsid w:val="00FC4878"/>
    <w:rsid w:val="00FC5425"/>
    <w:rsid w:val="00FC5828"/>
    <w:rsid w:val="00FC5834"/>
    <w:rsid w:val="00FC5AD7"/>
    <w:rsid w:val="00FC5EB9"/>
    <w:rsid w:val="00FC5F75"/>
    <w:rsid w:val="00FC605C"/>
    <w:rsid w:val="00FC6084"/>
    <w:rsid w:val="00FC694F"/>
    <w:rsid w:val="00FC6A1F"/>
    <w:rsid w:val="00FC6B0A"/>
    <w:rsid w:val="00FC7254"/>
    <w:rsid w:val="00FC7268"/>
    <w:rsid w:val="00FC7651"/>
    <w:rsid w:val="00FC76C8"/>
    <w:rsid w:val="00FC77EF"/>
    <w:rsid w:val="00FC7F8E"/>
    <w:rsid w:val="00FD0022"/>
    <w:rsid w:val="00FD0526"/>
    <w:rsid w:val="00FD0851"/>
    <w:rsid w:val="00FD0951"/>
    <w:rsid w:val="00FD0C76"/>
    <w:rsid w:val="00FD10FB"/>
    <w:rsid w:val="00FD17DB"/>
    <w:rsid w:val="00FD1A2C"/>
    <w:rsid w:val="00FD1A60"/>
    <w:rsid w:val="00FD1A73"/>
    <w:rsid w:val="00FD1D0E"/>
    <w:rsid w:val="00FD2167"/>
    <w:rsid w:val="00FD2615"/>
    <w:rsid w:val="00FD277C"/>
    <w:rsid w:val="00FD278B"/>
    <w:rsid w:val="00FD2A8D"/>
    <w:rsid w:val="00FD2F39"/>
    <w:rsid w:val="00FD3173"/>
    <w:rsid w:val="00FD3193"/>
    <w:rsid w:val="00FD32D8"/>
    <w:rsid w:val="00FD34F3"/>
    <w:rsid w:val="00FD3858"/>
    <w:rsid w:val="00FD3A6B"/>
    <w:rsid w:val="00FD3AFA"/>
    <w:rsid w:val="00FD4867"/>
    <w:rsid w:val="00FD4D4C"/>
    <w:rsid w:val="00FD506A"/>
    <w:rsid w:val="00FD51B2"/>
    <w:rsid w:val="00FD5A20"/>
    <w:rsid w:val="00FD5AE5"/>
    <w:rsid w:val="00FD5B64"/>
    <w:rsid w:val="00FD5C35"/>
    <w:rsid w:val="00FD6134"/>
    <w:rsid w:val="00FD62F4"/>
    <w:rsid w:val="00FD63F7"/>
    <w:rsid w:val="00FD646F"/>
    <w:rsid w:val="00FD70AC"/>
    <w:rsid w:val="00FD71A8"/>
    <w:rsid w:val="00FD74FB"/>
    <w:rsid w:val="00FD7B9E"/>
    <w:rsid w:val="00FD7D13"/>
    <w:rsid w:val="00FD7DBC"/>
    <w:rsid w:val="00FD7F42"/>
    <w:rsid w:val="00FE011C"/>
    <w:rsid w:val="00FE063B"/>
    <w:rsid w:val="00FE0730"/>
    <w:rsid w:val="00FE0C55"/>
    <w:rsid w:val="00FE0FD9"/>
    <w:rsid w:val="00FE1406"/>
    <w:rsid w:val="00FE18CE"/>
    <w:rsid w:val="00FE1BF3"/>
    <w:rsid w:val="00FE1D2A"/>
    <w:rsid w:val="00FE1E37"/>
    <w:rsid w:val="00FE2022"/>
    <w:rsid w:val="00FE2348"/>
    <w:rsid w:val="00FE24A8"/>
    <w:rsid w:val="00FE2C26"/>
    <w:rsid w:val="00FE2E1A"/>
    <w:rsid w:val="00FE34BE"/>
    <w:rsid w:val="00FE3657"/>
    <w:rsid w:val="00FE37A5"/>
    <w:rsid w:val="00FE38A4"/>
    <w:rsid w:val="00FE3A31"/>
    <w:rsid w:val="00FE3A34"/>
    <w:rsid w:val="00FE3B23"/>
    <w:rsid w:val="00FE3BBA"/>
    <w:rsid w:val="00FE4586"/>
    <w:rsid w:val="00FE4CEC"/>
    <w:rsid w:val="00FE4E6B"/>
    <w:rsid w:val="00FE5025"/>
    <w:rsid w:val="00FE5265"/>
    <w:rsid w:val="00FE527D"/>
    <w:rsid w:val="00FE52E9"/>
    <w:rsid w:val="00FE57EF"/>
    <w:rsid w:val="00FE5A58"/>
    <w:rsid w:val="00FE5D7A"/>
    <w:rsid w:val="00FE5DF8"/>
    <w:rsid w:val="00FE605A"/>
    <w:rsid w:val="00FE6632"/>
    <w:rsid w:val="00FE6849"/>
    <w:rsid w:val="00FE68DB"/>
    <w:rsid w:val="00FE6F88"/>
    <w:rsid w:val="00FE7352"/>
    <w:rsid w:val="00FE7462"/>
    <w:rsid w:val="00FE74BA"/>
    <w:rsid w:val="00FE7748"/>
    <w:rsid w:val="00FE791F"/>
    <w:rsid w:val="00FF0052"/>
    <w:rsid w:val="00FF0560"/>
    <w:rsid w:val="00FF08B3"/>
    <w:rsid w:val="00FF0919"/>
    <w:rsid w:val="00FF0E1D"/>
    <w:rsid w:val="00FF1017"/>
    <w:rsid w:val="00FF117E"/>
    <w:rsid w:val="00FF11AE"/>
    <w:rsid w:val="00FF18B6"/>
    <w:rsid w:val="00FF2134"/>
    <w:rsid w:val="00FF242A"/>
    <w:rsid w:val="00FF2606"/>
    <w:rsid w:val="00FF267F"/>
    <w:rsid w:val="00FF2A1D"/>
    <w:rsid w:val="00FF2C1F"/>
    <w:rsid w:val="00FF2DB2"/>
    <w:rsid w:val="00FF3465"/>
    <w:rsid w:val="00FF3DB7"/>
    <w:rsid w:val="00FF3E8C"/>
    <w:rsid w:val="00FF403D"/>
    <w:rsid w:val="00FF4128"/>
    <w:rsid w:val="00FF416F"/>
    <w:rsid w:val="00FF4781"/>
    <w:rsid w:val="00FF482E"/>
    <w:rsid w:val="00FF4CE6"/>
    <w:rsid w:val="00FF4D07"/>
    <w:rsid w:val="00FF4E5B"/>
    <w:rsid w:val="00FF510C"/>
    <w:rsid w:val="00FF516C"/>
    <w:rsid w:val="00FF603E"/>
    <w:rsid w:val="00FF643C"/>
    <w:rsid w:val="00FF6C69"/>
    <w:rsid w:val="00FF6DFF"/>
    <w:rsid w:val="00FF6F79"/>
    <w:rsid w:val="00FF7074"/>
    <w:rsid w:val="00FF721D"/>
    <w:rsid w:val="00FF77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E25"/>
    <w:rPr>
      <w:sz w:val="24"/>
      <w:szCs w:val="24"/>
    </w:rPr>
  </w:style>
  <w:style w:type="paragraph" w:styleId="1">
    <w:name w:val="heading 1"/>
    <w:basedOn w:val="a"/>
    <w:next w:val="a"/>
    <w:link w:val="1Char"/>
    <w:qFormat/>
    <w:rsid w:val="005B6E0D"/>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993306"/>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AB5DEE"/>
    <w:pPr>
      <w:keepNext/>
      <w:spacing w:before="240" w:after="60"/>
      <w:outlineLvl w:val="2"/>
    </w:pPr>
    <w:rPr>
      <w:rFonts w:ascii="Arial" w:hAnsi="Arial" w:cs="Arial"/>
      <w:b/>
      <w:bCs/>
      <w:sz w:val="26"/>
      <w:szCs w:val="26"/>
    </w:rPr>
  </w:style>
  <w:style w:type="paragraph" w:styleId="4">
    <w:name w:val="heading 4"/>
    <w:basedOn w:val="a"/>
    <w:next w:val="a"/>
    <w:link w:val="4Char"/>
    <w:qFormat/>
    <w:rsid w:val="0034482B"/>
    <w:pPr>
      <w:keepNext/>
      <w:jc w:val="both"/>
      <w:outlineLvl w:val="3"/>
    </w:pPr>
    <w:rPr>
      <w:rFonts w:ascii="Arial Narrow" w:hAnsi="Arial Narrow"/>
      <w:b/>
      <w:i/>
      <w:color w:val="000080"/>
      <w:szCs w:val="22"/>
    </w:rPr>
  </w:style>
  <w:style w:type="paragraph" w:styleId="5">
    <w:name w:val="heading 5"/>
    <w:basedOn w:val="a"/>
    <w:next w:val="a"/>
    <w:link w:val="5Char"/>
    <w:qFormat/>
    <w:rsid w:val="0034482B"/>
    <w:pPr>
      <w:keepNext/>
      <w:jc w:val="both"/>
      <w:outlineLvl w:val="4"/>
    </w:pPr>
    <w:rPr>
      <w:rFonts w:ascii="Arial Narrow" w:hAnsi="Arial Narrow"/>
      <w:b/>
      <w:sz w:val="22"/>
      <w:szCs w:val="22"/>
    </w:rPr>
  </w:style>
  <w:style w:type="paragraph" w:styleId="6">
    <w:name w:val="heading 6"/>
    <w:basedOn w:val="a"/>
    <w:next w:val="a"/>
    <w:link w:val="6Char"/>
    <w:qFormat/>
    <w:rsid w:val="0022549F"/>
    <w:pPr>
      <w:keepNext/>
      <w:jc w:val="both"/>
      <w:outlineLvl w:val="5"/>
    </w:pPr>
    <w:rPr>
      <w:rFonts w:ascii="Arial Narrow" w:hAnsi="Arial Narrow"/>
      <w:b/>
      <w:color w:val="000080"/>
      <w:sz w:val="26"/>
      <w:szCs w:val="22"/>
    </w:rPr>
  </w:style>
  <w:style w:type="paragraph" w:styleId="7">
    <w:name w:val="heading 7"/>
    <w:basedOn w:val="a"/>
    <w:next w:val="a"/>
    <w:link w:val="7Char"/>
    <w:qFormat/>
    <w:rsid w:val="006C6D1A"/>
    <w:pPr>
      <w:keepNext/>
      <w:jc w:val="both"/>
      <w:outlineLvl w:val="6"/>
    </w:pPr>
    <w:rPr>
      <w:rFonts w:ascii="Arial Narrow" w:hAnsi="Arial Narrow"/>
      <w:b/>
      <w:color w:val="000080"/>
      <w:sz w:val="22"/>
      <w:szCs w:val="22"/>
    </w:rPr>
  </w:style>
  <w:style w:type="paragraph" w:styleId="8">
    <w:name w:val="heading 8"/>
    <w:basedOn w:val="a"/>
    <w:next w:val="a"/>
    <w:link w:val="8Char"/>
    <w:qFormat/>
    <w:rsid w:val="006C6D1A"/>
    <w:pPr>
      <w:keepNext/>
      <w:jc w:val="both"/>
      <w:outlineLvl w:val="7"/>
    </w:pPr>
    <w:rPr>
      <w:rFonts w:ascii="Arial Narrow" w:hAnsi="Arial Narrow"/>
      <w:b/>
      <w:i/>
      <w:sz w:val="22"/>
      <w:szCs w:val="22"/>
    </w:rPr>
  </w:style>
  <w:style w:type="paragraph" w:styleId="9">
    <w:name w:val="heading 9"/>
    <w:basedOn w:val="a"/>
    <w:next w:val="a"/>
    <w:link w:val="9Char"/>
    <w:qFormat/>
    <w:rsid w:val="00DB563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40E4A"/>
    <w:pPr>
      <w:tabs>
        <w:tab w:val="center" w:pos="4153"/>
        <w:tab w:val="right" w:pos="8306"/>
      </w:tabs>
    </w:pPr>
  </w:style>
  <w:style w:type="paragraph" w:styleId="a4">
    <w:name w:val="footer"/>
    <w:basedOn w:val="a"/>
    <w:link w:val="Char0"/>
    <w:rsid w:val="00D40E4A"/>
    <w:pPr>
      <w:tabs>
        <w:tab w:val="center" w:pos="4153"/>
        <w:tab w:val="right" w:pos="8306"/>
      </w:tabs>
    </w:pPr>
  </w:style>
  <w:style w:type="character" w:styleId="a5">
    <w:name w:val="page number"/>
    <w:basedOn w:val="a0"/>
    <w:rsid w:val="00D40E4A"/>
  </w:style>
  <w:style w:type="paragraph" w:styleId="a6">
    <w:name w:val="Balloon Text"/>
    <w:basedOn w:val="a"/>
    <w:link w:val="Char1"/>
    <w:semiHidden/>
    <w:rsid w:val="001561CD"/>
    <w:rPr>
      <w:rFonts w:ascii="Tahoma" w:hAnsi="Tahoma" w:cs="Tahoma"/>
      <w:sz w:val="16"/>
      <w:szCs w:val="16"/>
    </w:rPr>
  </w:style>
  <w:style w:type="paragraph" w:customStyle="1" w:styleId="aplo">
    <w:name w:val="aplo"/>
    <w:basedOn w:val="a"/>
    <w:rsid w:val="00A90E25"/>
    <w:pPr>
      <w:tabs>
        <w:tab w:val="left" w:pos="567"/>
      </w:tabs>
      <w:spacing w:before="120"/>
      <w:jc w:val="both"/>
    </w:pPr>
    <w:rPr>
      <w:sz w:val="22"/>
      <w:szCs w:val="20"/>
      <w:lang w:val="en-GB"/>
    </w:rPr>
  </w:style>
  <w:style w:type="paragraph" w:styleId="20">
    <w:name w:val="Body Text 2"/>
    <w:basedOn w:val="a"/>
    <w:link w:val="2Char0"/>
    <w:rsid w:val="0022549F"/>
    <w:pPr>
      <w:jc w:val="both"/>
    </w:pPr>
    <w:rPr>
      <w:szCs w:val="22"/>
    </w:rPr>
  </w:style>
  <w:style w:type="table" w:styleId="a7">
    <w:name w:val="Table Grid"/>
    <w:basedOn w:val="a1"/>
    <w:uiPriority w:val="39"/>
    <w:rsid w:val="00702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Char2"/>
    <w:rsid w:val="00DB5630"/>
    <w:pPr>
      <w:jc w:val="both"/>
    </w:pPr>
    <w:rPr>
      <w:sz w:val="22"/>
      <w:szCs w:val="22"/>
    </w:rPr>
  </w:style>
  <w:style w:type="paragraph" w:styleId="a9">
    <w:name w:val="Title"/>
    <w:basedOn w:val="a"/>
    <w:link w:val="Char3"/>
    <w:qFormat/>
    <w:rsid w:val="00DB5630"/>
    <w:pPr>
      <w:jc w:val="center"/>
    </w:pPr>
    <w:rPr>
      <w:b/>
      <w:bCs/>
      <w:lang w:eastAsia="en-US"/>
    </w:rPr>
  </w:style>
  <w:style w:type="numbering" w:customStyle="1" w:styleId="10">
    <w:name w:val="Χωρίς λίστα1"/>
    <w:next w:val="a2"/>
    <w:semiHidden/>
    <w:rsid w:val="00DB5630"/>
  </w:style>
  <w:style w:type="paragraph" w:customStyle="1" w:styleId="keimeno">
    <w:name w:val="keimeno"/>
    <w:basedOn w:val="a"/>
    <w:rsid w:val="00DB5630"/>
    <w:pPr>
      <w:jc w:val="both"/>
    </w:pPr>
    <w:rPr>
      <w:rFonts w:ascii="Arial" w:hAnsi="Arial"/>
      <w:sz w:val="22"/>
      <w:szCs w:val="20"/>
    </w:rPr>
  </w:style>
  <w:style w:type="paragraph" w:styleId="aa">
    <w:name w:val="Body Text Indent"/>
    <w:basedOn w:val="a"/>
    <w:link w:val="Char4"/>
    <w:rsid w:val="00DB5630"/>
    <w:pPr>
      <w:ind w:firstLine="720"/>
      <w:jc w:val="both"/>
    </w:pPr>
    <w:rPr>
      <w:sz w:val="22"/>
      <w:szCs w:val="20"/>
    </w:rPr>
  </w:style>
  <w:style w:type="paragraph" w:styleId="30">
    <w:name w:val="Body Text 3"/>
    <w:basedOn w:val="a"/>
    <w:link w:val="3Char0"/>
    <w:rsid w:val="00DB5630"/>
    <w:pPr>
      <w:jc w:val="both"/>
    </w:pPr>
    <w:rPr>
      <w:sz w:val="22"/>
      <w:szCs w:val="20"/>
    </w:rPr>
  </w:style>
  <w:style w:type="paragraph" w:customStyle="1" w:styleId="Giota">
    <w:name w:val="Giota"/>
    <w:basedOn w:val="a"/>
    <w:rsid w:val="00DB5630"/>
    <w:pPr>
      <w:tabs>
        <w:tab w:val="left" w:pos="567"/>
        <w:tab w:val="left" w:pos="1134"/>
        <w:tab w:val="left" w:pos="1701"/>
      </w:tabs>
      <w:jc w:val="both"/>
    </w:pPr>
    <w:rPr>
      <w:rFonts w:ascii="Arial" w:hAnsi="Arial"/>
      <w:sz w:val="18"/>
      <w:szCs w:val="20"/>
    </w:rPr>
  </w:style>
  <w:style w:type="paragraph" w:customStyle="1" w:styleId="11">
    <w:name w:val="Στυλ1"/>
    <w:basedOn w:val="a"/>
    <w:rsid w:val="00DB5630"/>
    <w:pPr>
      <w:spacing w:before="120"/>
      <w:ind w:firstLine="567"/>
    </w:pPr>
    <w:rPr>
      <w:rFonts w:ascii="Arial" w:hAnsi="Arial"/>
      <w:sz w:val="20"/>
      <w:szCs w:val="20"/>
    </w:rPr>
  </w:style>
  <w:style w:type="paragraph" w:styleId="21">
    <w:name w:val="Body Text Indent 2"/>
    <w:basedOn w:val="a"/>
    <w:link w:val="2Char1"/>
    <w:rsid w:val="00DB5630"/>
    <w:pPr>
      <w:ind w:left="720" w:hanging="720"/>
      <w:jc w:val="both"/>
    </w:pPr>
    <w:rPr>
      <w:rFonts w:ascii="Tahoma" w:hAnsi="Tahoma"/>
      <w:b/>
      <w:color w:val="0000FF"/>
      <w:sz w:val="20"/>
      <w:szCs w:val="20"/>
    </w:rPr>
  </w:style>
  <w:style w:type="paragraph" w:styleId="ab">
    <w:name w:val="Plain Text"/>
    <w:basedOn w:val="a"/>
    <w:link w:val="Char5"/>
    <w:rsid w:val="00DB5630"/>
    <w:rPr>
      <w:rFonts w:ascii="Courier New" w:hAnsi="Courier New"/>
      <w:sz w:val="20"/>
      <w:szCs w:val="20"/>
    </w:rPr>
  </w:style>
  <w:style w:type="paragraph" w:styleId="31">
    <w:name w:val="Body Text Indent 3"/>
    <w:basedOn w:val="a"/>
    <w:link w:val="3Char1"/>
    <w:rsid w:val="00DB5630"/>
    <w:pPr>
      <w:tabs>
        <w:tab w:val="num" w:pos="652"/>
      </w:tabs>
      <w:spacing w:after="120"/>
      <w:ind w:left="652" w:hanging="652"/>
      <w:jc w:val="both"/>
    </w:pPr>
    <w:rPr>
      <w:sz w:val="22"/>
      <w:szCs w:val="20"/>
    </w:rPr>
  </w:style>
  <w:style w:type="character" w:styleId="ac">
    <w:name w:val="annotation reference"/>
    <w:basedOn w:val="a0"/>
    <w:uiPriority w:val="99"/>
    <w:semiHidden/>
    <w:rsid w:val="00DC5802"/>
    <w:rPr>
      <w:sz w:val="16"/>
      <w:szCs w:val="16"/>
    </w:rPr>
  </w:style>
  <w:style w:type="paragraph" w:styleId="ad">
    <w:name w:val="annotation text"/>
    <w:basedOn w:val="a"/>
    <w:link w:val="Char6"/>
    <w:uiPriority w:val="99"/>
    <w:semiHidden/>
    <w:rsid w:val="00DC5802"/>
    <w:rPr>
      <w:sz w:val="20"/>
      <w:szCs w:val="20"/>
    </w:rPr>
  </w:style>
  <w:style w:type="paragraph" w:styleId="ae">
    <w:name w:val="annotation subject"/>
    <w:basedOn w:val="ad"/>
    <w:next w:val="ad"/>
    <w:link w:val="Char7"/>
    <w:semiHidden/>
    <w:rsid w:val="00DC5802"/>
    <w:rPr>
      <w:b/>
      <w:bCs/>
    </w:rPr>
  </w:style>
  <w:style w:type="character" w:styleId="-">
    <w:name w:val="Hyperlink"/>
    <w:basedOn w:val="a0"/>
    <w:uiPriority w:val="99"/>
    <w:rsid w:val="00EB7A79"/>
    <w:rPr>
      <w:color w:val="0000FF"/>
      <w:u w:val="single"/>
    </w:rPr>
  </w:style>
  <w:style w:type="paragraph" w:styleId="af">
    <w:name w:val="footnote text"/>
    <w:aliases w:val="Footnote,Fußnote,Fodnotetekst Tegn Tegn Tegn Tegn Tegn Tegn Tegn Char Char,Fodnotetekst Tegn Tegn Tegn Tegn Tegn Tegn Tegn Char Char Char Char,Fodnotetekst Tegn Tegn Tegn Tegn Tegn Tegn Tegn,lábléc,C26 Footnote body, Char"/>
    <w:basedOn w:val="a"/>
    <w:link w:val="Char8"/>
    <w:uiPriority w:val="99"/>
    <w:rsid w:val="005F3BAB"/>
    <w:rPr>
      <w:sz w:val="20"/>
      <w:szCs w:val="20"/>
    </w:rPr>
  </w:style>
  <w:style w:type="character" w:styleId="af0">
    <w:name w:val="footnote reference"/>
    <w:aliases w:val="Footnote Reference Number,Footnote Reference_LVL6,Footnote Reference_LVL61,Footnote Reference_LVL62,Footnote Reference_LVL63,Footnote Reference_LVL64,C26 Footnote Number,Footnote Reference_LVL65,Footnote symbol,Footnote Reference1"/>
    <w:basedOn w:val="a0"/>
    <w:qFormat/>
    <w:rsid w:val="005F3BAB"/>
    <w:rPr>
      <w:vertAlign w:val="superscript"/>
    </w:rPr>
  </w:style>
  <w:style w:type="paragraph" w:customStyle="1" w:styleId="CharCharCharCharCharCharCharCharCharCharCharCharChar">
    <w:name w:val="Char Char Char Char Char Char Char Char Char Char Char Char Char"/>
    <w:basedOn w:val="a"/>
    <w:rsid w:val="0022502F"/>
    <w:pPr>
      <w:spacing w:after="160" w:line="240" w:lineRule="exact"/>
      <w:jc w:val="both"/>
    </w:pPr>
    <w:rPr>
      <w:rFonts w:ascii="Verdana" w:hAnsi="Verdana"/>
      <w:sz w:val="20"/>
      <w:szCs w:val="20"/>
      <w:lang w:val="en-US" w:eastAsia="en-US"/>
    </w:rPr>
  </w:style>
  <w:style w:type="numbering" w:customStyle="1" w:styleId="22">
    <w:name w:val="Χωρίς λίστα2"/>
    <w:next w:val="a2"/>
    <w:semiHidden/>
    <w:rsid w:val="00F66AEE"/>
  </w:style>
  <w:style w:type="paragraph" w:styleId="af1">
    <w:name w:val="Block Text"/>
    <w:basedOn w:val="a"/>
    <w:rsid w:val="00F66AEE"/>
    <w:pPr>
      <w:ind w:left="360" w:right="70" w:hanging="360"/>
      <w:jc w:val="both"/>
    </w:pPr>
    <w:rPr>
      <w:sz w:val="16"/>
      <w:szCs w:val="22"/>
    </w:rPr>
  </w:style>
  <w:style w:type="paragraph" w:customStyle="1" w:styleId="CharCharCharChar">
    <w:name w:val="Char Char Char Char"/>
    <w:basedOn w:val="a"/>
    <w:rsid w:val="00C2204C"/>
    <w:pPr>
      <w:spacing w:before="120" w:after="160" w:line="240" w:lineRule="exact"/>
    </w:pPr>
    <w:rPr>
      <w:rFonts w:ascii="Verdana" w:hAnsi="Verdana"/>
      <w:sz w:val="20"/>
      <w:szCs w:val="20"/>
      <w:lang w:val="en-US" w:eastAsia="en-US"/>
    </w:rPr>
  </w:style>
  <w:style w:type="paragraph" w:customStyle="1" w:styleId="CharCharCharCharCharCharCharCharCharChar11pt">
    <w:name w:val="Char Char Char Char Char Char Char Char Char Char Βασικό+11pt"/>
    <w:basedOn w:val="a"/>
    <w:rsid w:val="00B73E04"/>
    <w:pPr>
      <w:jc w:val="both"/>
    </w:pPr>
    <w:rPr>
      <w:b/>
      <w:sz w:val="22"/>
    </w:rPr>
  </w:style>
  <w:style w:type="paragraph" w:styleId="af2">
    <w:name w:val="List Paragraph"/>
    <w:aliases w:val="Fiche List Paragraph,Dot pt,No Spacing1,List Paragraph Char Char Char,Indicator Text,Numbered Para 1,Bullet 1,List Paragraph1,F5 List Paragraph,Bullet Points,List Paragraph11,MAIN CONTENT,List Paragraph12,Bullet2,Bullet21,Bullet22,bl11"/>
    <w:basedOn w:val="a"/>
    <w:link w:val="Char9"/>
    <w:uiPriority w:val="34"/>
    <w:qFormat/>
    <w:rsid w:val="00B73E04"/>
    <w:pPr>
      <w:spacing w:after="200" w:line="276" w:lineRule="auto"/>
      <w:ind w:left="720"/>
      <w:contextualSpacing/>
    </w:pPr>
    <w:rPr>
      <w:rFonts w:ascii="Calibri" w:eastAsia="Calibri" w:hAnsi="Calibri"/>
      <w:sz w:val="22"/>
      <w:szCs w:val="22"/>
      <w:lang w:eastAsia="en-US"/>
    </w:rPr>
  </w:style>
  <w:style w:type="paragraph" w:customStyle="1" w:styleId="Chara">
    <w:name w:val="Char"/>
    <w:basedOn w:val="a"/>
    <w:rsid w:val="00A71D8F"/>
    <w:pPr>
      <w:spacing w:after="160" w:line="240" w:lineRule="exact"/>
      <w:jc w:val="both"/>
    </w:pPr>
    <w:rPr>
      <w:rFonts w:ascii="Verdana" w:hAnsi="Verdana"/>
      <w:sz w:val="20"/>
      <w:szCs w:val="20"/>
      <w:lang w:val="en-US" w:eastAsia="en-US"/>
    </w:rPr>
  </w:style>
  <w:style w:type="paragraph" w:customStyle="1" w:styleId="Pinakastitlos">
    <w:name w:val="Pinakas_titlos"/>
    <w:basedOn w:val="a"/>
    <w:qFormat/>
    <w:rsid w:val="001B4685"/>
    <w:pPr>
      <w:spacing w:before="120"/>
      <w:ind w:right="-1"/>
      <w:jc w:val="center"/>
    </w:pPr>
    <w:rPr>
      <w:rFonts w:ascii="Arial Narrow" w:hAnsi="Arial Narrow"/>
      <w:b/>
      <w:color w:val="FFFFFF"/>
    </w:rPr>
  </w:style>
  <w:style w:type="character" w:customStyle="1" w:styleId="Char1">
    <w:name w:val="Κείμενο πλαισίου Char"/>
    <w:basedOn w:val="a0"/>
    <w:link w:val="a6"/>
    <w:semiHidden/>
    <w:rsid w:val="001B4685"/>
    <w:rPr>
      <w:rFonts w:ascii="Tahoma" w:hAnsi="Tahoma" w:cs="Tahoma"/>
      <w:sz w:val="16"/>
      <w:szCs w:val="16"/>
    </w:rPr>
  </w:style>
  <w:style w:type="paragraph" w:customStyle="1" w:styleId="12">
    <w:name w:val="Παράγραφος λίστας1"/>
    <w:basedOn w:val="a"/>
    <w:rsid w:val="001B4685"/>
    <w:pPr>
      <w:spacing w:after="200" w:line="276" w:lineRule="auto"/>
      <w:ind w:left="720"/>
    </w:pPr>
    <w:rPr>
      <w:rFonts w:ascii="Calibri" w:hAnsi="Calibri" w:cs="Calibri"/>
      <w:sz w:val="22"/>
      <w:szCs w:val="22"/>
      <w:lang w:eastAsia="en-US"/>
    </w:rPr>
  </w:style>
  <w:style w:type="character" w:customStyle="1" w:styleId="2Char1">
    <w:name w:val="Σώμα κείμενου με εσοχή 2 Char"/>
    <w:basedOn w:val="a0"/>
    <w:link w:val="21"/>
    <w:rsid w:val="00C56840"/>
    <w:rPr>
      <w:rFonts w:ascii="Tahoma" w:hAnsi="Tahoma"/>
      <w:b/>
      <w:color w:val="0000FF"/>
    </w:rPr>
  </w:style>
  <w:style w:type="character" w:customStyle="1" w:styleId="Char6">
    <w:name w:val="Κείμενο σχολίου Char"/>
    <w:basedOn w:val="a0"/>
    <w:link w:val="ad"/>
    <w:uiPriority w:val="99"/>
    <w:semiHidden/>
    <w:rsid w:val="00156E94"/>
  </w:style>
  <w:style w:type="character" w:customStyle="1" w:styleId="Char7">
    <w:name w:val="Θέμα σχολίου Char"/>
    <w:basedOn w:val="Char6"/>
    <w:link w:val="ae"/>
    <w:semiHidden/>
    <w:rsid w:val="00156E94"/>
    <w:rPr>
      <w:b/>
      <w:bCs/>
    </w:rPr>
  </w:style>
  <w:style w:type="paragraph" w:customStyle="1" w:styleId="CharCharCharCharCharCharCharCharCharCharCharCharChar1">
    <w:name w:val="Char Char Char Char Char Char Char Char Char Char Char Char Char1"/>
    <w:basedOn w:val="a"/>
    <w:rsid w:val="005F39F3"/>
    <w:pPr>
      <w:spacing w:after="160" w:line="240" w:lineRule="exact"/>
      <w:jc w:val="both"/>
    </w:pPr>
    <w:rPr>
      <w:rFonts w:ascii="Verdana" w:hAnsi="Verdana"/>
      <w:sz w:val="20"/>
      <w:szCs w:val="20"/>
      <w:lang w:val="en-US" w:eastAsia="en-US"/>
    </w:rPr>
  </w:style>
  <w:style w:type="paragraph" w:customStyle="1" w:styleId="CharCharCharChar1">
    <w:name w:val="Char Char Char Char1"/>
    <w:basedOn w:val="a"/>
    <w:rsid w:val="005F39F3"/>
    <w:pPr>
      <w:spacing w:before="120" w:after="160" w:line="240" w:lineRule="exact"/>
    </w:pPr>
    <w:rPr>
      <w:rFonts w:ascii="Verdana" w:hAnsi="Verdana"/>
      <w:sz w:val="20"/>
      <w:szCs w:val="20"/>
      <w:lang w:val="en-US" w:eastAsia="en-US"/>
    </w:rPr>
  </w:style>
  <w:style w:type="character" w:styleId="-0">
    <w:name w:val="FollowedHyperlink"/>
    <w:basedOn w:val="a0"/>
    <w:uiPriority w:val="99"/>
    <w:rsid w:val="005F39F3"/>
    <w:rPr>
      <w:color w:val="800080"/>
      <w:u w:val="single"/>
    </w:rPr>
  </w:style>
  <w:style w:type="paragraph" w:customStyle="1" w:styleId="xl70">
    <w:name w:val="xl70"/>
    <w:basedOn w:val="a"/>
    <w:rsid w:val="005F39F3"/>
    <w:pPr>
      <w:spacing w:before="100" w:beforeAutospacing="1" w:after="100" w:afterAutospacing="1"/>
      <w:textAlignment w:val="center"/>
    </w:pPr>
    <w:rPr>
      <w:rFonts w:ascii="Arial" w:hAnsi="Arial" w:cs="Arial"/>
      <w:sz w:val="22"/>
      <w:szCs w:val="22"/>
    </w:rPr>
  </w:style>
  <w:style w:type="paragraph" w:customStyle="1" w:styleId="xl71">
    <w:name w:val="xl71"/>
    <w:basedOn w:val="a"/>
    <w:rsid w:val="005F39F3"/>
    <w:pPr>
      <w:pBdr>
        <w:left w:val="single" w:sz="8" w:space="0" w:color="auto"/>
        <w:right w:val="single" w:sz="4" w:space="0" w:color="000000"/>
      </w:pBdr>
      <w:spacing w:before="100" w:beforeAutospacing="1" w:after="100" w:afterAutospacing="1"/>
      <w:textAlignment w:val="center"/>
    </w:pPr>
    <w:rPr>
      <w:rFonts w:ascii="Arial" w:hAnsi="Arial" w:cs="Arial"/>
      <w:sz w:val="22"/>
      <w:szCs w:val="22"/>
    </w:rPr>
  </w:style>
  <w:style w:type="paragraph" w:customStyle="1" w:styleId="xl72">
    <w:name w:val="xl72"/>
    <w:basedOn w:val="a"/>
    <w:rsid w:val="005F39F3"/>
    <w:pPr>
      <w:pBdr>
        <w:left w:val="single" w:sz="4" w:space="0" w:color="000000"/>
        <w:right w:val="single" w:sz="4" w:space="0" w:color="000000"/>
      </w:pBdr>
      <w:spacing w:before="100" w:beforeAutospacing="1" w:after="100" w:afterAutospacing="1"/>
      <w:textAlignment w:val="center"/>
    </w:pPr>
    <w:rPr>
      <w:rFonts w:ascii="Arial" w:hAnsi="Arial" w:cs="Arial"/>
      <w:sz w:val="22"/>
      <w:szCs w:val="22"/>
    </w:rPr>
  </w:style>
  <w:style w:type="paragraph" w:customStyle="1" w:styleId="xl73">
    <w:name w:val="xl73"/>
    <w:basedOn w:val="a"/>
    <w:rsid w:val="005F39F3"/>
    <w:pPr>
      <w:pBdr>
        <w:left w:val="single" w:sz="4" w:space="0" w:color="000000"/>
        <w:right w:val="single" w:sz="8"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
    <w:rsid w:val="005F39F3"/>
    <w:pPr>
      <w:pBdr>
        <w:left w:val="single" w:sz="4" w:space="0" w:color="000000"/>
        <w:right w:val="single" w:sz="4" w:space="0" w:color="000000"/>
      </w:pBdr>
      <w:spacing w:before="100" w:beforeAutospacing="1" w:after="100" w:afterAutospacing="1"/>
      <w:jc w:val="right"/>
      <w:textAlignment w:val="center"/>
    </w:pPr>
    <w:rPr>
      <w:rFonts w:ascii="Arial" w:hAnsi="Arial" w:cs="Arial"/>
      <w:sz w:val="22"/>
      <w:szCs w:val="22"/>
    </w:rPr>
  </w:style>
  <w:style w:type="paragraph" w:customStyle="1" w:styleId="xl75">
    <w:name w:val="xl75"/>
    <w:basedOn w:val="a"/>
    <w:rsid w:val="005F39F3"/>
    <w:pPr>
      <w:pBdr>
        <w:left w:val="single" w:sz="4" w:space="0" w:color="000000"/>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23">
    <w:name w:val="Παράγραφος λίστας2"/>
    <w:basedOn w:val="a"/>
    <w:rsid w:val="005F39F3"/>
    <w:pPr>
      <w:spacing w:after="200" w:line="276" w:lineRule="auto"/>
      <w:ind w:left="720"/>
    </w:pPr>
    <w:rPr>
      <w:rFonts w:ascii="Calibri" w:hAnsi="Calibri" w:cs="Calibri"/>
      <w:sz w:val="22"/>
      <w:szCs w:val="22"/>
      <w:lang w:eastAsia="en-US"/>
    </w:rPr>
  </w:style>
  <w:style w:type="character" w:customStyle="1" w:styleId="1Char">
    <w:name w:val="Επικεφαλίδα 1 Char"/>
    <w:basedOn w:val="a0"/>
    <w:link w:val="1"/>
    <w:rsid w:val="002C76E1"/>
    <w:rPr>
      <w:rFonts w:ascii="Arial" w:hAnsi="Arial" w:cs="Arial"/>
      <w:b/>
      <w:bCs/>
      <w:kern w:val="32"/>
      <w:sz w:val="32"/>
      <w:szCs w:val="32"/>
    </w:rPr>
  </w:style>
  <w:style w:type="character" w:customStyle="1" w:styleId="2Char">
    <w:name w:val="Επικεφαλίδα 2 Char"/>
    <w:basedOn w:val="a0"/>
    <w:link w:val="2"/>
    <w:rsid w:val="002C76E1"/>
    <w:rPr>
      <w:rFonts w:ascii="Arial" w:hAnsi="Arial" w:cs="Arial"/>
      <w:b/>
      <w:bCs/>
      <w:i/>
      <w:iCs/>
      <w:sz w:val="28"/>
      <w:szCs w:val="28"/>
    </w:rPr>
  </w:style>
  <w:style w:type="character" w:customStyle="1" w:styleId="3Char">
    <w:name w:val="Επικεφαλίδα 3 Char"/>
    <w:basedOn w:val="a0"/>
    <w:link w:val="3"/>
    <w:rsid w:val="002C76E1"/>
    <w:rPr>
      <w:rFonts w:ascii="Arial" w:hAnsi="Arial" w:cs="Arial"/>
      <w:b/>
      <w:bCs/>
      <w:sz w:val="26"/>
      <w:szCs w:val="26"/>
    </w:rPr>
  </w:style>
  <w:style w:type="character" w:customStyle="1" w:styleId="4Char">
    <w:name w:val="Επικεφαλίδα 4 Char"/>
    <w:basedOn w:val="a0"/>
    <w:link w:val="4"/>
    <w:rsid w:val="002C76E1"/>
    <w:rPr>
      <w:rFonts w:ascii="Arial Narrow" w:hAnsi="Arial Narrow"/>
      <w:b/>
      <w:i/>
      <w:color w:val="000080"/>
      <w:sz w:val="24"/>
      <w:szCs w:val="22"/>
    </w:rPr>
  </w:style>
  <w:style w:type="character" w:customStyle="1" w:styleId="5Char">
    <w:name w:val="Επικεφαλίδα 5 Char"/>
    <w:basedOn w:val="a0"/>
    <w:link w:val="5"/>
    <w:rsid w:val="002C76E1"/>
    <w:rPr>
      <w:rFonts w:ascii="Arial Narrow" w:hAnsi="Arial Narrow"/>
      <w:b/>
      <w:sz w:val="22"/>
      <w:szCs w:val="22"/>
    </w:rPr>
  </w:style>
  <w:style w:type="character" w:customStyle="1" w:styleId="6Char">
    <w:name w:val="Επικεφαλίδα 6 Char"/>
    <w:basedOn w:val="a0"/>
    <w:link w:val="6"/>
    <w:rsid w:val="002C76E1"/>
    <w:rPr>
      <w:rFonts w:ascii="Arial Narrow" w:hAnsi="Arial Narrow"/>
      <w:b/>
      <w:color w:val="000080"/>
      <w:sz w:val="26"/>
      <w:szCs w:val="22"/>
    </w:rPr>
  </w:style>
  <w:style w:type="character" w:customStyle="1" w:styleId="7Char">
    <w:name w:val="Επικεφαλίδα 7 Char"/>
    <w:basedOn w:val="a0"/>
    <w:link w:val="7"/>
    <w:rsid w:val="002C76E1"/>
    <w:rPr>
      <w:rFonts w:ascii="Arial Narrow" w:hAnsi="Arial Narrow"/>
      <w:b/>
      <w:color w:val="000080"/>
      <w:sz w:val="22"/>
      <w:szCs w:val="22"/>
    </w:rPr>
  </w:style>
  <w:style w:type="character" w:customStyle="1" w:styleId="8Char">
    <w:name w:val="Επικεφαλίδα 8 Char"/>
    <w:basedOn w:val="a0"/>
    <w:link w:val="8"/>
    <w:rsid w:val="002C76E1"/>
    <w:rPr>
      <w:rFonts w:ascii="Arial Narrow" w:hAnsi="Arial Narrow"/>
      <w:b/>
      <w:i/>
      <w:sz w:val="22"/>
      <w:szCs w:val="22"/>
    </w:rPr>
  </w:style>
  <w:style w:type="character" w:customStyle="1" w:styleId="9Char">
    <w:name w:val="Επικεφαλίδα 9 Char"/>
    <w:basedOn w:val="a0"/>
    <w:link w:val="9"/>
    <w:rsid w:val="002C76E1"/>
    <w:rPr>
      <w:rFonts w:ascii="Arial" w:hAnsi="Arial" w:cs="Arial"/>
      <w:sz w:val="22"/>
      <w:szCs w:val="22"/>
    </w:rPr>
  </w:style>
  <w:style w:type="character" w:customStyle="1" w:styleId="Char">
    <w:name w:val="Κεφαλίδα Char"/>
    <w:basedOn w:val="a0"/>
    <w:link w:val="a3"/>
    <w:rsid w:val="002C76E1"/>
    <w:rPr>
      <w:sz w:val="24"/>
      <w:szCs w:val="24"/>
    </w:rPr>
  </w:style>
  <w:style w:type="character" w:customStyle="1" w:styleId="Char0">
    <w:name w:val="Υποσέλιδο Char"/>
    <w:basedOn w:val="a0"/>
    <w:link w:val="a4"/>
    <w:rsid w:val="002C76E1"/>
    <w:rPr>
      <w:sz w:val="24"/>
      <w:szCs w:val="24"/>
    </w:rPr>
  </w:style>
  <w:style w:type="character" w:customStyle="1" w:styleId="2Char0">
    <w:name w:val="Σώμα κείμενου 2 Char"/>
    <w:basedOn w:val="a0"/>
    <w:link w:val="20"/>
    <w:rsid w:val="002C76E1"/>
    <w:rPr>
      <w:sz w:val="24"/>
      <w:szCs w:val="22"/>
    </w:rPr>
  </w:style>
  <w:style w:type="character" w:customStyle="1" w:styleId="Char2">
    <w:name w:val="Σώμα κειμένου Char"/>
    <w:basedOn w:val="a0"/>
    <w:link w:val="a8"/>
    <w:rsid w:val="002C76E1"/>
    <w:rPr>
      <w:sz w:val="22"/>
      <w:szCs w:val="22"/>
    </w:rPr>
  </w:style>
  <w:style w:type="character" w:customStyle="1" w:styleId="Char3">
    <w:name w:val="Τίτλος Char"/>
    <w:basedOn w:val="a0"/>
    <w:link w:val="a9"/>
    <w:rsid w:val="002C76E1"/>
    <w:rPr>
      <w:b/>
      <w:bCs/>
      <w:sz w:val="24"/>
      <w:szCs w:val="24"/>
      <w:lang w:eastAsia="en-US"/>
    </w:rPr>
  </w:style>
  <w:style w:type="character" w:customStyle="1" w:styleId="Char4">
    <w:name w:val="Σώμα κείμενου με εσοχή Char"/>
    <w:basedOn w:val="a0"/>
    <w:link w:val="aa"/>
    <w:rsid w:val="002C76E1"/>
    <w:rPr>
      <w:sz w:val="22"/>
    </w:rPr>
  </w:style>
  <w:style w:type="character" w:customStyle="1" w:styleId="3Char0">
    <w:name w:val="Σώμα κείμενου 3 Char"/>
    <w:basedOn w:val="a0"/>
    <w:link w:val="30"/>
    <w:rsid w:val="002C76E1"/>
    <w:rPr>
      <w:sz w:val="22"/>
    </w:rPr>
  </w:style>
  <w:style w:type="character" w:customStyle="1" w:styleId="Char5">
    <w:name w:val="Απλό κείμενο Char"/>
    <w:basedOn w:val="a0"/>
    <w:link w:val="ab"/>
    <w:rsid w:val="002C76E1"/>
    <w:rPr>
      <w:rFonts w:ascii="Courier New" w:hAnsi="Courier New"/>
    </w:rPr>
  </w:style>
  <w:style w:type="character" w:customStyle="1" w:styleId="3Char1">
    <w:name w:val="Σώμα κείμενου με εσοχή 3 Char"/>
    <w:basedOn w:val="a0"/>
    <w:link w:val="31"/>
    <w:rsid w:val="002C76E1"/>
    <w:rPr>
      <w:sz w:val="22"/>
    </w:rPr>
  </w:style>
  <w:style w:type="character" w:customStyle="1" w:styleId="Char8">
    <w:name w:val="Κείμενο υποσημείωσης Char"/>
    <w:aliases w:val="Footnote Char,Fußnote Char,Fodnotetekst Tegn Tegn Tegn Tegn Tegn Tegn Tegn Char Char Char,Fodnotetekst Tegn Tegn Tegn Tegn Tegn Tegn Tegn Char Char Char Char Char,Fodnotetekst Tegn Tegn Tegn Tegn Tegn Tegn Tegn Char,lábléc Char"/>
    <w:basedOn w:val="a0"/>
    <w:link w:val="af"/>
    <w:uiPriority w:val="99"/>
    <w:semiHidden/>
    <w:rsid w:val="002C76E1"/>
  </w:style>
  <w:style w:type="paragraph" w:customStyle="1" w:styleId="font5">
    <w:name w:val="font5"/>
    <w:basedOn w:val="a"/>
    <w:rsid w:val="00886B62"/>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886B62"/>
    <w:pPr>
      <w:spacing w:before="100" w:beforeAutospacing="1" w:after="100" w:afterAutospacing="1"/>
    </w:pPr>
    <w:rPr>
      <w:rFonts w:ascii="Tahoma" w:hAnsi="Tahoma" w:cs="Tahoma"/>
      <w:color w:val="000000"/>
      <w:sz w:val="18"/>
      <w:szCs w:val="18"/>
    </w:rPr>
  </w:style>
  <w:style w:type="paragraph" w:customStyle="1" w:styleId="xl76">
    <w:name w:val="xl76"/>
    <w:basedOn w:val="a"/>
    <w:rsid w:val="00886B62"/>
    <w:pP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77">
    <w:name w:val="xl77"/>
    <w:basedOn w:val="a"/>
    <w:rsid w:val="00886B62"/>
    <w:pPr>
      <w:shd w:val="clear" w:color="000000" w:fill="FFFFFF"/>
      <w:spacing w:before="100" w:beforeAutospacing="1" w:after="100" w:afterAutospacing="1"/>
      <w:jc w:val="center"/>
      <w:textAlignment w:val="center"/>
    </w:pPr>
    <w:rPr>
      <w:rFonts w:ascii="Segoe UI" w:hAnsi="Segoe UI" w:cs="Segoe UI"/>
      <w:sz w:val="16"/>
      <w:szCs w:val="16"/>
    </w:rPr>
  </w:style>
  <w:style w:type="paragraph" w:customStyle="1" w:styleId="xl78">
    <w:name w:val="xl78"/>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79">
    <w:name w:val="xl79"/>
    <w:basedOn w:val="a"/>
    <w:rsid w:val="00886B62"/>
    <w:pPr>
      <w:pBdr>
        <w:top w:val="single" w:sz="4"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0">
    <w:name w:val="xl80"/>
    <w:basedOn w:val="a"/>
    <w:rsid w:val="00886B62"/>
    <w:pPr>
      <w:pBdr>
        <w:top w:val="single" w:sz="4" w:space="0" w:color="auto"/>
        <w:bottom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1">
    <w:name w:val="xl81"/>
    <w:basedOn w:val="a"/>
    <w:rsid w:val="00886B62"/>
    <w:pPr>
      <w:pBdr>
        <w:top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2">
    <w:name w:val="xl82"/>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83">
    <w:name w:val="xl83"/>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4">
    <w:name w:val="xl84"/>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85">
    <w:name w:val="xl85"/>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6">
    <w:name w:val="xl86"/>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87">
    <w:name w:val="xl87"/>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i/>
      <w:iCs/>
      <w:sz w:val="16"/>
      <w:szCs w:val="16"/>
    </w:rPr>
  </w:style>
  <w:style w:type="paragraph" w:customStyle="1" w:styleId="xl88">
    <w:name w:val="xl88"/>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89">
    <w:name w:val="xl89"/>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i/>
      <w:iCs/>
      <w:sz w:val="16"/>
      <w:szCs w:val="16"/>
    </w:rPr>
  </w:style>
  <w:style w:type="paragraph" w:customStyle="1" w:styleId="xl90">
    <w:name w:val="xl90"/>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rFonts w:ascii="Arial Narrow" w:hAnsi="Arial Narrow"/>
      <w:b/>
      <w:bCs/>
      <w:i/>
      <w:iCs/>
      <w:sz w:val="16"/>
      <w:szCs w:val="16"/>
    </w:rPr>
  </w:style>
  <w:style w:type="paragraph" w:customStyle="1" w:styleId="xl91">
    <w:name w:val="xl91"/>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886B6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886B6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Narrow" w:hAnsi="Arial Narrow"/>
      <w:b/>
      <w:bCs/>
      <w:i/>
      <w:iCs/>
      <w:sz w:val="16"/>
      <w:szCs w:val="16"/>
    </w:rPr>
  </w:style>
  <w:style w:type="paragraph" w:customStyle="1" w:styleId="xl94">
    <w:name w:val="xl94"/>
    <w:basedOn w:val="a"/>
    <w:rsid w:val="00886B6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Narrow" w:hAnsi="Arial Narrow"/>
      <w:b/>
      <w:bCs/>
      <w:i/>
      <w:iCs/>
      <w:sz w:val="16"/>
      <w:szCs w:val="16"/>
    </w:rPr>
  </w:style>
  <w:style w:type="paragraph" w:customStyle="1" w:styleId="xl95">
    <w:name w:val="xl95"/>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sz w:val="16"/>
      <w:szCs w:val="16"/>
    </w:rPr>
  </w:style>
  <w:style w:type="paragraph" w:customStyle="1" w:styleId="xl96">
    <w:name w:val="xl96"/>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i/>
      <w:iCs/>
      <w:sz w:val="16"/>
      <w:szCs w:val="16"/>
    </w:rPr>
  </w:style>
  <w:style w:type="paragraph" w:customStyle="1" w:styleId="xl97">
    <w:name w:val="xl97"/>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i/>
      <w:iCs/>
      <w:sz w:val="16"/>
      <w:szCs w:val="16"/>
    </w:rPr>
  </w:style>
  <w:style w:type="paragraph" w:customStyle="1" w:styleId="xl98">
    <w:name w:val="xl98"/>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99">
    <w:name w:val="xl99"/>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i/>
      <w:iCs/>
      <w:sz w:val="16"/>
      <w:szCs w:val="16"/>
    </w:rPr>
  </w:style>
  <w:style w:type="paragraph" w:customStyle="1" w:styleId="xl100">
    <w:name w:val="xl100"/>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1">
    <w:name w:val="xl101"/>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sz w:val="16"/>
      <w:szCs w:val="16"/>
    </w:rPr>
  </w:style>
  <w:style w:type="paragraph" w:customStyle="1" w:styleId="xl102">
    <w:name w:val="xl102"/>
    <w:basedOn w:val="a"/>
    <w:rsid w:val="00886B62"/>
    <w:pPr>
      <w:pBdr>
        <w:top w:val="single" w:sz="4" w:space="0" w:color="auto"/>
        <w:left w:val="single" w:sz="8" w:space="0" w:color="auto"/>
        <w:bottom w:val="single" w:sz="4" w:space="0" w:color="auto"/>
      </w:pBdr>
      <w:spacing w:before="100" w:beforeAutospacing="1" w:after="100" w:afterAutospacing="1"/>
      <w:textAlignment w:val="center"/>
    </w:pPr>
    <w:rPr>
      <w:rFonts w:ascii="Arial Narrow" w:hAnsi="Arial Narrow"/>
      <w:i/>
      <w:iCs/>
      <w:sz w:val="16"/>
      <w:szCs w:val="16"/>
    </w:rPr>
  </w:style>
  <w:style w:type="paragraph" w:customStyle="1" w:styleId="xl103">
    <w:name w:val="xl103"/>
    <w:basedOn w:val="a"/>
    <w:rsid w:val="00886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i/>
      <w:iCs/>
      <w:sz w:val="16"/>
      <w:szCs w:val="16"/>
    </w:rPr>
  </w:style>
  <w:style w:type="paragraph" w:customStyle="1" w:styleId="xl104">
    <w:name w:val="xl104"/>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a"/>
    <w:rsid w:val="00886B62"/>
    <w:pPr>
      <w:pBdr>
        <w:top w:val="single" w:sz="4" w:space="0" w:color="auto"/>
        <w:left w:val="single" w:sz="4" w:space="0" w:color="auto"/>
        <w:bottom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8">
    <w:name w:val="xl108"/>
    <w:basedOn w:val="a"/>
    <w:rsid w:val="00886B62"/>
    <w:pPr>
      <w:pBdr>
        <w:top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9">
    <w:name w:val="xl109"/>
    <w:basedOn w:val="a"/>
    <w:rsid w:val="00886B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hAnsi="Arial Narrow"/>
      <w:b/>
      <w:bCs/>
      <w:sz w:val="16"/>
      <w:szCs w:val="16"/>
    </w:rPr>
  </w:style>
  <w:style w:type="paragraph" w:customStyle="1" w:styleId="xl110">
    <w:name w:val="xl110"/>
    <w:basedOn w:val="a"/>
    <w:rsid w:val="00886B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hAnsi="Arial Narrow"/>
      <w:b/>
      <w:bCs/>
      <w:sz w:val="16"/>
      <w:szCs w:val="16"/>
    </w:rPr>
  </w:style>
  <w:style w:type="paragraph" w:customStyle="1" w:styleId="xl111">
    <w:name w:val="xl111"/>
    <w:basedOn w:val="a"/>
    <w:rsid w:val="00886B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hAnsi="Arial Narrow"/>
      <w:b/>
      <w:bCs/>
      <w:sz w:val="16"/>
      <w:szCs w:val="16"/>
    </w:rPr>
  </w:style>
  <w:style w:type="paragraph" w:customStyle="1" w:styleId="xl112">
    <w:name w:val="xl112"/>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3">
    <w:name w:val="xl113"/>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4">
    <w:name w:val="xl114"/>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115">
    <w:name w:val="xl115"/>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16">
    <w:name w:val="xl116"/>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7">
    <w:name w:val="xl117"/>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118">
    <w:name w:val="xl118"/>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i/>
      <w:iCs/>
      <w:sz w:val="16"/>
      <w:szCs w:val="16"/>
    </w:rPr>
  </w:style>
  <w:style w:type="paragraph" w:customStyle="1" w:styleId="xl119">
    <w:name w:val="xl119"/>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120">
    <w:name w:val="xl120"/>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customStyle="1" w:styleId="xl121">
    <w:name w:val="xl121"/>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rFonts w:ascii="Arial Narrow" w:hAnsi="Arial Narrow"/>
      <w:b/>
      <w:bCs/>
      <w:sz w:val="16"/>
      <w:szCs w:val="16"/>
    </w:rPr>
  </w:style>
  <w:style w:type="paragraph" w:customStyle="1" w:styleId="xl122">
    <w:name w:val="xl122"/>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styleId="af3">
    <w:name w:val="No Spacing"/>
    <w:uiPriority w:val="1"/>
    <w:qFormat/>
    <w:rsid w:val="00235EF9"/>
    <w:rPr>
      <w:rFonts w:asciiTheme="minorHAnsi" w:eastAsiaTheme="minorHAnsi" w:hAnsiTheme="minorHAnsi" w:cstheme="minorBidi"/>
      <w:sz w:val="22"/>
      <w:szCs w:val="22"/>
      <w:lang w:eastAsia="en-US"/>
    </w:rPr>
  </w:style>
  <w:style w:type="paragraph" w:styleId="Web">
    <w:name w:val="Normal (Web)"/>
    <w:basedOn w:val="a"/>
    <w:uiPriority w:val="99"/>
    <w:rsid w:val="00D31046"/>
    <w:pPr>
      <w:spacing w:before="100" w:beforeAutospacing="1" w:after="119"/>
    </w:pPr>
  </w:style>
  <w:style w:type="character" w:styleId="af4">
    <w:name w:val="line number"/>
    <w:basedOn w:val="a0"/>
    <w:rsid w:val="00D31046"/>
  </w:style>
  <w:style w:type="character" w:styleId="af5">
    <w:name w:val="Strong"/>
    <w:basedOn w:val="a0"/>
    <w:qFormat/>
    <w:rsid w:val="00D31046"/>
    <w:rPr>
      <w:b/>
      <w:bCs/>
    </w:rPr>
  </w:style>
  <w:style w:type="paragraph" w:customStyle="1" w:styleId="Default">
    <w:name w:val="Default"/>
    <w:rsid w:val="00D31046"/>
    <w:pPr>
      <w:autoSpaceDE w:val="0"/>
      <w:autoSpaceDN w:val="0"/>
      <w:adjustRightInd w:val="0"/>
    </w:pPr>
    <w:rPr>
      <w:rFonts w:eastAsia="Calibri"/>
      <w:color w:val="000000"/>
      <w:sz w:val="24"/>
      <w:szCs w:val="24"/>
      <w:lang w:eastAsia="en-US"/>
    </w:rPr>
  </w:style>
  <w:style w:type="paragraph" w:styleId="-HTML">
    <w:name w:val="HTML Preformatted"/>
    <w:basedOn w:val="a"/>
    <w:link w:val="-HTMLChar"/>
    <w:uiPriority w:val="99"/>
    <w:unhideWhenUsed/>
    <w:rsid w:val="00EF2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EF2957"/>
    <w:rPr>
      <w:rFonts w:ascii="Courier New" w:hAnsi="Courier New" w:cs="Courier New"/>
    </w:rPr>
  </w:style>
  <w:style w:type="paragraph" w:customStyle="1" w:styleId="font7">
    <w:name w:val="font7"/>
    <w:basedOn w:val="a"/>
    <w:rsid w:val="00EF2957"/>
    <w:pPr>
      <w:spacing w:before="100" w:beforeAutospacing="1" w:after="100" w:afterAutospacing="1"/>
    </w:pPr>
    <w:rPr>
      <w:rFonts w:ascii="Segoe UI" w:hAnsi="Segoe UI" w:cs="Segoe UI"/>
      <w:b/>
      <w:bCs/>
      <w:i/>
      <w:iCs/>
      <w:sz w:val="16"/>
      <w:szCs w:val="16"/>
    </w:rPr>
  </w:style>
  <w:style w:type="paragraph" w:customStyle="1" w:styleId="xl52827">
    <w:name w:val="xl52827"/>
    <w:basedOn w:val="a"/>
    <w:rsid w:val="00EF2957"/>
    <w:pPr>
      <w:spacing w:before="100" w:beforeAutospacing="1" w:after="100" w:afterAutospacing="1"/>
      <w:textAlignment w:val="center"/>
    </w:pPr>
    <w:rPr>
      <w:rFonts w:ascii="Segoe UI" w:hAnsi="Segoe UI" w:cs="Segoe UI"/>
      <w:sz w:val="16"/>
      <w:szCs w:val="16"/>
    </w:rPr>
  </w:style>
  <w:style w:type="paragraph" w:customStyle="1" w:styleId="xl52828">
    <w:name w:val="xl52828"/>
    <w:basedOn w:val="a"/>
    <w:rsid w:val="00EF2957"/>
    <w:pPr>
      <w:shd w:val="clear" w:color="000000" w:fill="BFBFBF"/>
      <w:spacing w:before="100" w:beforeAutospacing="1" w:after="100" w:afterAutospacing="1"/>
      <w:textAlignment w:val="center"/>
    </w:pPr>
    <w:rPr>
      <w:rFonts w:ascii="Segoe UI" w:hAnsi="Segoe UI" w:cs="Segoe UI"/>
      <w:sz w:val="16"/>
      <w:szCs w:val="16"/>
    </w:rPr>
  </w:style>
  <w:style w:type="paragraph" w:customStyle="1" w:styleId="xl52829">
    <w:name w:val="xl52829"/>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0">
    <w:name w:val="xl52830"/>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1">
    <w:name w:val="xl52831"/>
    <w:basedOn w:val="a"/>
    <w:rsid w:val="00EF2957"/>
    <w:pPr>
      <w:spacing w:before="100" w:beforeAutospacing="1" w:after="100" w:afterAutospacing="1"/>
      <w:textAlignment w:val="center"/>
    </w:pPr>
    <w:rPr>
      <w:rFonts w:ascii="Segoe UI" w:hAnsi="Segoe UI" w:cs="Segoe UI"/>
      <w:b/>
      <w:bCs/>
      <w:sz w:val="16"/>
      <w:szCs w:val="16"/>
    </w:rPr>
  </w:style>
  <w:style w:type="paragraph" w:customStyle="1" w:styleId="xl52832">
    <w:name w:val="xl52832"/>
    <w:basedOn w:val="a"/>
    <w:rsid w:val="00EF2957"/>
    <w:pPr>
      <w:shd w:val="clear" w:color="000000" w:fill="BFBFBF"/>
      <w:spacing w:before="100" w:beforeAutospacing="1" w:after="100" w:afterAutospacing="1"/>
      <w:textAlignment w:val="center"/>
    </w:pPr>
    <w:rPr>
      <w:rFonts w:ascii="Segoe UI" w:hAnsi="Segoe UI" w:cs="Segoe UI"/>
      <w:b/>
      <w:bCs/>
      <w:sz w:val="16"/>
      <w:szCs w:val="16"/>
    </w:rPr>
  </w:style>
  <w:style w:type="paragraph" w:customStyle="1" w:styleId="xl52833">
    <w:name w:val="xl52833"/>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34">
    <w:name w:val="xl52834"/>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5">
    <w:name w:val="xl52835"/>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36">
    <w:name w:val="xl52836"/>
    <w:basedOn w:val="a"/>
    <w:rsid w:val="00EF2957"/>
    <w:pPr>
      <w:spacing w:before="100" w:beforeAutospacing="1" w:after="100" w:afterAutospacing="1"/>
      <w:textAlignment w:val="center"/>
    </w:pPr>
    <w:rPr>
      <w:rFonts w:ascii="Segoe UI" w:hAnsi="Segoe UI" w:cs="Segoe UI"/>
      <w:color w:val="C00000"/>
      <w:sz w:val="16"/>
      <w:szCs w:val="16"/>
    </w:rPr>
  </w:style>
  <w:style w:type="paragraph" w:customStyle="1" w:styleId="xl52837">
    <w:name w:val="xl52837"/>
    <w:basedOn w:val="a"/>
    <w:rsid w:val="00EF2957"/>
    <w:pPr>
      <w:pBdr>
        <w:left w:val="single" w:sz="4" w:space="0" w:color="auto"/>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38">
    <w:name w:val="xl52838"/>
    <w:basedOn w:val="a"/>
    <w:rsid w:val="00EF2957"/>
    <w:pPr>
      <w:pBdr>
        <w:left w:val="single" w:sz="4" w:space="0" w:color="auto"/>
        <w:righ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39">
    <w:name w:val="xl52839"/>
    <w:basedOn w:val="a"/>
    <w:rsid w:val="00EF2957"/>
    <w:pP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52840">
    <w:name w:val="xl52840"/>
    <w:basedOn w:val="a"/>
    <w:rsid w:val="00EF2957"/>
    <w:pPr>
      <w:spacing w:before="100" w:beforeAutospacing="1" w:after="100" w:afterAutospacing="1"/>
      <w:textAlignment w:val="center"/>
    </w:pPr>
    <w:rPr>
      <w:rFonts w:ascii="Segoe UI" w:hAnsi="Segoe UI" w:cs="Segoe UI"/>
      <w:sz w:val="16"/>
      <w:szCs w:val="16"/>
    </w:rPr>
  </w:style>
  <w:style w:type="paragraph" w:customStyle="1" w:styleId="xl52841">
    <w:name w:val="xl52841"/>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2">
    <w:name w:val="xl52842"/>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3">
    <w:name w:val="xl52843"/>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4">
    <w:name w:val="xl52844"/>
    <w:basedOn w:val="a"/>
    <w:rsid w:val="00EF2957"/>
    <w:pPr>
      <w:spacing w:before="100" w:beforeAutospacing="1" w:after="100" w:afterAutospacing="1"/>
      <w:jc w:val="center"/>
      <w:textAlignment w:val="center"/>
    </w:pPr>
    <w:rPr>
      <w:rFonts w:ascii="Segoe UI" w:hAnsi="Segoe UI" w:cs="Segoe UI"/>
      <w:sz w:val="16"/>
      <w:szCs w:val="16"/>
    </w:rPr>
  </w:style>
  <w:style w:type="paragraph" w:customStyle="1" w:styleId="xl52845">
    <w:name w:val="xl52845"/>
    <w:basedOn w:val="a"/>
    <w:rsid w:val="00EF2957"/>
    <w:pPr>
      <w:pBdr>
        <w:left w:val="single" w:sz="4" w:space="0" w:color="auto"/>
        <w:right w:val="single" w:sz="4" w:space="0" w:color="auto"/>
      </w:pBdr>
      <w:spacing w:before="100" w:beforeAutospacing="1" w:after="100" w:afterAutospacing="1"/>
      <w:jc w:val="center"/>
    </w:pPr>
    <w:rPr>
      <w:rFonts w:ascii="Segoe UI" w:hAnsi="Segoe UI" w:cs="Segoe UI"/>
      <w:sz w:val="16"/>
      <w:szCs w:val="16"/>
    </w:rPr>
  </w:style>
  <w:style w:type="paragraph" w:customStyle="1" w:styleId="xl52846">
    <w:name w:val="xl52846"/>
    <w:basedOn w:val="a"/>
    <w:rsid w:val="00EF2957"/>
    <w:pPr>
      <w:pBdr>
        <w:left w:val="single" w:sz="4" w:space="0" w:color="auto"/>
        <w:right w:val="single" w:sz="8" w:space="0" w:color="auto"/>
      </w:pBdr>
      <w:spacing w:before="100" w:beforeAutospacing="1" w:after="100" w:afterAutospacing="1"/>
      <w:jc w:val="center"/>
    </w:pPr>
    <w:rPr>
      <w:rFonts w:ascii="Segoe UI" w:hAnsi="Segoe UI" w:cs="Segoe UI"/>
      <w:sz w:val="16"/>
      <w:szCs w:val="16"/>
    </w:rPr>
  </w:style>
  <w:style w:type="paragraph" w:customStyle="1" w:styleId="xl52847">
    <w:name w:val="xl52847"/>
    <w:basedOn w:val="a"/>
    <w:rsid w:val="00EF2957"/>
    <w:pPr>
      <w:pBdr>
        <w:left w:val="single" w:sz="4" w:space="0" w:color="auto"/>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848">
    <w:name w:val="xl52848"/>
    <w:basedOn w:val="a"/>
    <w:rsid w:val="00EF2957"/>
    <w:pPr>
      <w:pBdr>
        <w:left w:val="single" w:sz="4" w:space="0" w:color="auto"/>
        <w:right w:val="single" w:sz="8" w:space="0" w:color="auto"/>
      </w:pBdr>
      <w:spacing w:before="100" w:beforeAutospacing="1" w:after="100" w:afterAutospacing="1"/>
      <w:jc w:val="center"/>
    </w:pPr>
    <w:rPr>
      <w:rFonts w:ascii="Segoe UI" w:hAnsi="Segoe UI" w:cs="Segoe UI"/>
      <w:b/>
      <w:bCs/>
      <w:sz w:val="16"/>
      <w:szCs w:val="16"/>
    </w:rPr>
  </w:style>
  <w:style w:type="paragraph" w:customStyle="1" w:styleId="xl52849">
    <w:name w:val="xl52849"/>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0">
    <w:name w:val="xl52850"/>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1">
    <w:name w:val="xl52851"/>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2">
    <w:name w:val="xl52852"/>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3">
    <w:name w:val="xl52853"/>
    <w:basedOn w:val="a"/>
    <w:rsid w:val="00EF2957"/>
    <w:pPr>
      <w:pBdr>
        <w:lef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54">
    <w:name w:val="xl52854"/>
    <w:basedOn w:val="a"/>
    <w:rsid w:val="00EF2957"/>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55">
    <w:name w:val="xl52855"/>
    <w:basedOn w:val="a"/>
    <w:rsid w:val="00EF2957"/>
    <w:pPr>
      <w:pBdr>
        <w:left w:val="single" w:sz="4" w:space="0" w:color="auto"/>
      </w:pBdr>
      <w:spacing w:before="100" w:beforeAutospacing="1" w:after="100" w:afterAutospacing="1"/>
      <w:jc w:val="center"/>
    </w:pPr>
    <w:rPr>
      <w:rFonts w:ascii="Segoe UI" w:hAnsi="Segoe UI" w:cs="Segoe UI"/>
      <w:sz w:val="16"/>
      <w:szCs w:val="16"/>
    </w:rPr>
  </w:style>
  <w:style w:type="paragraph" w:customStyle="1" w:styleId="xl52856">
    <w:name w:val="xl52856"/>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7">
    <w:name w:val="xl52857"/>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8">
    <w:name w:val="xl52858"/>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9">
    <w:name w:val="xl52859"/>
    <w:basedOn w:val="a"/>
    <w:rsid w:val="00EF2957"/>
    <w:pP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860">
    <w:name w:val="xl52860"/>
    <w:basedOn w:val="a"/>
    <w:rsid w:val="00EF2957"/>
    <w:pP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61">
    <w:name w:val="xl52861"/>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2">
    <w:name w:val="xl52862"/>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3">
    <w:name w:val="xl52863"/>
    <w:basedOn w:val="a"/>
    <w:rsid w:val="00EF2957"/>
    <w:pP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64">
    <w:name w:val="xl52864"/>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5">
    <w:name w:val="xl52865"/>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6">
    <w:name w:val="xl52866"/>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7">
    <w:name w:val="xl52867"/>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8">
    <w:name w:val="xl52868"/>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9">
    <w:name w:val="xl52869"/>
    <w:basedOn w:val="a"/>
    <w:rsid w:val="00EF2957"/>
    <w:pPr>
      <w:shd w:val="clear" w:color="000000" w:fill="A5A5A5"/>
      <w:spacing w:before="100" w:beforeAutospacing="1" w:after="100" w:afterAutospacing="1"/>
      <w:textAlignment w:val="center"/>
    </w:pPr>
    <w:rPr>
      <w:rFonts w:ascii="Segoe UI" w:hAnsi="Segoe UI" w:cs="Segoe UI"/>
      <w:color w:val="C00000"/>
      <w:sz w:val="16"/>
      <w:szCs w:val="16"/>
    </w:rPr>
  </w:style>
  <w:style w:type="paragraph" w:customStyle="1" w:styleId="xl52870">
    <w:name w:val="xl52870"/>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871">
    <w:name w:val="xl52871"/>
    <w:basedOn w:val="a"/>
    <w:rsid w:val="00EF2957"/>
    <w:pPr>
      <w:pBdr>
        <w:left w:val="single" w:sz="8" w:space="0" w:color="auto"/>
      </w:pBdr>
      <w:spacing w:before="100" w:beforeAutospacing="1" w:after="100" w:afterAutospacing="1"/>
      <w:textAlignment w:val="center"/>
    </w:pPr>
    <w:rPr>
      <w:rFonts w:ascii="Segoe UI" w:hAnsi="Segoe UI" w:cs="Segoe UI"/>
      <w:b/>
      <w:bCs/>
      <w:sz w:val="16"/>
      <w:szCs w:val="16"/>
    </w:rPr>
  </w:style>
  <w:style w:type="paragraph" w:customStyle="1" w:styleId="xl52872">
    <w:name w:val="xl52872"/>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73">
    <w:name w:val="xl52873"/>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74">
    <w:name w:val="xl52874"/>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5">
    <w:name w:val="xl52875"/>
    <w:basedOn w:val="a"/>
    <w:rsid w:val="00EF2957"/>
    <w:pPr>
      <w:pBdr>
        <w:left w:val="single" w:sz="8" w:space="0" w:color="auto"/>
      </w:pBd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52876">
    <w:name w:val="xl52876"/>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7">
    <w:name w:val="xl52877"/>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8">
    <w:name w:val="xl52878"/>
    <w:basedOn w:val="a"/>
    <w:rsid w:val="00EF2957"/>
    <w:pPr>
      <w:pBdr>
        <w:left w:val="single" w:sz="8"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52879">
    <w:name w:val="xl52879"/>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80">
    <w:name w:val="xl52880"/>
    <w:basedOn w:val="a"/>
    <w:rsid w:val="00EF2957"/>
    <w:pPr>
      <w:pBdr>
        <w:left w:val="single" w:sz="8" w:space="0" w:color="auto"/>
      </w:pBdr>
      <w:spacing w:before="100" w:beforeAutospacing="1" w:after="100" w:afterAutospacing="1"/>
      <w:textAlignment w:val="center"/>
    </w:pPr>
    <w:rPr>
      <w:rFonts w:ascii="Segoe UI" w:hAnsi="Segoe UI" w:cs="Segoe UI"/>
      <w:b/>
      <w:bCs/>
      <w:sz w:val="16"/>
      <w:szCs w:val="16"/>
    </w:rPr>
  </w:style>
  <w:style w:type="paragraph" w:customStyle="1" w:styleId="xl52881">
    <w:name w:val="xl52881"/>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i/>
      <w:iCs/>
      <w:sz w:val="16"/>
      <w:szCs w:val="16"/>
    </w:rPr>
  </w:style>
  <w:style w:type="paragraph" w:customStyle="1" w:styleId="xl52882">
    <w:name w:val="xl52882"/>
    <w:basedOn w:val="a"/>
    <w:rsid w:val="00EF2957"/>
    <w:pPr>
      <w:pBdr>
        <w:left w:val="single" w:sz="8" w:space="0" w:color="auto"/>
      </w:pBdr>
      <w:spacing w:before="100" w:beforeAutospacing="1" w:after="100" w:afterAutospacing="1"/>
    </w:pPr>
    <w:rPr>
      <w:rFonts w:ascii="Segoe UI" w:hAnsi="Segoe UI" w:cs="Segoe UI"/>
      <w:sz w:val="16"/>
      <w:szCs w:val="16"/>
    </w:rPr>
  </w:style>
  <w:style w:type="paragraph" w:customStyle="1" w:styleId="xl52883">
    <w:name w:val="xl52883"/>
    <w:basedOn w:val="a"/>
    <w:rsid w:val="00EF2957"/>
    <w:pPr>
      <w:pBdr>
        <w:left w:val="single" w:sz="8" w:space="0" w:color="auto"/>
      </w:pBdr>
      <w:spacing w:before="100" w:beforeAutospacing="1" w:after="100" w:afterAutospacing="1"/>
    </w:pPr>
    <w:rPr>
      <w:rFonts w:ascii="Segoe UI" w:hAnsi="Segoe UI" w:cs="Segoe UI"/>
      <w:b/>
      <w:bCs/>
      <w:sz w:val="16"/>
      <w:szCs w:val="16"/>
    </w:rPr>
  </w:style>
  <w:style w:type="paragraph" w:customStyle="1" w:styleId="xl52884">
    <w:name w:val="xl52884"/>
    <w:basedOn w:val="a"/>
    <w:rsid w:val="00EF2957"/>
    <w:pPr>
      <w:pBdr>
        <w:left w:val="single" w:sz="8" w:space="0" w:color="auto"/>
      </w:pBdr>
      <w:spacing w:before="100" w:beforeAutospacing="1" w:after="100" w:afterAutospacing="1"/>
    </w:pPr>
    <w:rPr>
      <w:rFonts w:ascii="Segoe UI" w:hAnsi="Segoe UI" w:cs="Segoe UI"/>
      <w:sz w:val="16"/>
      <w:szCs w:val="16"/>
    </w:rPr>
  </w:style>
  <w:style w:type="paragraph" w:customStyle="1" w:styleId="xl52885">
    <w:name w:val="xl52885"/>
    <w:basedOn w:val="a"/>
    <w:rsid w:val="00EF2957"/>
    <w:pPr>
      <w:pBdr>
        <w:left w:val="single" w:sz="8" w:space="0" w:color="auto"/>
      </w:pBdr>
      <w:shd w:val="clear" w:color="000000" w:fill="FFFFFF"/>
      <w:spacing w:before="100" w:beforeAutospacing="1" w:after="100" w:afterAutospacing="1"/>
    </w:pPr>
    <w:rPr>
      <w:rFonts w:ascii="Segoe UI" w:hAnsi="Segoe UI" w:cs="Segoe UI"/>
      <w:b/>
      <w:bCs/>
      <w:i/>
      <w:iCs/>
      <w:sz w:val="16"/>
      <w:szCs w:val="16"/>
    </w:rPr>
  </w:style>
  <w:style w:type="paragraph" w:customStyle="1" w:styleId="xl52886">
    <w:name w:val="xl52886"/>
    <w:basedOn w:val="a"/>
    <w:rsid w:val="00EF2957"/>
    <w:pPr>
      <w:pBdr>
        <w:left w:val="single" w:sz="8" w:space="0" w:color="auto"/>
      </w:pBdr>
      <w:shd w:val="clear" w:color="000000" w:fill="FFFFFF"/>
      <w:spacing w:before="100" w:beforeAutospacing="1" w:after="100" w:afterAutospacing="1"/>
    </w:pPr>
    <w:rPr>
      <w:rFonts w:ascii="Segoe UI" w:hAnsi="Segoe UI" w:cs="Segoe UI"/>
      <w:b/>
      <w:bCs/>
      <w:sz w:val="16"/>
      <w:szCs w:val="16"/>
    </w:rPr>
  </w:style>
  <w:style w:type="paragraph" w:customStyle="1" w:styleId="xl52887">
    <w:name w:val="xl52887"/>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88">
    <w:name w:val="xl52888"/>
    <w:basedOn w:val="a"/>
    <w:rsid w:val="00EF2957"/>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89">
    <w:name w:val="xl52889"/>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0">
    <w:name w:val="xl52890"/>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1">
    <w:name w:val="xl52891"/>
    <w:basedOn w:val="a"/>
    <w:rsid w:val="00EF2957"/>
    <w:pPr>
      <w:pBdr>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92">
    <w:name w:val="xl52892"/>
    <w:basedOn w:val="a"/>
    <w:rsid w:val="00EF2957"/>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93">
    <w:name w:val="xl52893"/>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4">
    <w:name w:val="xl52894"/>
    <w:basedOn w:val="a"/>
    <w:rsid w:val="00EF2957"/>
    <w:pPr>
      <w:pBdr>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95">
    <w:name w:val="xl52895"/>
    <w:basedOn w:val="a"/>
    <w:rsid w:val="00EF2957"/>
    <w:pPr>
      <w:pBdr>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896">
    <w:name w:val="xl52896"/>
    <w:basedOn w:val="a"/>
    <w:rsid w:val="00EF2957"/>
    <w:pPr>
      <w:pBdr>
        <w:right w:val="single" w:sz="4" w:space="0" w:color="auto"/>
      </w:pBdr>
      <w:spacing w:before="100" w:beforeAutospacing="1" w:after="100" w:afterAutospacing="1"/>
      <w:jc w:val="center"/>
    </w:pPr>
    <w:rPr>
      <w:rFonts w:ascii="Segoe UI" w:hAnsi="Segoe UI" w:cs="Segoe UI"/>
      <w:sz w:val="16"/>
      <w:szCs w:val="16"/>
    </w:rPr>
  </w:style>
  <w:style w:type="paragraph" w:customStyle="1" w:styleId="xl52897">
    <w:name w:val="xl52897"/>
    <w:basedOn w:val="a"/>
    <w:rsid w:val="00EF2957"/>
    <w:pPr>
      <w:pBdr>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898">
    <w:name w:val="xl52898"/>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99">
    <w:name w:val="xl52899"/>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00">
    <w:name w:val="xl52900"/>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01">
    <w:name w:val="xl52901"/>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02">
    <w:name w:val="xl52902"/>
    <w:basedOn w:val="a"/>
    <w:rsid w:val="00EF2957"/>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3">
    <w:name w:val="xl52903"/>
    <w:basedOn w:val="a"/>
    <w:rsid w:val="00EF2957"/>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4">
    <w:name w:val="xl52904"/>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5">
    <w:name w:val="xl52905"/>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6">
    <w:name w:val="xl52906"/>
    <w:basedOn w:val="a"/>
    <w:rsid w:val="00EF2957"/>
    <w:pPr>
      <w:pBdr>
        <w:lef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07">
    <w:name w:val="xl52907"/>
    <w:basedOn w:val="a"/>
    <w:rsid w:val="00EF2957"/>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8">
    <w:name w:val="xl52908"/>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9">
    <w:name w:val="xl52909"/>
    <w:basedOn w:val="a"/>
    <w:rsid w:val="00EF2957"/>
    <w:pPr>
      <w:pBdr>
        <w:lef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10">
    <w:name w:val="xl52910"/>
    <w:basedOn w:val="a"/>
    <w:rsid w:val="00EF2957"/>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11">
    <w:name w:val="xl52911"/>
    <w:basedOn w:val="a"/>
    <w:rsid w:val="00EF2957"/>
    <w:pPr>
      <w:pBdr>
        <w:left w:val="single" w:sz="8" w:space="0" w:color="auto"/>
      </w:pBdr>
      <w:spacing w:before="100" w:beforeAutospacing="1" w:after="100" w:afterAutospacing="1"/>
      <w:jc w:val="center"/>
    </w:pPr>
    <w:rPr>
      <w:rFonts w:ascii="Segoe UI" w:hAnsi="Segoe UI" w:cs="Segoe UI"/>
      <w:sz w:val="16"/>
      <w:szCs w:val="16"/>
    </w:rPr>
  </w:style>
  <w:style w:type="paragraph" w:customStyle="1" w:styleId="xl52912">
    <w:name w:val="xl52912"/>
    <w:basedOn w:val="a"/>
    <w:rsid w:val="00EF2957"/>
    <w:pPr>
      <w:pBdr>
        <w:left w:val="single" w:sz="8" w:space="0" w:color="auto"/>
      </w:pBdr>
      <w:spacing w:before="100" w:beforeAutospacing="1" w:after="100" w:afterAutospacing="1"/>
      <w:jc w:val="center"/>
    </w:pPr>
    <w:rPr>
      <w:rFonts w:ascii="Segoe UI" w:hAnsi="Segoe UI" w:cs="Segoe UI"/>
      <w:b/>
      <w:bCs/>
      <w:sz w:val="16"/>
      <w:szCs w:val="16"/>
    </w:rPr>
  </w:style>
  <w:style w:type="paragraph" w:customStyle="1" w:styleId="xl52913">
    <w:name w:val="xl52913"/>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14">
    <w:name w:val="xl52914"/>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15">
    <w:name w:val="xl52915"/>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16">
    <w:name w:val="xl52916"/>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17">
    <w:name w:val="xl52917"/>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18">
    <w:name w:val="xl52918"/>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19">
    <w:name w:val="xl52919"/>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20">
    <w:name w:val="xl52920"/>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21">
    <w:name w:val="xl52921"/>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22">
    <w:name w:val="xl52922"/>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23">
    <w:name w:val="xl52923"/>
    <w:basedOn w:val="a"/>
    <w:rsid w:val="00EF2957"/>
    <w:pPr>
      <w:pBdr>
        <w:left w:val="single" w:sz="8" w:space="0" w:color="auto"/>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24">
    <w:name w:val="xl52924"/>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25">
    <w:name w:val="xl52925"/>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26">
    <w:name w:val="xl52926"/>
    <w:basedOn w:val="a"/>
    <w:rsid w:val="00EF2957"/>
    <w:pPr>
      <w:pBdr>
        <w:left w:val="single" w:sz="8" w:space="0" w:color="auto"/>
        <w:right w:val="single" w:sz="4" w:space="0" w:color="auto"/>
      </w:pBdr>
      <w:spacing w:before="100" w:beforeAutospacing="1" w:after="100" w:afterAutospacing="1"/>
      <w:jc w:val="center"/>
    </w:pPr>
    <w:rPr>
      <w:rFonts w:ascii="Segoe UI" w:hAnsi="Segoe UI" w:cs="Segoe UI"/>
      <w:sz w:val="16"/>
      <w:szCs w:val="16"/>
    </w:rPr>
  </w:style>
  <w:style w:type="paragraph" w:customStyle="1" w:styleId="xl52927">
    <w:name w:val="xl52927"/>
    <w:basedOn w:val="a"/>
    <w:rsid w:val="00EF2957"/>
    <w:pPr>
      <w:pBdr>
        <w:left w:val="single" w:sz="8" w:space="0" w:color="auto"/>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928">
    <w:name w:val="xl52928"/>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29">
    <w:name w:val="xl52929"/>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0">
    <w:name w:val="xl52930"/>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1">
    <w:name w:val="xl52931"/>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2">
    <w:name w:val="xl52932"/>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33">
    <w:name w:val="xl52933"/>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4">
    <w:name w:val="xl52934"/>
    <w:basedOn w:val="a"/>
    <w:rsid w:val="00EF2957"/>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5">
    <w:name w:val="xl52935"/>
    <w:basedOn w:val="a"/>
    <w:rsid w:val="00EF2957"/>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6">
    <w:name w:val="xl52936"/>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37">
    <w:name w:val="xl52937"/>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38">
    <w:name w:val="xl52938"/>
    <w:basedOn w:val="a"/>
    <w:rsid w:val="00EF2957"/>
    <w:pPr>
      <w:pBdr>
        <w:lef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39">
    <w:name w:val="xl52939"/>
    <w:basedOn w:val="a"/>
    <w:rsid w:val="00EF2957"/>
    <w:pPr>
      <w:pBdr>
        <w:lef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40">
    <w:name w:val="xl52940"/>
    <w:basedOn w:val="a"/>
    <w:rsid w:val="00EF2957"/>
    <w:pPr>
      <w:pBdr>
        <w:left w:val="single" w:sz="4" w:space="0" w:color="auto"/>
      </w:pBdr>
      <w:spacing w:before="100" w:beforeAutospacing="1" w:after="100" w:afterAutospacing="1"/>
      <w:jc w:val="center"/>
    </w:pPr>
    <w:rPr>
      <w:rFonts w:ascii="Segoe UI" w:hAnsi="Segoe UI" w:cs="Segoe UI"/>
      <w:b/>
      <w:bCs/>
      <w:sz w:val="16"/>
      <w:szCs w:val="16"/>
    </w:rPr>
  </w:style>
  <w:style w:type="paragraph" w:customStyle="1" w:styleId="xl52941">
    <w:name w:val="xl52941"/>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42">
    <w:name w:val="xl52942"/>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43">
    <w:name w:val="xl52943"/>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44">
    <w:name w:val="xl52944"/>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45">
    <w:name w:val="xl52945"/>
    <w:basedOn w:val="a"/>
    <w:rsid w:val="00EF2957"/>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46">
    <w:name w:val="xl52946"/>
    <w:basedOn w:val="a"/>
    <w:rsid w:val="00EF2957"/>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47">
    <w:name w:val="xl52947"/>
    <w:basedOn w:val="a"/>
    <w:rsid w:val="00EF2957"/>
    <w:pPr>
      <w:spacing w:before="100" w:beforeAutospacing="1" w:after="100" w:afterAutospacing="1"/>
      <w:jc w:val="center"/>
      <w:textAlignment w:val="center"/>
    </w:pPr>
    <w:rPr>
      <w:rFonts w:ascii="Segoe UI" w:hAnsi="Segoe UI" w:cs="Segoe UI"/>
      <w:sz w:val="16"/>
      <w:szCs w:val="16"/>
    </w:rPr>
  </w:style>
  <w:style w:type="paragraph" w:customStyle="1" w:styleId="xl52948">
    <w:name w:val="xl52948"/>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49">
    <w:name w:val="xl52949"/>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0">
    <w:name w:val="xl52950"/>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1">
    <w:name w:val="xl52951"/>
    <w:basedOn w:val="a"/>
    <w:rsid w:val="00EF2957"/>
    <w:pPr>
      <w:pBdr>
        <w:righ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52">
    <w:name w:val="xl52952"/>
    <w:basedOn w:val="a"/>
    <w:rsid w:val="00EF2957"/>
    <w:pPr>
      <w:pBdr>
        <w:righ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53">
    <w:name w:val="xl52953"/>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4">
    <w:name w:val="xl52954"/>
    <w:basedOn w:val="a"/>
    <w:rsid w:val="00EF2957"/>
    <w:pPr>
      <w:spacing w:before="100" w:beforeAutospacing="1" w:after="100" w:afterAutospacing="1"/>
      <w:jc w:val="center"/>
      <w:textAlignment w:val="center"/>
    </w:pPr>
    <w:rPr>
      <w:rFonts w:ascii="Segoe UI" w:hAnsi="Segoe UI" w:cs="Segoe UI"/>
      <w:b/>
      <w:bCs/>
      <w:sz w:val="16"/>
      <w:szCs w:val="16"/>
    </w:rPr>
  </w:style>
  <w:style w:type="paragraph" w:customStyle="1" w:styleId="xl52955">
    <w:name w:val="xl52955"/>
    <w:basedOn w:val="a"/>
    <w:rsid w:val="00EF2957"/>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56">
    <w:name w:val="xl52956"/>
    <w:basedOn w:val="a"/>
    <w:rsid w:val="00EF2957"/>
    <w:pPr>
      <w:pBdr>
        <w:right w:val="single" w:sz="8" w:space="0" w:color="auto"/>
      </w:pBdr>
      <w:spacing w:before="100" w:beforeAutospacing="1" w:after="100" w:afterAutospacing="1"/>
      <w:jc w:val="center"/>
    </w:pPr>
    <w:rPr>
      <w:rFonts w:ascii="Segoe UI" w:hAnsi="Segoe UI" w:cs="Segoe UI"/>
      <w:sz w:val="16"/>
      <w:szCs w:val="16"/>
    </w:rPr>
  </w:style>
  <w:style w:type="paragraph" w:customStyle="1" w:styleId="xl52957">
    <w:name w:val="xl52957"/>
    <w:basedOn w:val="a"/>
    <w:rsid w:val="00EF2957"/>
    <w:pPr>
      <w:spacing w:before="100" w:beforeAutospacing="1" w:after="100" w:afterAutospacing="1"/>
      <w:jc w:val="center"/>
    </w:pPr>
    <w:rPr>
      <w:rFonts w:ascii="Segoe UI" w:hAnsi="Segoe UI" w:cs="Segoe UI"/>
      <w:sz w:val="16"/>
      <w:szCs w:val="16"/>
    </w:rPr>
  </w:style>
  <w:style w:type="paragraph" w:customStyle="1" w:styleId="xl52958">
    <w:name w:val="xl52958"/>
    <w:basedOn w:val="a"/>
    <w:rsid w:val="00EF2957"/>
    <w:pPr>
      <w:pBdr>
        <w:right w:val="single" w:sz="8" w:space="0" w:color="auto"/>
      </w:pBdr>
      <w:spacing w:before="100" w:beforeAutospacing="1" w:after="100" w:afterAutospacing="1"/>
      <w:jc w:val="center"/>
    </w:pPr>
    <w:rPr>
      <w:rFonts w:ascii="Segoe UI" w:hAnsi="Segoe UI" w:cs="Segoe UI"/>
      <w:b/>
      <w:bCs/>
      <w:sz w:val="16"/>
      <w:szCs w:val="16"/>
    </w:rPr>
  </w:style>
  <w:style w:type="paragraph" w:customStyle="1" w:styleId="xl52959">
    <w:name w:val="xl52959"/>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60">
    <w:name w:val="xl52960"/>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1">
    <w:name w:val="xl52961"/>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62">
    <w:name w:val="xl52962"/>
    <w:basedOn w:val="a"/>
    <w:rsid w:val="00EF2957"/>
    <w:pPr>
      <w:pBdr>
        <w:top w:val="single" w:sz="8" w:space="0" w:color="auto"/>
        <w:bottom w:val="single" w:sz="8" w:space="0" w:color="auto"/>
      </w:pBd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963">
    <w:name w:val="xl52963"/>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64">
    <w:name w:val="xl52964"/>
    <w:basedOn w:val="a"/>
    <w:rsid w:val="00EF2957"/>
    <w:pP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5">
    <w:name w:val="xl52965"/>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6">
    <w:name w:val="xl52966"/>
    <w:basedOn w:val="a"/>
    <w:rsid w:val="00EF2957"/>
    <w:pPr>
      <w:spacing w:before="100" w:beforeAutospacing="1" w:after="100" w:afterAutospacing="1"/>
      <w:jc w:val="center"/>
      <w:textAlignment w:val="center"/>
    </w:pPr>
    <w:rPr>
      <w:rFonts w:ascii="Segoe UI" w:hAnsi="Segoe UI" w:cs="Segoe UI"/>
      <w:sz w:val="16"/>
      <w:szCs w:val="16"/>
    </w:rPr>
  </w:style>
  <w:style w:type="paragraph" w:customStyle="1" w:styleId="xl52967">
    <w:name w:val="xl52967"/>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68">
    <w:name w:val="xl52968"/>
    <w:basedOn w:val="a"/>
    <w:rsid w:val="00EF2957"/>
    <w:pP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69">
    <w:name w:val="xl52969"/>
    <w:basedOn w:val="a"/>
    <w:rsid w:val="00EF2957"/>
    <w:pPr>
      <w:spacing w:before="100" w:beforeAutospacing="1" w:after="100" w:afterAutospacing="1"/>
      <w:jc w:val="center"/>
    </w:pPr>
    <w:rPr>
      <w:rFonts w:ascii="Segoe UI" w:hAnsi="Segoe UI" w:cs="Segoe UI"/>
      <w:b/>
      <w:bCs/>
      <w:sz w:val="16"/>
      <w:szCs w:val="16"/>
    </w:rPr>
  </w:style>
  <w:style w:type="paragraph" w:customStyle="1" w:styleId="xl52970">
    <w:name w:val="xl52970"/>
    <w:basedOn w:val="a"/>
    <w:rsid w:val="00EF2957"/>
    <w:pP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71">
    <w:name w:val="xl52971"/>
    <w:basedOn w:val="a"/>
    <w:rsid w:val="00EF2957"/>
    <w:pPr>
      <w:shd w:val="clear" w:color="000000" w:fill="FFFFFF"/>
      <w:spacing w:before="100" w:beforeAutospacing="1" w:after="100" w:afterAutospacing="1"/>
      <w:jc w:val="center"/>
    </w:pPr>
    <w:rPr>
      <w:rFonts w:ascii="Segoe UI" w:hAnsi="Segoe UI" w:cs="Segoe UI"/>
      <w:b/>
      <w:bCs/>
      <w:sz w:val="16"/>
      <w:szCs w:val="16"/>
    </w:rPr>
  </w:style>
  <w:style w:type="paragraph" w:customStyle="1" w:styleId="xl52972">
    <w:name w:val="xl52972"/>
    <w:basedOn w:val="a"/>
    <w:rsid w:val="00EF2957"/>
    <w:pP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73">
    <w:name w:val="xl52973"/>
    <w:basedOn w:val="a"/>
    <w:rsid w:val="00EF2957"/>
    <w:pPr>
      <w:pBdr>
        <w:bottom w:val="single" w:sz="8" w:space="0" w:color="auto"/>
      </w:pBd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974">
    <w:name w:val="xl52974"/>
    <w:basedOn w:val="a"/>
    <w:rsid w:val="00EF2957"/>
    <w:pPr>
      <w:spacing w:before="100" w:beforeAutospacing="1" w:after="100" w:afterAutospacing="1"/>
      <w:jc w:val="center"/>
      <w:textAlignment w:val="center"/>
    </w:pPr>
    <w:rPr>
      <w:rFonts w:ascii="Segoe UI" w:hAnsi="Segoe UI" w:cs="Segoe UI"/>
      <w:color w:val="FFFFFF"/>
      <w:sz w:val="16"/>
      <w:szCs w:val="16"/>
    </w:rPr>
  </w:style>
  <w:style w:type="paragraph" w:customStyle="1" w:styleId="xl52975">
    <w:name w:val="xl52975"/>
    <w:basedOn w:val="a"/>
    <w:rsid w:val="00EF2957"/>
    <w:pPr>
      <w:pBdr>
        <w:top w:val="single" w:sz="8" w:space="0" w:color="auto"/>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6">
    <w:name w:val="xl52976"/>
    <w:basedOn w:val="a"/>
    <w:rsid w:val="00EF2957"/>
    <w:pPr>
      <w:pBdr>
        <w:top w:val="single" w:sz="8" w:space="0" w:color="auto"/>
        <w:left w:val="single" w:sz="4"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7">
    <w:name w:val="xl52977"/>
    <w:basedOn w:val="a"/>
    <w:rsid w:val="00EF2957"/>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8">
    <w:name w:val="xl52978"/>
    <w:basedOn w:val="a"/>
    <w:rsid w:val="00EF2957"/>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79">
    <w:name w:val="xl52979"/>
    <w:basedOn w:val="a"/>
    <w:rsid w:val="00EF2957"/>
    <w:pPr>
      <w:pBdr>
        <w:top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0">
    <w:name w:val="xl52980"/>
    <w:basedOn w:val="a"/>
    <w:rsid w:val="00EF2957"/>
    <w:pPr>
      <w:pBdr>
        <w:top w:val="single" w:sz="8" w:space="0" w:color="auto"/>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1">
    <w:name w:val="xl52981"/>
    <w:basedOn w:val="a"/>
    <w:rsid w:val="00EF2957"/>
    <w:pPr>
      <w:pBdr>
        <w:top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82">
    <w:name w:val="xl52982"/>
    <w:basedOn w:val="a"/>
    <w:rsid w:val="00EF2957"/>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3">
    <w:name w:val="xl52983"/>
    <w:basedOn w:val="a"/>
    <w:rsid w:val="00EF2957"/>
    <w:pPr>
      <w:pBdr>
        <w:righ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84">
    <w:name w:val="xl52984"/>
    <w:basedOn w:val="a"/>
    <w:rsid w:val="00EF2957"/>
    <w:pPr>
      <w:pBdr>
        <w:left w:val="single" w:sz="8" w:space="0" w:color="auto"/>
      </w:pBdr>
      <w:shd w:val="clear" w:color="000000" w:fill="A5A5A5"/>
      <w:spacing w:before="100" w:beforeAutospacing="1" w:after="100" w:afterAutospacing="1"/>
    </w:pPr>
    <w:rPr>
      <w:rFonts w:ascii="Segoe UI" w:hAnsi="Segoe UI" w:cs="Segoe UI"/>
      <w:b/>
      <w:bCs/>
      <w:sz w:val="16"/>
      <w:szCs w:val="16"/>
    </w:rPr>
  </w:style>
  <w:style w:type="paragraph" w:customStyle="1" w:styleId="xl52985">
    <w:name w:val="xl52985"/>
    <w:basedOn w:val="a"/>
    <w:rsid w:val="00EF2957"/>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6">
    <w:name w:val="xl52986"/>
    <w:basedOn w:val="a"/>
    <w:rsid w:val="00EF2957"/>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7">
    <w:name w:val="xl52987"/>
    <w:basedOn w:val="a"/>
    <w:rsid w:val="00EF2957"/>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8">
    <w:name w:val="xl52988"/>
    <w:basedOn w:val="a"/>
    <w:rsid w:val="00EF2957"/>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9">
    <w:name w:val="xl52989"/>
    <w:basedOn w:val="a"/>
    <w:rsid w:val="00EF2957"/>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0">
    <w:name w:val="xl52990"/>
    <w:basedOn w:val="a"/>
    <w:rsid w:val="00EF2957"/>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1">
    <w:name w:val="xl52991"/>
    <w:basedOn w:val="a"/>
    <w:rsid w:val="00EF2957"/>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2">
    <w:name w:val="xl52992"/>
    <w:basedOn w:val="a"/>
    <w:rsid w:val="00EF2957"/>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3">
    <w:name w:val="xl52993"/>
    <w:basedOn w:val="a"/>
    <w:rsid w:val="00EF2957"/>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4">
    <w:name w:val="xl52994"/>
    <w:basedOn w:val="a"/>
    <w:rsid w:val="00EF2957"/>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5">
    <w:name w:val="xl52995"/>
    <w:basedOn w:val="a"/>
    <w:rsid w:val="00EF2957"/>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6">
    <w:name w:val="xl52996"/>
    <w:basedOn w:val="a"/>
    <w:rsid w:val="00EF2957"/>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7">
    <w:name w:val="xl52997"/>
    <w:basedOn w:val="a"/>
    <w:rsid w:val="00EF2957"/>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8">
    <w:name w:val="xl52998"/>
    <w:basedOn w:val="a"/>
    <w:rsid w:val="00EF2957"/>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9">
    <w:name w:val="xl52999"/>
    <w:basedOn w:val="a"/>
    <w:rsid w:val="00EF2957"/>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0">
    <w:name w:val="xl53000"/>
    <w:basedOn w:val="a"/>
    <w:rsid w:val="00EF2957"/>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1">
    <w:name w:val="xl53001"/>
    <w:basedOn w:val="a"/>
    <w:rsid w:val="00EF2957"/>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2">
    <w:name w:val="xl53002"/>
    <w:basedOn w:val="a"/>
    <w:rsid w:val="00EF2957"/>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3">
    <w:name w:val="xl53003"/>
    <w:basedOn w:val="a"/>
    <w:rsid w:val="00EF2957"/>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4">
    <w:name w:val="xl53004"/>
    <w:basedOn w:val="a"/>
    <w:rsid w:val="00EF2957"/>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5">
    <w:name w:val="xl53005"/>
    <w:basedOn w:val="a"/>
    <w:rsid w:val="00EF2957"/>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6">
    <w:name w:val="xl53006"/>
    <w:basedOn w:val="a"/>
    <w:rsid w:val="00EF2957"/>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7">
    <w:name w:val="xl53007"/>
    <w:basedOn w:val="a"/>
    <w:rsid w:val="00EF2957"/>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8">
    <w:name w:val="xl53008"/>
    <w:basedOn w:val="a"/>
    <w:rsid w:val="00EF2957"/>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9">
    <w:name w:val="xl53009"/>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0">
    <w:name w:val="xl53010"/>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1">
    <w:name w:val="xl53011"/>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2">
    <w:name w:val="xl53012"/>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3">
    <w:name w:val="xl53013"/>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4">
    <w:name w:val="xl53014"/>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5">
    <w:name w:val="xl53015"/>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6">
    <w:name w:val="xl53016"/>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7">
    <w:name w:val="xl53017"/>
    <w:basedOn w:val="a"/>
    <w:rsid w:val="00EF2957"/>
    <w:pPr>
      <w:pBdr>
        <w:left w:val="single" w:sz="8" w:space="0" w:color="auto"/>
        <w:bottom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3018">
    <w:name w:val="xl53018"/>
    <w:basedOn w:val="a"/>
    <w:rsid w:val="00EF2957"/>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9">
    <w:name w:val="xl53019"/>
    <w:basedOn w:val="a"/>
    <w:rsid w:val="00EF295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0">
    <w:name w:val="xl53020"/>
    <w:basedOn w:val="a"/>
    <w:rsid w:val="00EF2957"/>
    <w:pPr>
      <w:pBdr>
        <w:left w:val="single" w:sz="4"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1">
    <w:name w:val="xl53021"/>
    <w:basedOn w:val="a"/>
    <w:rsid w:val="00EF295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2">
    <w:name w:val="xl53022"/>
    <w:basedOn w:val="a"/>
    <w:rsid w:val="00EF2957"/>
    <w:pPr>
      <w:pBdr>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3">
    <w:name w:val="xl53023"/>
    <w:basedOn w:val="a"/>
    <w:rsid w:val="00EF2957"/>
    <w:pPr>
      <w:pBdr>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4">
    <w:name w:val="xl53024"/>
    <w:basedOn w:val="a"/>
    <w:rsid w:val="00EF2957"/>
    <w:pPr>
      <w:pBdr>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5">
    <w:name w:val="xl53025"/>
    <w:basedOn w:val="a"/>
    <w:rsid w:val="00EF2957"/>
    <w:pPr>
      <w:pBdr>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6">
    <w:name w:val="xl53026"/>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3027">
    <w:name w:val="xl53027"/>
    <w:basedOn w:val="a"/>
    <w:rsid w:val="00EF2957"/>
    <w:pPr>
      <w:pBdr>
        <w:left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53028">
    <w:name w:val="xl53028"/>
    <w:basedOn w:val="a"/>
    <w:rsid w:val="00EF2957"/>
    <w:pPr>
      <w:pBdr>
        <w:left w:val="single" w:sz="8" w:space="0" w:color="auto"/>
      </w:pBdr>
      <w:spacing w:before="100" w:beforeAutospacing="1" w:after="100" w:afterAutospacing="1"/>
      <w:textAlignment w:val="center"/>
    </w:pPr>
    <w:rPr>
      <w:rFonts w:ascii="Segoe UI" w:hAnsi="Segoe UI" w:cs="Segoe UI"/>
      <w:color w:val="FFFFFF"/>
      <w:sz w:val="16"/>
      <w:szCs w:val="16"/>
    </w:rPr>
  </w:style>
  <w:style w:type="paragraph" w:customStyle="1" w:styleId="xl53029">
    <w:name w:val="xl53029"/>
    <w:basedOn w:val="a"/>
    <w:rsid w:val="00EF2957"/>
    <w:pPr>
      <w:pBdr>
        <w:lef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3030">
    <w:name w:val="xl53030"/>
    <w:basedOn w:val="a"/>
    <w:rsid w:val="00EF2957"/>
    <w:pPr>
      <w:spacing w:before="100" w:beforeAutospacing="1" w:after="100" w:afterAutospacing="1"/>
      <w:textAlignment w:val="center"/>
    </w:pPr>
    <w:rPr>
      <w:rFonts w:ascii="Segoe UI" w:hAnsi="Segoe UI" w:cs="Segoe UI"/>
      <w:color w:val="FFFFFF"/>
      <w:sz w:val="16"/>
      <w:szCs w:val="16"/>
    </w:rPr>
  </w:style>
  <w:style w:type="paragraph" w:customStyle="1" w:styleId="xl53031">
    <w:name w:val="xl53031"/>
    <w:basedOn w:val="a"/>
    <w:rsid w:val="00EF295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32">
    <w:name w:val="xl53032"/>
    <w:basedOn w:val="a"/>
    <w:rsid w:val="00EF295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33">
    <w:name w:val="xl53033"/>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color w:val="FF0000"/>
      <w:sz w:val="16"/>
      <w:szCs w:val="16"/>
    </w:rPr>
  </w:style>
  <w:style w:type="paragraph" w:customStyle="1" w:styleId="xl53034">
    <w:name w:val="xl53034"/>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color w:val="FF0000"/>
      <w:sz w:val="16"/>
      <w:szCs w:val="16"/>
    </w:rPr>
  </w:style>
  <w:style w:type="paragraph" w:customStyle="1" w:styleId="xl53035">
    <w:name w:val="xl53035"/>
    <w:basedOn w:val="a"/>
    <w:rsid w:val="00EF2957"/>
    <w:pPr>
      <w:pBdr>
        <w:top w:val="single" w:sz="8" w:space="0" w:color="auto"/>
      </w:pBdr>
      <w:shd w:val="clear" w:color="000000" w:fill="272727"/>
      <w:spacing w:before="100" w:beforeAutospacing="1" w:after="100" w:afterAutospacing="1"/>
      <w:textAlignment w:val="center"/>
    </w:pPr>
    <w:rPr>
      <w:rFonts w:ascii="Segoe UI" w:hAnsi="Segoe UI" w:cs="Segoe UI"/>
      <w:b/>
      <w:bCs/>
      <w:color w:val="FFFFFF"/>
      <w:sz w:val="16"/>
      <w:szCs w:val="16"/>
    </w:rPr>
  </w:style>
  <w:style w:type="paragraph" w:customStyle="1" w:styleId="xl53036">
    <w:name w:val="xl53036"/>
    <w:basedOn w:val="a"/>
    <w:rsid w:val="00EF2957"/>
    <w:pPr>
      <w:shd w:val="clear" w:color="000000" w:fill="272727"/>
      <w:spacing w:before="100" w:beforeAutospacing="1" w:after="100" w:afterAutospacing="1"/>
      <w:textAlignment w:val="center"/>
    </w:pPr>
    <w:rPr>
      <w:rFonts w:ascii="Segoe UI" w:hAnsi="Segoe UI" w:cs="Segoe UI"/>
      <w:b/>
      <w:bCs/>
      <w:color w:val="FFFFFF"/>
      <w:sz w:val="16"/>
      <w:szCs w:val="16"/>
    </w:rPr>
  </w:style>
  <w:style w:type="paragraph" w:customStyle="1" w:styleId="xl53037">
    <w:name w:val="xl53037"/>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3038">
    <w:name w:val="xl53038"/>
    <w:basedOn w:val="a"/>
    <w:rsid w:val="00EF2957"/>
    <w:pPr>
      <w:pBdr>
        <w:top w:val="single" w:sz="8" w:space="0" w:color="auto"/>
        <w:left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39">
    <w:name w:val="xl53039"/>
    <w:basedOn w:val="a"/>
    <w:rsid w:val="00EF2957"/>
    <w:pPr>
      <w:pBdr>
        <w:top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0">
    <w:name w:val="xl53040"/>
    <w:basedOn w:val="a"/>
    <w:rsid w:val="00EF2957"/>
    <w:pPr>
      <w:pBdr>
        <w:left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1">
    <w:name w:val="xl53041"/>
    <w:basedOn w:val="a"/>
    <w:rsid w:val="00EF2957"/>
    <w:pP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2">
    <w:name w:val="xl53042"/>
    <w:basedOn w:val="a"/>
    <w:rsid w:val="00EF2957"/>
    <w:pPr>
      <w:pBdr>
        <w:top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43">
    <w:name w:val="xl53043"/>
    <w:basedOn w:val="a"/>
    <w:rsid w:val="00EF2957"/>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44">
    <w:name w:val="xl53044"/>
    <w:basedOn w:val="a"/>
    <w:rsid w:val="00EF2957"/>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sz w:val="16"/>
      <w:szCs w:val="16"/>
    </w:rPr>
  </w:style>
  <w:style w:type="paragraph" w:customStyle="1" w:styleId="xl53045">
    <w:name w:val="xl53045"/>
    <w:basedOn w:val="a"/>
    <w:rsid w:val="00EF2957"/>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sz w:val="16"/>
      <w:szCs w:val="16"/>
    </w:rPr>
  </w:style>
  <w:style w:type="paragraph" w:customStyle="1" w:styleId="xl53046">
    <w:name w:val="xl53046"/>
    <w:basedOn w:val="a"/>
    <w:rsid w:val="00EF2957"/>
    <w:pPr>
      <w:pBdr>
        <w:bottom w:val="single" w:sz="8" w:space="0" w:color="auto"/>
      </w:pBdr>
      <w:spacing w:before="100" w:beforeAutospacing="1" w:after="100" w:afterAutospacing="1"/>
      <w:textAlignment w:val="center"/>
    </w:pPr>
    <w:rPr>
      <w:rFonts w:ascii="Segoe UI" w:hAnsi="Segoe UI" w:cs="Segoe UI"/>
      <w:i/>
      <w:iCs/>
      <w:sz w:val="16"/>
      <w:szCs w:val="16"/>
    </w:rPr>
  </w:style>
  <w:style w:type="paragraph" w:customStyle="1" w:styleId="xl53047">
    <w:name w:val="xl53047"/>
    <w:basedOn w:val="a"/>
    <w:rsid w:val="00EF2957"/>
    <w:pPr>
      <w:pBdr>
        <w:bottom w:val="single" w:sz="8" w:space="0" w:color="auto"/>
      </w:pBdr>
      <w:spacing w:before="100" w:beforeAutospacing="1" w:after="100" w:afterAutospacing="1"/>
      <w:jc w:val="center"/>
      <w:textAlignment w:val="center"/>
    </w:pPr>
    <w:rPr>
      <w:rFonts w:ascii="Segoe UI" w:hAnsi="Segoe UI" w:cs="Segoe UI"/>
      <w:i/>
      <w:iCs/>
      <w:sz w:val="16"/>
      <w:szCs w:val="16"/>
    </w:rPr>
  </w:style>
  <w:style w:type="paragraph" w:styleId="af6">
    <w:name w:val="Body Text First Indent"/>
    <w:basedOn w:val="a8"/>
    <w:link w:val="Charb"/>
    <w:uiPriority w:val="99"/>
    <w:rsid w:val="00BA4CBC"/>
    <w:pPr>
      <w:spacing w:after="120"/>
      <w:ind w:firstLine="210"/>
      <w:jc w:val="left"/>
    </w:pPr>
    <w:rPr>
      <w:sz w:val="20"/>
      <w:szCs w:val="20"/>
      <w:lang w:eastAsia="en-US"/>
    </w:rPr>
  </w:style>
  <w:style w:type="character" w:customStyle="1" w:styleId="Charb">
    <w:name w:val="Σώμα κείμενου Πρώτη Εσοχή Char"/>
    <w:basedOn w:val="Char2"/>
    <w:link w:val="af6"/>
    <w:uiPriority w:val="99"/>
    <w:rsid w:val="00BA4CBC"/>
    <w:rPr>
      <w:sz w:val="22"/>
      <w:szCs w:val="22"/>
      <w:lang w:eastAsia="en-US"/>
    </w:rPr>
  </w:style>
  <w:style w:type="paragraph" w:styleId="af7">
    <w:name w:val="Revision"/>
    <w:hidden/>
    <w:uiPriority w:val="99"/>
    <w:semiHidden/>
    <w:rsid w:val="00700C67"/>
    <w:rPr>
      <w:sz w:val="24"/>
      <w:szCs w:val="24"/>
    </w:rPr>
  </w:style>
  <w:style w:type="paragraph" w:customStyle="1" w:styleId="xl123">
    <w:name w:val="xl123"/>
    <w:basedOn w:val="a"/>
    <w:rsid w:val="009566E0"/>
    <w:pPr>
      <w:shd w:val="clear" w:color="000000" w:fill="FFFFFF"/>
      <w:spacing w:before="100" w:beforeAutospacing="1" w:after="100" w:afterAutospacing="1"/>
    </w:pPr>
    <w:rPr>
      <w:rFonts w:ascii="Arial Narrow" w:hAnsi="Arial Narrow"/>
    </w:rPr>
  </w:style>
  <w:style w:type="paragraph" w:customStyle="1" w:styleId="xl124">
    <w:name w:val="xl124"/>
    <w:basedOn w:val="a"/>
    <w:rsid w:val="00956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i/>
      <w:iCs/>
      <w:sz w:val="16"/>
      <w:szCs w:val="16"/>
    </w:rPr>
  </w:style>
  <w:style w:type="paragraph" w:customStyle="1" w:styleId="xl125">
    <w:name w:val="xl125"/>
    <w:basedOn w:val="a"/>
    <w:rsid w:val="00956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i/>
      <w:iCs/>
      <w:sz w:val="16"/>
      <w:szCs w:val="16"/>
    </w:rPr>
  </w:style>
  <w:style w:type="paragraph" w:customStyle="1" w:styleId="xl126">
    <w:name w:val="xl126"/>
    <w:basedOn w:val="a"/>
    <w:rsid w:val="00956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sz w:val="16"/>
      <w:szCs w:val="16"/>
    </w:rPr>
  </w:style>
  <w:style w:type="paragraph" w:customStyle="1" w:styleId="xl127">
    <w:name w:val="xl127"/>
    <w:basedOn w:val="a"/>
    <w:rsid w:val="009566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i/>
      <w:iCs/>
      <w:sz w:val="16"/>
      <w:szCs w:val="16"/>
    </w:rPr>
  </w:style>
  <w:style w:type="paragraph" w:customStyle="1" w:styleId="xl128">
    <w:name w:val="xl128"/>
    <w:basedOn w:val="a"/>
    <w:rsid w:val="00956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129">
    <w:name w:val="xl129"/>
    <w:basedOn w:val="a"/>
    <w:rsid w:val="009566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i/>
      <w:iCs/>
      <w:sz w:val="16"/>
      <w:szCs w:val="16"/>
    </w:rPr>
  </w:style>
  <w:style w:type="paragraph" w:customStyle="1" w:styleId="xl130">
    <w:name w:val="xl130"/>
    <w:basedOn w:val="a"/>
    <w:rsid w:val="00956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131">
    <w:name w:val="xl131"/>
    <w:basedOn w:val="a"/>
    <w:rsid w:val="00956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53071">
    <w:name w:val="xl53071"/>
    <w:basedOn w:val="a"/>
    <w:rsid w:val="00013A09"/>
    <w:pPr>
      <w:spacing w:before="100" w:beforeAutospacing="1" w:after="100" w:afterAutospacing="1"/>
    </w:pPr>
    <w:rPr>
      <w:rFonts w:ascii="Calibri" w:hAnsi="Calibri"/>
      <w:color w:val="000000"/>
    </w:rPr>
  </w:style>
  <w:style w:type="paragraph" w:customStyle="1" w:styleId="xl53072">
    <w:name w:val="xl53072"/>
    <w:basedOn w:val="a"/>
    <w:rsid w:val="00013A09"/>
    <w:pPr>
      <w:spacing w:before="100" w:beforeAutospacing="1" w:after="100" w:afterAutospacing="1"/>
    </w:pPr>
    <w:rPr>
      <w:rFonts w:ascii="Calibri" w:hAnsi="Calibri"/>
      <w:b/>
      <w:bCs/>
      <w:color w:val="000000"/>
    </w:rPr>
  </w:style>
  <w:style w:type="paragraph" w:customStyle="1" w:styleId="xl53073">
    <w:name w:val="xl53073"/>
    <w:basedOn w:val="a"/>
    <w:rsid w:val="00013A09"/>
    <w:pPr>
      <w:spacing w:before="100" w:beforeAutospacing="1" w:after="100" w:afterAutospacing="1"/>
      <w:textAlignment w:val="center"/>
    </w:pPr>
    <w:rPr>
      <w:rFonts w:ascii="Calibri" w:hAnsi="Calibri"/>
      <w:color w:val="000000"/>
    </w:rPr>
  </w:style>
  <w:style w:type="paragraph" w:customStyle="1" w:styleId="xl53074">
    <w:name w:val="xl53074"/>
    <w:basedOn w:val="a"/>
    <w:rsid w:val="00013A09"/>
    <w:pPr>
      <w:pBdr>
        <w:top w:val="single" w:sz="8" w:space="0" w:color="auto"/>
        <w:left w:val="single" w:sz="8" w:space="0" w:color="auto"/>
        <w:bottom w:val="single" w:sz="8" w:space="0" w:color="auto"/>
      </w:pBdr>
      <w:shd w:val="clear" w:color="000000" w:fill="D8D8D8"/>
      <w:spacing w:before="100" w:beforeAutospacing="1" w:after="100" w:afterAutospacing="1"/>
      <w:jc w:val="center"/>
      <w:textAlignment w:val="center"/>
    </w:pPr>
    <w:rPr>
      <w:rFonts w:ascii="Arial Narrow" w:hAnsi="Arial Narrow"/>
    </w:rPr>
  </w:style>
  <w:style w:type="paragraph" w:customStyle="1" w:styleId="xl53075">
    <w:name w:val="xl53075"/>
    <w:basedOn w:val="a"/>
    <w:rsid w:val="00013A09"/>
    <w:pPr>
      <w:pBdr>
        <w:top w:val="single" w:sz="8" w:space="0" w:color="auto"/>
        <w:bottom w:val="single" w:sz="8" w:space="0" w:color="auto"/>
      </w:pBdr>
      <w:shd w:val="clear" w:color="000000" w:fill="D8D8D8"/>
      <w:spacing w:before="100" w:beforeAutospacing="1" w:after="100" w:afterAutospacing="1"/>
      <w:jc w:val="center"/>
      <w:textAlignment w:val="center"/>
    </w:pPr>
    <w:rPr>
      <w:rFonts w:ascii="Arial Narrow" w:hAnsi="Arial Narrow"/>
    </w:rPr>
  </w:style>
  <w:style w:type="paragraph" w:customStyle="1" w:styleId="xl53076">
    <w:name w:val="xl53076"/>
    <w:basedOn w:val="a"/>
    <w:rsid w:val="00013A09"/>
    <w:pPr>
      <w:spacing w:before="100" w:beforeAutospacing="1" w:after="100" w:afterAutospacing="1"/>
      <w:jc w:val="center"/>
      <w:textAlignment w:val="center"/>
    </w:pPr>
    <w:rPr>
      <w:rFonts w:ascii="Arial Narrow" w:hAnsi="Arial Narrow"/>
      <w:b/>
      <w:bCs/>
      <w:color w:val="0000FF"/>
      <w:sz w:val="16"/>
      <w:szCs w:val="16"/>
    </w:rPr>
  </w:style>
  <w:style w:type="paragraph" w:customStyle="1" w:styleId="xl53077">
    <w:name w:val="xl53077"/>
    <w:basedOn w:val="a"/>
    <w:rsid w:val="00013A09"/>
    <w:pP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53078">
    <w:name w:val="xl53078"/>
    <w:basedOn w:val="a"/>
    <w:rsid w:val="00013A09"/>
    <w:pP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53079">
    <w:name w:val="xl53079"/>
    <w:basedOn w:val="a"/>
    <w:rsid w:val="00013A09"/>
    <w:pPr>
      <w:spacing w:before="100" w:beforeAutospacing="1" w:after="100" w:afterAutospacing="1"/>
      <w:textAlignment w:val="center"/>
    </w:pPr>
    <w:rPr>
      <w:rFonts w:ascii="Arial Narrow" w:hAnsi="Arial Narrow"/>
      <w:b/>
      <w:bCs/>
      <w:sz w:val="16"/>
      <w:szCs w:val="16"/>
    </w:rPr>
  </w:style>
  <w:style w:type="paragraph" w:customStyle="1" w:styleId="xl53080">
    <w:name w:val="xl53080"/>
    <w:basedOn w:val="a"/>
    <w:rsid w:val="00013A09"/>
    <w:pPr>
      <w:spacing w:before="100" w:beforeAutospacing="1" w:after="100" w:afterAutospacing="1"/>
      <w:jc w:val="center"/>
      <w:textAlignment w:val="center"/>
    </w:pPr>
    <w:rPr>
      <w:rFonts w:ascii="Arial Narrow" w:hAnsi="Arial Narrow"/>
      <w:b/>
      <w:bCs/>
      <w:sz w:val="16"/>
      <w:szCs w:val="16"/>
    </w:rPr>
  </w:style>
  <w:style w:type="paragraph" w:customStyle="1" w:styleId="xl53081">
    <w:name w:val="xl53081"/>
    <w:basedOn w:val="a"/>
    <w:rsid w:val="00013A09"/>
    <w:pPr>
      <w:spacing w:before="100" w:beforeAutospacing="1" w:after="100" w:afterAutospacing="1"/>
      <w:textAlignment w:val="center"/>
    </w:pPr>
    <w:rPr>
      <w:rFonts w:ascii="Arial Narrow" w:hAnsi="Arial Narrow"/>
      <w:sz w:val="16"/>
      <w:szCs w:val="16"/>
    </w:rPr>
  </w:style>
  <w:style w:type="paragraph" w:customStyle="1" w:styleId="xl53082">
    <w:name w:val="xl53082"/>
    <w:basedOn w:val="a"/>
    <w:rsid w:val="00013A09"/>
    <w:pPr>
      <w:spacing w:before="100" w:beforeAutospacing="1" w:after="100" w:afterAutospacing="1"/>
      <w:jc w:val="center"/>
      <w:textAlignment w:val="center"/>
    </w:pPr>
    <w:rPr>
      <w:rFonts w:ascii="Arial Narrow" w:hAnsi="Arial Narrow"/>
      <w:sz w:val="16"/>
      <w:szCs w:val="16"/>
    </w:rPr>
  </w:style>
  <w:style w:type="paragraph" w:customStyle="1" w:styleId="xl53083">
    <w:name w:val="xl53083"/>
    <w:basedOn w:val="a"/>
    <w:rsid w:val="00013A09"/>
    <w:pPr>
      <w:spacing w:before="100" w:beforeAutospacing="1" w:after="100" w:afterAutospacing="1"/>
      <w:jc w:val="center"/>
      <w:textAlignment w:val="center"/>
    </w:pPr>
    <w:rPr>
      <w:rFonts w:ascii="Arial Narrow" w:hAnsi="Arial Narrow"/>
      <w:b/>
      <w:bCs/>
      <w:sz w:val="16"/>
      <w:szCs w:val="16"/>
    </w:rPr>
  </w:style>
  <w:style w:type="paragraph" w:customStyle="1" w:styleId="xl53084">
    <w:name w:val="xl53084"/>
    <w:basedOn w:val="a"/>
    <w:rsid w:val="00013A09"/>
    <w:pPr>
      <w:spacing w:before="100" w:beforeAutospacing="1" w:after="100" w:afterAutospacing="1"/>
      <w:textAlignment w:val="center"/>
    </w:pPr>
    <w:rPr>
      <w:rFonts w:ascii="Arial Narrow" w:hAnsi="Arial Narrow"/>
      <w:i/>
      <w:iCs/>
      <w:sz w:val="16"/>
      <w:szCs w:val="16"/>
    </w:rPr>
  </w:style>
  <w:style w:type="paragraph" w:customStyle="1" w:styleId="xl53085">
    <w:name w:val="xl53085"/>
    <w:basedOn w:val="a"/>
    <w:rsid w:val="00013A09"/>
    <w:pPr>
      <w:spacing w:before="100" w:beforeAutospacing="1" w:after="100" w:afterAutospacing="1"/>
      <w:jc w:val="center"/>
      <w:textAlignment w:val="center"/>
    </w:pPr>
    <w:rPr>
      <w:rFonts w:ascii="Arial Narrow" w:hAnsi="Arial Narrow"/>
      <w:i/>
      <w:iCs/>
      <w:sz w:val="16"/>
      <w:szCs w:val="16"/>
    </w:rPr>
  </w:style>
  <w:style w:type="paragraph" w:customStyle="1" w:styleId="xl53086">
    <w:name w:val="xl53086"/>
    <w:basedOn w:val="a"/>
    <w:rsid w:val="00013A09"/>
    <w:pPr>
      <w:spacing w:before="100" w:beforeAutospacing="1" w:after="100" w:afterAutospacing="1"/>
      <w:jc w:val="center"/>
      <w:textAlignment w:val="center"/>
    </w:pPr>
    <w:rPr>
      <w:rFonts w:ascii="Arial Narrow" w:hAnsi="Arial Narrow"/>
      <w:b/>
      <w:bCs/>
      <w:sz w:val="16"/>
      <w:szCs w:val="16"/>
    </w:rPr>
  </w:style>
  <w:style w:type="paragraph" w:customStyle="1" w:styleId="xl53087">
    <w:name w:val="xl53087"/>
    <w:basedOn w:val="a"/>
    <w:rsid w:val="00013A09"/>
    <w:pPr>
      <w:spacing w:before="100" w:beforeAutospacing="1" w:after="100" w:afterAutospacing="1"/>
      <w:jc w:val="center"/>
      <w:textAlignment w:val="center"/>
    </w:pPr>
    <w:rPr>
      <w:rFonts w:ascii="Arial Narrow" w:hAnsi="Arial Narrow"/>
      <w:i/>
      <w:iCs/>
      <w:sz w:val="16"/>
      <w:szCs w:val="16"/>
    </w:rPr>
  </w:style>
  <w:style w:type="paragraph" w:customStyle="1" w:styleId="xl53088">
    <w:name w:val="xl53088"/>
    <w:basedOn w:val="a"/>
    <w:rsid w:val="00013A09"/>
    <w:pPr>
      <w:spacing w:before="100" w:beforeAutospacing="1" w:after="100" w:afterAutospacing="1"/>
      <w:textAlignment w:val="center"/>
    </w:pPr>
    <w:rPr>
      <w:rFonts w:ascii="Arial Narrow" w:hAnsi="Arial Narrow"/>
      <w:b/>
      <w:bCs/>
      <w:i/>
      <w:iCs/>
      <w:sz w:val="16"/>
      <w:szCs w:val="16"/>
    </w:rPr>
  </w:style>
  <w:style w:type="paragraph" w:customStyle="1" w:styleId="xl53089">
    <w:name w:val="xl53089"/>
    <w:basedOn w:val="a"/>
    <w:rsid w:val="00013A09"/>
    <w:pP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53090">
    <w:name w:val="xl53090"/>
    <w:basedOn w:val="a"/>
    <w:rsid w:val="00013A09"/>
    <w:pP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53091">
    <w:name w:val="xl53091"/>
    <w:basedOn w:val="a"/>
    <w:rsid w:val="00013A09"/>
    <w:pP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53092">
    <w:name w:val="xl53092"/>
    <w:basedOn w:val="a"/>
    <w:rsid w:val="00013A09"/>
    <w:pPr>
      <w:spacing w:before="100" w:beforeAutospacing="1" w:after="100" w:afterAutospacing="1"/>
      <w:jc w:val="center"/>
      <w:textAlignment w:val="center"/>
    </w:pPr>
    <w:rPr>
      <w:rFonts w:ascii="Arial Narrow" w:hAnsi="Arial Narrow"/>
      <w:sz w:val="16"/>
      <w:szCs w:val="16"/>
    </w:rPr>
  </w:style>
  <w:style w:type="paragraph" w:customStyle="1" w:styleId="xl53093">
    <w:name w:val="xl53093"/>
    <w:basedOn w:val="a"/>
    <w:rsid w:val="00013A09"/>
    <w:pPr>
      <w:spacing w:before="100" w:beforeAutospacing="1" w:after="100" w:afterAutospacing="1"/>
      <w:textAlignment w:val="center"/>
    </w:pPr>
    <w:rPr>
      <w:rFonts w:ascii="Arial Narrow" w:hAnsi="Arial Narrow"/>
      <w:b/>
      <w:bCs/>
      <w:i/>
      <w:iCs/>
      <w:sz w:val="16"/>
      <w:szCs w:val="16"/>
    </w:rPr>
  </w:style>
  <w:style w:type="paragraph" w:customStyle="1" w:styleId="xl53094">
    <w:name w:val="xl53094"/>
    <w:basedOn w:val="a"/>
    <w:rsid w:val="00013A09"/>
    <w:pPr>
      <w:shd w:val="clear" w:color="000000" w:fill="C5BE97"/>
      <w:spacing w:before="100" w:beforeAutospacing="1" w:after="100" w:afterAutospacing="1"/>
    </w:pPr>
    <w:rPr>
      <w:rFonts w:ascii="Arial Narrow" w:hAnsi="Arial Narrow"/>
      <w:i/>
      <w:iCs/>
      <w:sz w:val="16"/>
      <w:szCs w:val="16"/>
    </w:rPr>
  </w:style>
  <w:style w:type="paragraph" w:customStyle="1" w:styleId="xl53095">
    <w:name w:val="xl53095"/>
    <w:basedOn w:val="a"/>
    <w:rsid w:val="00013A09"/>
    <w:pP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53096">
    <w:name w:val="xl53096"/>
    <w:basedOn w:val="a"/>
    <w:rsid w:val="00013A09"/>
    <w:pPr>
      <w:spacing w:before="100" w:beforeAutospacing="1" w:after="100" w:afterAutospacing="1"/>
      <w:jc w:val="center"/>
      <w:textAlignment w:val="center"/>
    </w:pPr>
    <w:rPr>
      <w:rFonts w:ascii="Arial Narrow" w:hAnsi="Arial Narrow"/>
      <w:b/>
      <w:bCs/>
      <w:sz w:val="16"/>
      <w:szCs w:val="16"/>
    </w:rPr>
  </w:style>
  <w:style w:type="paragraph" w:customStyle="1" w:styleId="xl53097">
    <w:name w:val="xl53097"/>
    <w:basedOn w:val="a"/>
    <w:rsid w:val="00013A09"/>
    <w:pPr>
      <w:pBdr>
        <w:top w:val="single" w:sz="8" w:space="0" w:color="auto"/>
        <w:left w:val="single" w:sz="8" w:space="0" w:color="auto"/>
      </w:pBdr>
      <w:spacing w:before="100" w:beforeAutospacing="1" w:after="100" w:afterAutospacing="1"/>
      <w:jc w:val="center"/>
      <w:textAlignment w:val="center"/>
    </w:pPr>
    <w:rPr>
      <w:rFonts w:ascii="Arial Narrow" w:hAnsi="Arial Narrow"/>
      <w:sz w:val="16"/>
      <w:szCs w:val="16"/>
    </w:rPr>
  </w:style>
  <w:style w:type="paragraph" w:customStyle="1" w:styleId="xl53098">
    <w:name w:val="xl53098"/>
    <w:basedOn w:val="a"/>
    <w:rsid w:val="00013A09"/>
    <w:pPr>
      <w:pBdr>
        <w:top w:val="single" w:sz="8" w:space="0" w:color="auto"/>
        <w:left w:val="single" w:sz="8" w:space="0" w:color="auto"/>
        <w:right w:val="single" w:sz="8"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customStyle="1" w:styleId="xl53099">
    <w:name w:val="xl53099"/>
    <w:basedOn w:val="a"/>
    <w:rsid w:val="00013A09"/>
    <w:pPr>
      <w:pBdr>
        <w:top w:val="single" w:sz="8" w:space="0" w:color="auto"/>
        <w:left w:val="single" w:sz="8" w:space="0" w:color="auto"/>
        <w:bottom w:val="single" w:sz="8" w:space="0" w:color="auto"/>
      </w:pBdr>
      <w:shd w:val="clear" w:color="000000" w:fill="B6DDE8"/>
      <w:spacing w:before="100" w:beforeAutospacing="1" w:after="100" w:afterAutospacing="1"/>
      <w:jc w:val="center"/>
      <w:textAlignment w:val="center"/>
    </w:pPr>
    <w:rPr>
      <w:rFonts w:ascii="Arial Narrow" w:hAnsi="Arial Narrow"/>
      <w:b/>
      <w:bCs/>
      <w:sz w:val="16"/>
      <w:szCs w:val="16"/>
    </w:rPr>
  </w:style>
  <w:style w:type="paragraph" w:customStyle="1" w:styleId="xl53100">
    <w:name w:val="xl53100"/>
    <w:basedOn w:val="a"/>
    <w:rsid w:val="00013A09"/>
    <w:pPr>
      <w:pBdr>
        <w:top w:val="single" w:sz="8" w:space="0" w:color="auto"/>
        <w:bottom w:val="single" w:sz="8" w:space="0" w:color="auto"/>
        <w:right w:val="single" w:sz="8" w:space="0" w:color="auto"/>
      </w:pBdr>
      <w:shd w:val="clear" w:color="000000" w:fill="B6DDE8"/>
      <w:spacing w:before="100" w:beforeAutospacing="1" w:after="100" w:afterAutospacing="1"/>
      <w:jc w:val="center"/>
      <w:textAlignment w:val="center"/>
    </w:pPr>
    <w:rPr>
      <w:rFonts w:ascii="Arial Narrow" w:hAnsi="Arial Narrow"/>
      <w:b/>
      <w:bCs/>
      <w:sz w:val="16"/>
      <w:szCs w:val="16"/>
    </w:rPr>
  </w:style>
  <w:style w:type="paragraph" w:customStyle="1" w:styleId="xl53101">
    <w:name w:val="xl53101"/>
    <w:basedOn w:val="a"/>
    <w:rsid w:val="00013A09"/>
    <w:pPr>
      <w:pBdr>
        <w:top w:val="single" w:sz="8" w:space="0" w:color="auto"/>
        <w:left w:val="single" w:sz="8" w:space="0" w:color="auto"/>
        <w:bottom w:val="single" w:sz="8" w:space="0" w:color="auto"/>
      </w:pBdr>
      <w:shd w:val="clear" w:color="000000" w:fill="C2D69A"/>
      <w:spacing w:before="100" w:beforeAutospacing="1" w:after="100" w:afterAutospacing="1"/>
      <w:jc w:val="center"/>
      <w:textAlignment w:val="center"/>
    </w:pPr>
    <w:rPr>
      <w:rFonts w:ascii="Arial Narrow" w:hAnsi="Arial Narrow"/>
      <w:b/>
      <w:bCs/>
      <w:sz w:val="16"/>
      <w:szCs w:val="16"/>
    </w:rPr>
  </w:style>
  <w:style w:type="paragraph" w:customStyle="1" w:styleId="xl53102">
    <w:name w:val="xl53102"/>
    <w:basedOn w:val="a"/>
    <w:rsid w:val="00013A09"/>
    <w:pPr>
      <w:pBdr>
        <w:top w:val="single" w:sz="8" w:space="0" w:color="auto"/>
        <w:bottom w:val="single" w:sz="8" w:space="0" w:color="auto"/>
      </w:pBdr>
      <w:shd w:val="clear" w:color="000000" w:fill="C2D69A"/>
      <w:spacing w:before="100" w:beforeAutospacing="1" w:after="100" w:afterAutospacing="1"/>
      <w:jc w:val="center"/>
      <w:textAlignment w:val="center"/>
    </w:pPr>
    <w:rPr>
      <w:rFonts w:ascii="Arial Narrow" w:hAnsi="Arial Narrow"/>
      <w:b/>
      <w:bCs/>
      <w:sz w:val="16"/>
      <w:szCs w:val="16"/>
    </w:rPr>
  </w:style>
  <w:style w:type="paragraph" w:customStyle="1" w:styleId="xl53103">
    <w:name w:val="xl53103"/>
    <w:basedOn w:val="a"/>
    <w:rsid w:val="00013A09"/>
    <w:pPr>
      <w:pBdr>
        <w:left w:val="single" w:sz="8" w:space="0" w:color="auto"/>
        <w:bottom w:val="single" w:sz="8" w:space="0" w:color="auto"/>
      </w:pBdr>
      <w:spacing w:before="100" w:beforeAutospacing="1" w:after="100" w:afterAutospacing="1"/>
      <w:textAlignment w:val="center"/>
    </w:pPr>
    <w:rPr>
      <w:rFonts w:ascii="Arial Narrow" w:hAnsi="Arial Narrow"/>
      <w:color w:val="000000"/>
      <w:sz w:val="16"/>
      <w:szCs w:val="16"/>
    </w:rPr>
  </w:style>
  <w:style w:type="paragraph" w:customStyle="1" w:styleId="xl53104">
    <w:name w:val="xl53104"/>
    <w:basedOn w:val="a"/>
    <w:rsid w:val="00013A09"/>
    <w:pPr>
      <w:pBdr>
        <w:top w:val="single" w:sz="8" w:space="0" w:color="auto"/>
        <w:left w:val="single" w:sz="8" w:space="0" w:color="auto"/>
        <w:bottom w:val="single" w:sz="8" w:space="0" w:color="auto"/>
        <w:right w:val="single" w:sz="8"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customStyle="1" w:styleId="xl53105">
    <w:name w:val="xl53105"/>
    <w:basedOn w:val="a"/>
    <w:rsid w:val="00013A09"/>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Arial Narrow" w:hAnsi="Arial Narrow"/>
      <w:b/>
      <w:bCs/>
      <w:sz w:val="16"/>
      <w:szCs w:val="16"/>
    </w:rPr>
  </w:style>
  <w:style w:type="paragraph" w:customStyle="1" w:styleId="xl53106">
    <w:name w:val="xl53106"/>
    <w:basedOn w:val="a"/>
    <w:rsid w:val="00013A09"/>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jc w:val="center"/>
      <w:textAlignment w:val="center"/>
    </w:pPr>
    <w:rPr>
      <w:rFonts w:ascii="Arial Narrow" w:hAnsi="Arial Narrow"/>
      <w:b/>
      <w:bCs/>
      <w:sz w:val="16"/>
      <w:szCs w:val="16"/>
    </w:rPr>
  </w:style>
  <w:style w:type="paragraph" w:customStyle="1" w:styleId="xl53107">
    <w:name w:val="xl53107"/>
    <w:basedOn w:val="a"/>
    <w:rsid w:val="00013A09"/>
    <w:pPr>
      <w:spacing w:before="100" w:beforeAutospacing="1" w:after="100" w:afterAutospacing="1"/>
    </w:pPr>
    <w:rPr>
      <w:rFonts w:ascii="Arial Narrow" w:hAnsi="Arial Narrow"/>
      <w:color w:val="000000"/>
      <w:sz w:val="16"/>
      <w:szCs w:val="16"/>
    </w:rPr>
  </w:style>
  <w:style w:type="paragraph" w:customStyle="1" w:styleId="xl53108">
    <w:name w:val="xl53108"/>
    <w:basedOn w:val="a"/>
    <w:rsid w:val="00013A09"/>
    <w:pPr>
      <w:spacing w:before="100" w:beforeAutospacing="1" w:after="100" w:afterAutospacing="1"/>
    </w:pPr>
    <w:rPr>
      <w:rFonts w:ascii="Arial Narrow" w:hAnsi="Arial Narrow"/>
      <w:sz w:val="16"/>
      <w:szCs w:val="16"/>
    </w:rPr>
  </w:style>
  <w:style w:type="paragraph" w:customStyle="1" w:styleId="xl53109">
    <w:name w:val="xl53109"/>
    <w:basedOn w:val="a"/>
    <w:rsid w:val="00013A09"/>
    <w:pPr>
      <w:spacing w:before="100" w:beforeAutospacing="1" w:after="100" w:afterAutospacing="1"/>
      <w:ind w:firstLineChars="200" w:firstLine="200"/>
      <w:textAlignment w:val="center"/>
    </w:pPr>
    <w:rPr>
      <w:rFonts w:ascii="Arial Narrow" w:hAnsi="Arial Narrow"/>
      <w:sz w:val="16"/>
      <w:szCs w:val="16"/>
    </w:rPr>
  </w:style>
  <w:style w:type="table" w:styleId="2-2">
    <w:name w:val="Medium Shading 2 Accent 2"/>
    <w:basedOn w:val="a1"/>
    <w:uiPriority w:val="64"/>
    <w:rsid w:val="00B5502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otranslate">
    <w:name w:val="notranslate"/>
    <w:basedOn w:val="a0"/>
    <w:rsid w:val="005C7938"/>
  </w:style>
  <w:style w:type="character" w:styleId="af8">
    <w:name w:val="Emphasis"/>
    <w:basedOn w:val="a0"/>
    <w:uiPriority w:val="20"/>
    <w:qFormat/>
    <w:rsid w:val="002B212A"/>
    <w:rPr>
      <w:i/>
      <w:iCs/>
    </w:rPr>
  </w:style>
  <w:style w:type="character" w:customStyle="1" w:styleId="Char9">
    <w:name w:val="Παράγραφος λίστας Char"/>
    <w:aliases w:val="Fiche List Paragraph Char,Dot pt Char,No Spacing1 Char,List Paragraph Char Char Char Char,Indicator Text Char,Numbered Para 1 Char,Bullet 1 Char,List Paragraph1 Char,F5 List Paragraph Char,Bullet Points Char,List Paragraph11 Char"/>
    <w:basedOn w:val="a0"/>
    <w:link w:val="af2"/>
    <w:uiPriority w:val="34"/>
    <w:qFormat/>
    <w:rsid w:val="00853402"/>
    <w:rPr>
      <w:rFonts w:ascii="Calibri" w:eastAsia="Calibri" w:hAnsi="Calibri"/>
      <w:sz w:val="22"/>
      <w:szCs w:val="22"/>
      <w:lang w:eastAsia="en-US"/>
    </w:rPr>
  </w:style>
  <w:style w:type="paragraph" w:customStyle="1" w:styleId="2-verdana11">
    <w:name w:val="Επικεφαλίδα 2 - verdana 11"/>
    <w:basedOn w:val="a"/>
    <w:qFormat/>
    <w:rsid w:val="00853402"/>
    <w:pPr>
      <w:shd w:val="clear" w:color="auto" w:fill="E5B8B7" w:themeFill="accent2" w:themeFillTint="66"/>
      <w:spacing w:before="100" w:beforeAutospacing="1" w:after="100" w:afterAutospacing="1" w:line="320" w:lineRule="exact"/>
      <w:jc w:val="both"/>
      <w:outlineLvl w:val="2"/>
    </w:pPr>
    <w:rPr>
      <w:rFonts w:ascii="Verdana" w:hAnsi="Verdana" w:cs="Arial"/>
      <w:b/>
      <w:sz w:val="22"/>
      <w:szCs w:val="22"/>
    </w:rPr>
  </w:style>
  <w:style w:type="paragraph" w:customStyle="1" w:styleId="af9">
    <w:name w:val="Υποσημείωση"/>
    <w:basedOn w:val="a"/>
    <w:link w:val="Charc"/>
    <w:qFormat/>
    <w:rsid w:val="006C7D30"/>
    <w:pPr>
      <w:autoSpaceDE w:val="0"/>
      <w:autoSpaceDN w:val="0"/>
      <w:adjustRightInd w:val="0"/>
      <w:jc w:val="both"/>
    </w:pPr>
    <w:rPr>
      <w:rFonts w:asciiTheme="majorHAnsi" w:eastAsiaTheme="minorHAnsi" w:hAnsiTheme="majorHAnsi" w:cs="Cambria"/>
      <w:noProof/>
      <w:sz w:val="18"/>
      <w:szCs w:val="18"/>
      <w:lang w:eastAsia="en-US"/>
    </w:rPr>
  </w:style>
  <w:style w:type="character" w:customStyle="1" w:styleId="Charc">
    <w:name w:val="Υποσημείωση Char"/>
    <w:basedOn w:val="a0"/>
    <w:link w:val="af9"/>
    <w:rsid w:val="006C7D30"/>
    <w:rPr>
      <w:rFonts w:asciiTheme="majorHAnsi" w:eastAsiaTheme="minorHAnsi" w:hAnsiTheme="majorHAnsi" w:cs="Cambria"/>
      <w:noProof/>
      <w:sz w:val="18"/>
      <w:szCs w:val="18"/>
      <w:lang w:eastAsia="en-US"/>
    </w:rPr>
  </w:style>
  <w:style w:type="table" w:customStyle="1" w:styleId="13">
    <w:name w:val="Πλέγμα πίνακα1"/>
    <w:basedOn w:val="a1"/>
    <w:rsid w:val="00BF190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E25"/>
    <w:rPr>
      <w:sz w:val="24"/>
      <w:szCs w:val="24"/>
    </w:rPr>
  </w:style>
  <w:style w:type="paragraph" w:styleId="1">
    <w:name w:val="heading 1"/>
    <w:basedOn w:val="a"/>
    <w:next w:val="a"/>
    <w:link w:val="1Char"/>
    <w:qFormat/>
    <w:rsid w:val="005B6E0D"/>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993306"/>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AB5DEE"/>
    <w:pPr>
      <w:keepNext/>
      <w:spacing w:before="240" w:after="60"/>
      <w:outlineLvl w:val="2"/>
    </w:pPr>
    <w:rPr>
      <w:rFonts w:ascii="Arial" w:hAnsi="Arial" w:cs="Arial"/>
      <w:b/>
      <w:bCs/>
      <w:sz w:val="26"/>
      <w:szCs w:val="26"/>
    </w:rPr>
  </w:style>
  <w:style w:type="paragraph" w:styleId="4">
    <w:name w:val="heading 4"/>
    <w:basedOn w:val="a"/>
    <w:next w:val="a"/>
    <w:link w:val="4Char"/>
    <w:qFormat/>
    <w:rsid w:val="0034482B"/>
    <w:pPr>
      <w:keepNext/>
      <w:jc w:val="both"/>
      <w:outlineLvl w:val="3"/>
    </w:pPr>
    <w:rPr>
      <w:rFonts w:ascii="Arial Narrow" w:hAnsi="Arial Narrow"/>
      <w:b/>
      <w:i/>
      <w:color w:val="000080"/>
      <w:szCs w:val="22"/>
    </w:rPr>
  </w:style>
  <w:style w:type="paragraph" w:styleId="5">
    <w:name w:val="heading 5"/>
    <w:basedOn w:val="a"/>
    <w:next w:val="a"/>
    <w:link w:val="5Char"/>
    <w:qFormat/>
    <w:rsid w:val="0034482B"/>
    <w:pPr>
      <w:keepNext/>
      <w:jc w:val="both"/>
      <w:outlineLvl w:val="4"/>
    </w:pPr>
    <w:rPr>
      <w:rFonts w:ascii="Arial Narrow" w:hAnsi="Arial Narrow"/>
      <w:b/>
      <w:sz w:val="22"/>
      <w:szCs w:val="22"/>
    </w:rPr>
  </w:style>
  <w:style w:type="paragraph" w:styleId="6">
    <w:name w:val="heading 6"/>
    <w:basedOn w:val="a"/>
    <w:next w:val="a"/>
    <w:link w:val="6Char"/>
    <w:qFormat/>
    <w:rsid w:val="0022549F"/>
    <w:pPr>
      <w:keepNext/>
      <w:jc w:val="both"/>
      <w:outlineLvl w:val="5"/>
    </w:pPr>
    <w:rPr>
      <w:rFonts w:ascii="Arial Narrow" w:hAnsi="Arial Narrow"/>
      <w:b/>
      <w:color w:val="000080"/>
      <w:sz w:val="26"/>
      <w:szCs w:val="22"/>
    </w:rPr>
  </w:style>
  <w:style w:type="paragraph" w:styleId="7">
    <w:name w:val="heading 7"/>
    <w:basedOn w:val="a"/>
    <w:next w:val="a"/>
    <w:link w:val="7Char"/>
    <w:qFormat/>
    <w:rsid w:val="006C6D1A"/>
    <w:pPr>
      <w:keepNext/>
      <w:jc w:val="both"/>
      <w:outlineLvl w:val="6"/>
    </w:pPr>
    <w:rPr>
      <w:rFonts w:ascii="Arial Narrow" w:hAnsi="Arial Narrow"/>
      <w:b/>
      <w:color w:val="000080"/>
      <w:sz w:val="22"/>
      <w:szCs w:val="22"/>
    </w:rPr>
  </w:style>
  <w:style w:type="paragraph" w:styleId="8">
    <w:name w:val="heading 8"/>
    <w:basedOn w:val="a"/>
    <w:next w:val="a"/>
    <w:link w:val="8Char"/>
    <w:qFormat/>
    <w:rsid w:val="006C6D1A"/>
    <w:pPr>
      <w:keepNext/>
      <w:jc w:val="both"/>
      <w:outlineLvl w:val="7"/>
    </w:pPr>
    <w:rPr>
      <w:rFonts w:ascii="Arial Narrow" w:hAnsi="Arial Narrow"/>
      <w:b/>
      <w:i/>
      <w:sz w:val="22"/>
      <w:szCs w:val="22"/>
    </w:rPr>
  </w:style>
  <w:style w:type="paragraph" w:styleId="9">
    <w:name w:val="heading 9"/>
    <w:basedOn w:val="a"/>
    <w:next w:val="a"/>
    <w:link w:val="9Char"/>
    <w:qFormat/>
    <w:rsid w:val="00DB563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40E4A"/>
    <w:pPr>
      <w:tabs>
        <w:tab w:val="center" w:pos="4153"/>
        <w:tab w:val="right" w:pos="8306"/>
      </w:tabs>
    </w:pPr>
  </w:style>
  <w:style w:type="paragraph" w:styleId="a4">
    <w:name w:val="footer"/>
    <w:basedOn w:val="a"/>
    <w:link w:val="Char0"/>
    <w:rsid w:val="00D40E4A"/>
    <w:pPr>
      <w:tabs>
        <w:tab w:val="center" w:pos="4153"/>
        <w:tab w:val="right" w:pos="8306"/>
      </w:tabs>
    </w:pPr>
  </w:style>
  <w:style w:type="character" w:styleId="a5">
    <w:name w:val="page number"/>
    <w:basedOn w:val="a0"/>
    <w:rsid w:val="00D40E4A"/>
  </w:style>
  <w:style w:type="paragraph" w:styleId="a6">
    <w:name w:val="Balloon Text"/>
    <w:basedOn w:val="a"/>
    <w:link w:val="Char1"/>
    <w:semiHidden/>
    <w:rsid w:val="001561CD"/>
    <w:rPr>
      <w:rFonts w:ascii="Tahoma" w:hAnsi="Tahoma" w:cs="Tahoma"/>
      <w:sz w:val="16"/>
      <w:szCs w:val="16"/>
    </w:rPr>
  </w:style>
  <w:style w:type="paragraph" w:customStyle="1" w:styleId="aplo">
    <w:name w:val="aplo"/>
    <w:basedOn w:val="a"/>
    <w:rsid w:val="00A90E25"/>
    <w:pPr>
      <w:tabs>
        <w:tab w:val="left" w:pos="567"/>
      </w:tabs>
      <w:spacing w:before="120"/>
      <w:jc w:val="both"/>
    </w:pPr>
    <w:rPr>
      <w:sz w:val="22"/>
      <w:szCs w:val="20"/>
      <w:lang w:val="en-GB"/>
    </w:rPr>
  </w:style>
  <w:style w:type="paragraph" w:styleId="20">
    <w:name w:val="Body Text 2"/>
    <w:basedOn w:val="a"/>
    <w:link w:val="2Char0"/>
    <w:rsid w:val="0022549F"/>
    <w:pPr>
      <w:jc w:val="both"/>
    </w:pPr>
    <w:rPr>
      <w:szCs w:val="22"/>
    </w:rPr>
  </w:style>
  <w:style w:type="table" w:styleId="a7">
    <w:name w:val="Table Grid"/>
    <w:basedOn w:val="a1"/>
    <w:uiPriority w:val="39"/>
    <w:rsid w:val="00702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Char2"/>
    <w:rsid w:val="00DB5630"/>
    <w:pPr>
      <w:jc w:val="both"/>
    </w:pPr>
    <w:rPr>
      <w:sz w:val="22"/>
      <w:szCs w:val="22"/>
    </w:rPr>
  </w:style>
  <w:style w:type="paragraph" w:styleId="a9">
    <w:name w:val="Title"/>
    <w:basedOn w:val="a"/>
    <w:link w:val="Char3"/>
    <w:qFormat/>
    <w:rsid w:val="00DB5630"/>
    <w:pPr>
      <w:jc w:val="center"/>
    </w:pPr>
    <w:rPr>
      <w:b/>
      <w:bCs/>
      <w:lang w:eastAsia="en-US"/>
    </w:rPr>
  </w:style>
  <w:style w:type="numbering" w:customStyle="1" w:styleId="10">
    <w:name w:val="Χωρίς λίστα1"/>
    <w:next w:val="a2"/>
    <w:semiHidden/>
    <w:rsid w:val="00DB5630"/>
  </w:style>
  <w:style w:type="paragraph" w:customStyle="1" w:styleId="keimeno">
    <w:name w:val="keimeno"/>
    <w:basedOn w:val="a"/>
    <w:rsid w:val="00DB5630"/>
    <w:pPr>
      <w:jc w:val="both"/>
    </w:pPr>
    <w:rPr>
      <w:rFonts w:ascii="Arial" w:hAnsi="Arial"/>
      <w:sz w:val="22"/>
      <w:szCs w:val="20"/>
    </w:rPr>
  </w:style>
  <w:style w:type="paragraph" w:styleId="aa">
    <w:name w:val="Body Text Indent"/>
    <w:basedOn w:val="a"/>
    <w:link w:val="Char4"/>
    <w:rsid w:val="00DB5630"/>
    <w:pPr>
      <w:ind w:firstLine="720"/>
      <w:jc w:val="both"/>
    </w:pPr>
    <w:rPr>
      <w:sz w:val="22"/>
      <w:szCs w:val="20"/>
    </w:rPr>
  </w:style>
  <w:style w:type="paragraph" w:styleId="30">
    <w:name w:val="Body Text 3"/>
    <w:basedOn w:val="a"/>
    <w:link w:val="3Char0"/>
    <w:rsid w:val="00DB5630"/>
    <w:pPr>
      <w:jc w:val="both"/>
    </w:pPr>
    <w:rPr>
      <w:sz w:val="22"/>
      <w:szCs w:val="20"/>
    </w:rPr>
  </w:style>
  <w:style w:type="paragraph" w:customStyle="1" w:styleId="Giota">
    <w:name w:val="Giota"/>
    <w:basedOn w:val="a"/>
    <w:rsid w:val="00DB5630"/>
    <w:pPr>
      <w:tabs>
        <w:tab w:val="left" w:pos="567"/>
        <w:tab w:val="left" w:pos="1134"/>
        <w:tab w:val="left" w:pos="1701"/>
      </w:tabs>
      <w:jc w:val="both"/>
    </w:pPr>
    <w:rPr>
      <w:rFonts w:ascii="Arial" w:hAnsi="Arial"/>
      <w:sz w:val="18"/>
      <w:szCs w:val="20"/>
    </w:rPr>
  </w:style>
  <w:style w:type="paragraph" w:customStyle="1" w:styleId="11">
    <w:name w:val="Στυλ1"/>
    <w:basedOn w:val="a"/>
    <w:rsid w:val="00DB5630"/>
    <w:pPr>
      <w:spacing w:before="120"/>
      <w:ind w:firstLine="567"/>
    </w:pPr>
    <w:rPr>
      <w:rFonts w:ascii="Arial" w:hAnsi="Arial"/>
      <w:sz w:val="20"/>
      <w:szCs w:val="20"/>
    </w:rPr>
  </w:style>
  <w:style w:type="paragraph" w:styleId="21">
    <w:name w:val="Body Text Indent 2"/>
    <w:basedOn w:val="a"/>
    <w:link w:val="2Char1"/>
    <w:rsid w:val="00DB5630"/>
    <w:pPr>
      <w:ind w:left="720" w:hanging="720"/>
      <w:jc w:val="both"/>
    </w:pPr>
    <w:rPr>
      <w:rFonts w:ascii="Tahoma" w:hAnsi="Tahoma"/>
      <w:b/>
      <w:color w:val="0000FF"/>
      <w:sz w:val="20"/>
      <w:szCs w:val="20"/>
    </w:rPr>
  </w:style>
  <w:style w:type="paragraph" w:styleId="ab">
    <w:name w:val="Plain Text"/>
    <w:basedOn w:val="a"/>
    <w:link w:val="Char5"/>
    <w:rsid w:val="00DB5630"/>
    <w:rPr>
      <w:rFonts w:ascii="Courier New" w:hAnsi="Courier New"/>
      <w:sz w:val="20"/>
      <w:szCs w:val="20"/>
    </w:rPr>
  </w:style>
  <w:style w:type="paragraph" w:styleId="31">
    <w:name w:val="Body Text Indent 3"/>
    <w:basedOn w:val="a"/>
    <w:link w:val="3Char1"/>
    <w:rsid w:val="00DB5630"/>
    <w:pPr>
      <w:tabs>
        <w:tab w:val="num" w:pos="652"/>
      </w:tabs>
      <w:spacing w:after="120"/>
      <w:ind w:left="652" w:hanging="652"/>
      <w:jc w:val="both"/>
    </w:pPr>
    <w:rPr>
      <w:sz w:val="22"/>
      <w:szCs w:val="20"/>
    </w:rPr>
  </w:style>
  <w:style w:type="character" w:styleId="ac">
    <w:name w:val="annotation reference"/>
    <w:basedOn w:val="a0"/>
    <w:uiPriority w:val="99"/>
    <w:semiHidden/>
    <w:rsid w:val="00DC5802"/>
    <w:rPr>
      <w:sz w:val="16"/>
      <w:szCs w:val="16"/>
    </w:rPr>
  </w:style>
  <w:style w:type="paragraph" w:styleId="ad">
    <w:name w:val="annotation text"/>
    <w:basedOn w:val="a"/>
    <w:link w:val="Char6"/>
    <w:uiPriority w:val="99"/>
    <w:semiHidden/>
    <w:rsid w:val="00DC5802"/>
    <w:rPr>
      <w:sz w:val="20"/>
      <w:szCs w:val="20"/>
    </w:rPr>
  </w:style>
  <w:style w:type="paragraph" w:styleId="ae">
    <w:name w:val="annotation subject"/>
    <w:basedOn w:val="ad"/>
    <w:next w:val="ad"/>
    <w:link w:val="Char7"/>
    <w:semiHidden/>
    <w:rsid w:val="00DC5802"/>
    <w:rPr>
      <w:b/>
      <w:bCs/>
    </w:rPr>
  </w:style>
  <w:style w:type="character" w:styleId="-">
    <w:name w:val="Hyperlink"/>
    <w:basedOn w:val="a0"/>
    <w:uiPriority w:val="99"/>
    <w:rsid w:val="00EB7A79"/>
    <w:rPr>
      <w:color w:val="0000FF"/>
      <w:u w:val="single"/>
    </w:rPr>
  </w:style>
  <w:style w:type="paragraph" w:styleId="af">
    <w:name w:val="footnote text"/>
    <w:aliases w:val="Footnote,Fußnote,Fodnotetekst Tegn Tegn Tegn Tegn Tegn Tegn Tegn Char Char,Fodnotetekst Tegn Tegn Tegn Tegn Tegn Tegn Tegn Char Char Char Char,Fodnotetekst Tegn Tegn Tegn Tegn Tegn Tegn Tegn,lábléc,C26 Footnote body, Char"/>
    <w:basedOn w:val="a"/>
    <w:link w:val="Char8"/>
    <w:uiPriority w:val="99"/>
    <w:rsid w:val="005F3BAB"/>
    <w:rPr>
      <w:sz w:val="20"/>
      <w:szCs w:val="20"/>
    </w:rPr>
  </w:style>
  <w:style w:type="character" w:styleId="af0">
    <w:name w:val="footnote reference"/>
    <w:aliases w:val="Footnote Reference Number,Footnote Reference_LVL6,Footnote Reference_LVL61,Footnote Reference_LVL62,Footnote Reference_LVL63,Footnote Reference_LVL64,C26 Footnote Number,Footnote Reference_LVL65,Footnote symbol,Footnote Reference1"/>
    <w:basedOn w:val="a0"/>
    <w:qFormat/>
    <w:rsid w:val="005F3BAB"/>
    <w:rPr>
      <w:vertAlign w:val="superscript"/>
    </w:rPr>
  </w:style>
  <w:style w:type="paragraph" w:customStyle="1" w:styleId="CharCharCharCharCharCharCharCharCharCharCharCharChar">
    <w:name w:val="Char Char Char Char Char Char Char Char Char Char Char Char Char"/>
    <w:basedOn w:val="a"/>
    <w:rsid w:val="0022502F"/>
    <w:pPr>
      <w:spacing w:after="160" w:line="240" w:lineRule="exact"/>
      <w:jc w:val="both"/>
    </w:pPr>
    <w:rPr>
      <w:rFonts w:ascii="Verdana" w:hAnsi="Verdana"/>
      <w:sz w:val="20"/>
      <w:szCs w:val="20"/>
      <w:lang w:val="en-US" w:eastAsia="en-US"/>
    </w:rPr>
  </w:style>
  <w:style w:type="numbering" w:customStyle="1" w:styleId="22">
    <w:name w:val="Χωρίς λίστα2"/>
    <w:next w:val="a2"/>
    <w:semiHidden/>
    <w:rsid w:val="00F66AEE"/>
  </w:style>
  <w:style w:type="paragraph" w:styleId="af1">
    <w:name w:val="Block Text"/>
    <w:basedOn w:val="a"/>
    <w:rsid w:val="00F66AEE"/>
    <w:pPr>
      <w:ind w:left="360" w:right="70" w:hanging="360"/>
      <w:jc w:val="both"/>
    </w:pPr>
    <w:rPr>
      <w:sz w:val="16"/>
      <w:szCs w:val="22"/>
    </w:rPr>
  </w:style>
  <w:style w:type="paragraph" w:customStyle="1" w:styleId="CharCharCharChar">
    <w:name w:val="Char Char Char Char"/>
    <w:basedOn w:val="a"/>
    <w:rsid w:val="00C2204C"/>
    <w:pPr>
      <w:spacing w:before="120" w:after="160" w:line="240" w:lineRule="exact"/>
    </w:pPr>
    <w:rPr>
      <w:rFonts w:ascii="Verdana" w:hAnsi="Verdana"/>
      <w:sz w:val="20"/>
      <w:szCs w:val="20"/>
      <w:lang w:val="en-US" w:eastAsia="en-US"/>
    </w:rPr>
  </w:style>
  <w:style w:type="paragraph" w:customStyle="1" w:styleId="CharCharCharCharCharCharCharCharCharChar11pt">
    <w:name w:val="Char Char Char Char Char Char Char Char Char Char Βασικό+11pt"/>
    <w:basedOn w:val="a"/>
    <w:rsid w:val="00B73E04"/>
    <w:pPr>
      <w:jc w:val="both"/>
    </w:pPr>
    <w:rPr>
      <w:b/>
      <w:sz w:val="22"/>
    </w:rPr>
  </w:style>
  <w:style w:type="paragraph" w:styleId="af2">
    <w:name w:val="List Paragraph"/>
    <w:aliases w:val="Fiche List Paragraph,Dot pt,No Spacing1,List Paragraph Char Char Char,Indicator Text,Numbered Para 1,Bullet 1,List Paragraph1,F5 List Paragraph,Bullet Points,List Paragraph11,MAIN CONTENT,List Paragraph12,Bullet2,Bullet21,Bullet22,bl11"/>
    <w:basedOn w:val="a"/>
    <w:link w:val="Char9"/>
    <w:uiPriority w:val="34"/>
    <w:qFormat/>
    <w:rsid w:val="00B73E04"/>
    <w:pPr>
      <w:spacing w:after="200" w:line="276" w:lineRule="auto"/>
      <w:ind w:left="720"/>
      <w:contextualSpacing/>
    </w:pPr>
    <w:rPr>
      <w:rFonts w:ascii="Calibri" w:eastAsia="Calibri" w:hAnsi="Calibri"/>
      <w:sz w:val="22"/>
      <w:szCs w:val="22"/>
      <w:lang w:eastAsia="en-US"/>
    </w:rPr>
  </w:style>
  <w:style w:type="paragraph" w:customStyle="1" w:styleId="Chara">
    <w:name w:val="Char"/>
    <w:basedOn w:val="a"/>
    <w:rsid w:val="00A71D8F"/>
    <w:pPr>
      <w:spacing w:after="160" w:line="240" w:lineRule="exact"/>
      <w:jc w:val="both"/>
    </w:pPr>
    <w:rPr>
      <w:rFonts w:ascii="Verdana" w:hAnsi="Verdana"/>
      <w:sz w:val="20"/>
      <w:szCs w:val="20"/>
      <w:lang w:val="en-US" w:eastAsia="en-US"/>
    </w:rPr>
  </w:style>
  <w:style w:type="paragraph" w:customStyle="1" w:styleId="Pinakastitlos">
    <w:name w:val="Pinakas_titlos"/>
    <w:basedOn w:val="a"/>
    <w:qFormat/>
    <w:rsid w:val="001B4685"/>
    <w:pPr>
      <w:spacing w:before="120"/>
      <w:ind w:right="-1"/>
      <w:jc w:val="center"/>
    </w:pPr>
    <w:rPr>
      <w:rFonts w:ascii="Arial Narrow" w:hAnsi="Arial Narrow"/>
      <w:b/>
      <w:color w:val="FFFFFF"/>
    </w:rPr>
  </w:style>
  <w:style w:type="character" w:customStyle="1" w:styleId="Char1">
    <w:name w:val="Κείμενο πλαισίου Char"/>
    <w:basedOn w:val="a0"/>
    <w:link w:val="a6"/>
    <w:semiHidden/>
    <w:rsid w:val="001B4685"/>
    <w:rPr>
      <w:rFonts w:ascii="Tahoma" w:hAnsi="Tahoma" w:cs="Tahoma"/>
      <w:sz w:val="16"/>
      <w:szCs w:val="16"/>
    </w:rPr>
  </w:style>
  <w:style w:type="paragraph" w:customStyle="1" w:styleId="12">
    <w:name w:val="Παράγραφος λίστας1"/>
    <w:basedOn w:val="a"/>
    <w:rsid w:val="001B4685"/>
    <w:pPr>
      <w:spacing w:after="200" w:line="276" w:lineRule="auto"/>
      <w:ind w:left="720"/>
    </w:pPr>
    <w:rPr>
      <w:rFonts w:ascii="Calibri" w:hAnsi="Calibri" w:cs="Calibri"/>
      <w:sz w:val="22"/>
      <w:szCs w:val="22"/>
      <w:lang w:eastAsia="en-US"/>
    </w:rPr>
  </w:style>
  <w:style w:type="character" w:customStyle="1" w:styleId="2Char1">
    <w:name w:val="Σώμα κείμενου με εσοχή 2 Char"/>
    <w:basedOn w:val="a0"/>
    <w:link w:val="21"/>
    <w:rsid w:val="00C56840"/>
    <w:rPr>
      <w:rFonts w:ascii="Tahoma" w:hAnsi="Tahoma"/>
      <w:b/>
      <w:color w:val="0000FF"/>
    </w:rPr>
  </w:style>
  <w:style w:type="character" w:customStyle="1" w:styleId="Char6">
    <w:name w:val="Κείμενο σχολίου Char"/>
    <w:basedOn w:val="a0"/>
    <w:link w:val="ad"/>
    <w:uiPriority w:val="99"/>
    <w:semiHidden/>
    <w:rsid w:val="00156E94"/>
  </w:style>
  <w:style w:type="character" w:customStyle="1" w:styleId="Char7">
    <w:name w:val="Θέμα σχολίου Char"/>
    <w:basedOn w:val="Char6"/>
    <w:link w:val="ae"/>
    <w:semiHidden/>
    <w:rsid w:val="00156E94"/>
    <w:rPr>
      <w:b/>
      <w:bCs/>
    </w:rPr>
  </w:style>
  <w:style w:type="paragraph" w:customStyle="1" w:styleId="CharCharCharCharCharCharCharCharCharCharCharCharChar1">
    <w:name w:val="Char Char Char Char Char Char Char Char Char Char Char Char Char1"/>
    <w:basedOn w:val="a"/>
    <w:rsid w:val="005F39F3"/>
    <w:pPr>
      <w:spacing w:after="160" w:line="240" w:lineRule="exact"/>
      <w:jc w:val="both"/>
    </w:pPr>
    <w:rPr>
      <w:rFonts w:ascii="Verdana" w:hAnsi="Verdana"/>
      <w:sz w:val="20"/>
      <w:szCs w:val="20"/>
      <w:lang w:val="en-US" w:eastAsia="en-US"/>
    </w:rPr>
  </w:style>
  <w:style w:type="paragraph" w:customStyle="1" w:styleId="CharCharCharChar1">
    <w:name w:val="Char Char Char Char1"/>
    <w:basedOn w:val="a"/>
    <w:rsid w:val="005F39F3"/>
    <w:pPr>
      <w:spacing w:before="120" w:after="160" w:line="240" w:lineRule="exact"/>
    </w:pPr>
    <w:rPr>
      <w:rFonts w:ascii="Verdana" w:hAnsi="Verdana"/>
      <w:sz w:val="20"/>
      <w:szCs w:val="20"/>
      <w:lang w:val="en-US" w:eastAsia="en-US"/>
    </w:rPr>
  </w:style>
  <w:style w:type="character" w:styleId="-0">
    <w:name w:val="FollowedHyperlink"/>
    <w:basedOn w:val="a0"/>
    <w:uiPriority w:val="99"/>
    <w:rsid w:val="005F39F3"/>
    <w:rPr>
      <w:color w:val="800080"/>
      <w:u w:val="single"/>
    </w:rPr>
  </w:style>
  <w:style w:type="paragraph" w:customStyle="1" w:styleId="xl70">
    <w:name w:val="xl70"/>
    <w:basedOn w:val="a"/>
    <w:rsid w:val="005F39F3"/>
    <w:pPr>
      <w:spacing w:before="100" w:beforeAutospacing="1" w:after="100" w:afterAutospacing="1"/>
      <w:textAlignment w:val="center"/>
    </w:pPr>
    <w:rPr>
      <w:rFonts w:ascii="Arial" w:hAnsi="Arial" w:cs="Arial"/>
      <w:sz w:val="22"/>
      <w:szCs w:val="22"/>
    </w:rPr>
  </w:style>
  <w:style w:type="paragraph" w:customStyle="1" w:styleId="xl71">
    <w:name w:val="xl71"/>
    <w:basedOn w:val="a"/>
    <w:rsid w:val="005F39F3"/>
    <w:pPr>
      <w:pBdr>
        <w:left w:val="single" w:sz="8" w:space="0" w:color="auto"/>
        <w:right w:val="single" w:sz="4" w:space="0" w:color="000000"/>
      </w:pBdr>
      <w:spacing w:before="100" w:beforeAutospacing="1" w:after="100" w:afterAutospacing="1"/>
      <w:textAlignment w:val="center"/>
    </w:pPr>
    <w:rPr>
      <w:rFonts w:ascii="Arial" w:hAnsi="Arial" w:cs="Arial"/>
      <w:sz w:val="22"/>
      <w:szCs w:val="22"/>
    </w:rPr>
  </w:style>
  <w:style w:type="paragraph" w:customStyle="1" w:styleId="xl72">
    <w:name w:val="xl72"/>
    <w:basedOn w:val="a"/>
    <w:rsid w:val="005F39F3"/>
    <w:pPr>
      <w:pBdr>
        <w:left w:val="single" w:sz="4" w:space="0" w:color="000000"/>
        <w:right w:val="single" w:sz="4" w:space="0" w:color="000000"/>
      </w:pBdr>
      <w:spacing w:before="100" w:beforeAutospacing="1" w:after="100" w:afterAutospacing="1"/>
      <w:textAlignment w:val="center"/>
    </w:pPr>
    <w:rPr>
      <w:rFonts w:ascii="Arial" w:hAnsi="Arial" w:cs="Arial"/>
      <w:sz w:val="22"/>
      <w:szCs w:val="22"/>
    </w:rPr>
  </w:style>
  <w:style w:type="paragraph" w:customStyle="1" w:styleId="xl73">
    <w:name w:val="xl73"/>
    <w:basedOn w:val="a"/>
    <w:rsid w:val="005F39F3"/>
    <w:pPr>
      <w:pBdr>
        <w:left w:val="single" w:sz="4" w:space="0" w:color="000000"/>
        <w:right w:val="single" w:sz="8"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
    <w:rsid w:val="005F39F3"/>
    <w:pPr>
      <w:pBdr>
        <w:left w:val="single" w:sz="4" w:space="0" w:color="000000"/>
        <w:right w:val="single" w:sz="4" w:space="0" w:color="000000"/>
      </w:pBdr>
      <w:spacing w:before="100" w:beforeAutospacing="1" w:after="100" w:afterAutospacing="1"/>
      <w:jc w:val="right"/>
      <w:textAlignment w:val="center"/>
    </w:pPr>
    <w:rPr>
      <w:rFonts w:ascii="Arial" w:hAnsi="Arial" w:cs="Arial"/>
      <w:sz w:val="22"/>
      <w:szCs w:val="22"/>
    </w:rPr>
  </w:style>
  <w:style w:type="paragraph" w:customStyle="1" w:styleId="xl75">
    <w:name w:val="xl75"/>
    <w:basedOn w:val="a"/>
    <w:rsid w:val="005F39F3"/>
    <w:pPr>
      <w:pBdr>
        <w:left w:val="single" w:sz="4" w:space="0" w:color="000000"/>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23">
    <w:name w:val="Παράγραφος λίστας2"/>
    <w:basedOn w:val="a"/>
    <w:rsid w:val="005F39F3"/>
    <w:pPr>
      <w:spacing w:after="200" w:line="276" w:lineRule="auto"/>
      <w:ind w:left="720"/>
    </w:pPr>
    <w:rPr>
      <w:rFonts w:ascii="Calibri" w:hAnsi="Calibri" w:cs="Calibri"/>
      <w:sz w:val="22"/>
      <w:szCs w:val="22"/>
      <w:lang w:eastAsia="en-US"/>
    </w:rPr>
  </w:style>
  <w:style w:type="character" w:customStyle="1" w:styleId="1Char">
    <w:name w:val="Επικεφαλίδα 1 Char"/>
    <w:basedOn w:val="a0"/>
    <w:link w:val="1"/>
    <w:rsid w:val="002C76E1"/>
    <w:rPr>
      <w:rFonts w:ascii="Arial" w:hAnsi="Arial" w:cs="Arial"/>
      <w:b/>
      <w:bCs/>
      <w:kern w:val="32"/>
      <w:sz w:val="32"/>
      <w:szCs w:val="32"/>
    </w:rPr>
  </w:style>
  <w:style w:type="character" w:customStyle="1" w:styleId="2Char">
    <w:name w:val="Επικεφαλίδα 2 Char"/>
    <w:basedOn w:val="a0"/>
    <w:link w:val="2"/>
    <w:rsid w:val="002C76E1"/>
    <w:rPr>
      <w:rFonts w:ascii="Arial" w:hAnsi="Arial" w:cs="Arial"/>
      <w:b/>
      <w:bCs/>
      <w:i/>
      <w:iCs/>
      <w:sz w:val="28"/>
      <w:szCs w:val="28"/>
    </w:rPr>
  </w:style>
  <w:style w:type="character" w:customStyle="1" w:styleId="3Char">
    <w:name w:val="Επικεφαλίδα 3 Char"/>
    <w:basedOn w:val="a0"/>
    <w:link w:val="3"/>
    <w:rsid w:val="002C76E1"/>
    <w:rPr>
      <w:rFonts w:ascii="Arial" w:hAnsi="Arial" w:cs="Arial"/>
      <w:b/>
      <w:bCs/>
      <w:sz w:val="26"/>
      <w:szCs w:val="26"/>
    </w:rPr>
  </w:style>
  <w:style w:type="character" w:customStyle="1" w:styleId="4Char">
    <w:name w:val="Επικεφαλίδα 4 Char"/>
    <w:basedOn w:val="a0"/>
    <w:link w:val="4"/>
    <w:rsid w:val="002C76E1"/>
    <w:rPr>
      <w:rFonts w:ascii="Arial Narrow" w:hAnsi="Arial Narrow"/>
      <w:b/>
      <w:i/>
      <w:color w:val="000080"/>
      <w:sz w:val="24"/>
      <w:szCs w:val="22"/>
    </w:rPr>
  </w:style>
  <w:style w:type="character" w:customStyle="1" w:styleId="5Char">
    <w:name w:val="Επικεφαλίδα 5 Char"/>
    <w:basedOn w:val="a0"/>
    <w:link w:val="5"/>
    <w:rsid w:val="002C76E1"/>
    <w:rPr>
      <w:rFonts w:ascii="Arial Narrow" w:hAnsi="Arial Narrow"/>
      <w:b/>
      <w:sz w:val="22"/>
      <w:szCs w:val="22"/>
    </w:rPr>
  </w:style>
  <w:style w:type="character" w:customStyle="1" w:styleId="6Char">
    <w:name w:val="Επικεφαλίδα 6 Char"/>
    <w:basedOn w:val="a0"/>
    <w:link w:val="6"/>
    <w:rsid w:val="002C76E1"/>
    <w:rPr>
      <w:rFonts w:ascii="Arial Narrow" w:hAnsi="Arial Narrow"/>
      <w:b/>
      <w:color w:val="000080"/>
      <w:sz w:val="26"/>
      <w:szCs w:val="22"/>
    </w:rPr>
  </w:style>
  <w:style w:type="character" w:customStyle="1" w:styleId="7Char">
    <w:name w:val="Επικεφαλίδα 7 Char"/>
    <w:basedOn w:val="a0"/>
    <w:link w:val="7"/>
    <w:rsid w:val="002C76E1"/>
    <w:rPr>
      <w:rFonts w:ascii="Arial Narrow" w:hAnsi="Arial Narrow"/>
      <w:b/>
      <w:color w:val="000080"/>
      <w:sz w:val="22"/>
      <w:szCs w:val="22"/>
    </w:rPr>
  </w:style>
  <w:style w:type="character" w:customStyle="1" w:styleId="8Char">
    <w:name w:val="Επικεφαλίδα 8 Char"/>
    <w:basedOn w:val="a0"/>
    <w:link w:val="8"/>
    <w:rsid w:val="002C76E1"/>
    <w:rPr>
      <w:rFonts w:ascii="Arial Narrow" w:hAnsi="Arial Narrow"/>
      <w:b/>
      <w:i/>
      <w:sz w:val="22"/>
      <w:szCs w:val="22"/>
    </w:rPr>
  </w:style>
  <w:style w:type="character" w:customStyle="1" w:styleId="9Char">
    <w:name w:val="Επικεφαλίδα 9 Char"/>
    <w:basedOn w:val="a0"/>
    <w:link w:val="9"/>
    <w:rsid w:val="002C76E1"/>
    <w:rPr>
      <w:rFonts w:ascii="Arial" w:hAnsi="Arial" w:cs="Arial"/>
      <w:sz w:val="22"/>
      <w:szCs w:val="22"/>
    </w:rPr>
  </w:style>
  <w:style w:type="character" w:customStyle="1" w:styleId="Char">
    <w:name w:val="Κεφαλίδα Char"/>
    <w:basedOn w:val="a0"/>
    <w:link w:val="a3"/>
    <w:rsid w:val="002C76E1"/>
    <w:rPr>
      <w:sz w:val="24"/>
      <w:szCs w:val="24"/>
    </w:rPr>
  </w:style>
  <w:style w:type="character" w:customStyle="1" w:styleId="Char0">
    <w:name w:val="Υποσέλιδο Char"/>
    <w:basedOn w:val="a0"/>
    <w:link w:val="a4"/>
    <w:rsid w:val="002C76E1"/>
    <w:rPr>
      <w:sz w:val="24"/>
      <w:szCs w:val="24"/>
    </w:rPr>
  </w:style>
  <w:style w:type="character" w:customStyle="1" w:styleId="2Char0">
    <w:name w:val="Σώμα κείμενου 2 Char"/>
    <w:basedOn w:val="a0"/>
    <w:link w:val="20"/>
    <w:rsid w:val="002C76E1"/>
    <w:rPr>
      <w:sz w:val="24"/>
      <w:szCs w:val="22"/>
    </w:rPr>
  </w:style>
  <w:style w:type="character" w:customStyle="1" w:styleId="Char2">
    <w:name w:val="Σώμα κειμένου Char"/>
    <w:basedOn w:val="a0"/>
    <w:link w:val="a8"/>
    <w:rsid w:val="002C76E1"/>
    <w:rPr>
      <w:sz w:val="22"/>
      <w:szCs w:val="22"/>
    </w:rPr>
  </w:style>
  <w:style w:type="character" w:customStyle="1" w:styleId="Char3">
    <w:name w:val="Τίτλος Char"/>
    <w:basedOn w:val="a0"/>
    <w:link w:val="a9"/>
    <w:rsid w:val="002C76E1"/>
    <w:rPr>
      <w:b/>
      <w:bCs/>
      <w:sz w:val="24"/>
      <w:szCs w:val="24"/>
      <w:lang w:eastAsia="en-US"/>
    </w:rPr>
  </w:style>
  <w:style w:type="character" w:customStyle="1" w:styleId="Char4">
    <w:name w:val="Σώμα κείμενου με εσοχή Char"/>
    <w:basedOn w:val="a0"/>
    <w:link w:val="aa"/>
    <w:rsid w:val="002C76E1"/>
    <w:rPr>
      <w:sz w:val="22"/>
    </w:rPr>
  </w:style>
  <w:style w:type="character" w:customStyle="1" w:styleId="3Char0">
    <w:name w:val="Σώμα κείμενου 3 Char"/>
    <w:basedOn w:val="a0"/>
    <w:link w:val="30"/>
    <w:rsid w:val="002C76E1"/>
    <w:rPr>
      <w:sz w:val="22"/>
    </w:rPr>
  </w:style>
  <w:style w:type="character" w:customStyle="1" w:styleId="Char5">
    <w:name w:val="Απλό κείμενο Char"/>
    <w:basedOn w:val="a0"/>
    <w:link w:val="ab"/>
    <w:rsid w:val="002C76E1"/>
    <w:rPr>
      <w:rFonts w:ascii="Courier New" w:hAnsi="Courier New"/>
    </w:rPr>
  </w:style>
  <w:style w:type="character" w:customStyle="1" w:styleId="3Char1">
    <w:name w:val="Σώμα κείμενου με εσοχή 3 Char"/>
    <w:basedOn w:val="a0"/>
    <w:link w:val="31"/>
    <w:rsid w:val="002C76E1"/>
    <w:rPr>
      <w:sz w:val="22"/>
    </w:rPr>
  </w:style>
  <w:style w:type="character" w:customStyle="1" w:styleId="Char8">
    <w:name w:val="Κείμενο υποσημείωσης Char"/>
    <w:aliases w:val="Footnote Char,Fußnote Char,Fodnotetekst Tegn Tegn Tegn Tegn Tegn Tegn Tegn Char Char Char,Fodnotetekst Tegn Tegn Tegn Tegn Tegn Tegn Tegn Char Char Char Char Char,Fodnotetekst Tegn Tegn Tegn Tegn Tegn Tegn Tegn Char,lábléc Char"/>
    <w:basedOn w:val="a0"/>
    <w:link w:val="af"/>
    <w:uiPriority w:val="99"/>
    <w:semiHidden/>
    <w:rsid w:val="002C76E1"/>
  </w:style>
  <w:style w:type="paragraph" w:customStyle="1" w:styleId="font5">
    <w:name w:val="font5"/>
    <w:basedOn w:val="a"/>
    <w:rsid w:val="00886B62"/>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886B62"/>
    <w:pPr>
      <w:spacing w:before="100" w:beforeAutospacing="1" w:after="100" w:afterAutospacing="1"/>
    </w:pPr>
    <w:rPr>
      <w:rFonts w:ascii="Tahoma" w:hAnsi="Tahoma" w:cs="Tahoma"/>
      <w:color w:val="000000"/>
      <w:sz w:val="18"/>
      <w:szCs w:val="18"/>
    </w:rPr>
  </w:style>
  <w:style w:type="paragraph" w:customStyle="1" w:styleId="xl76">
    <w:name w:val="xl76"/>
    <w:basedOn w:val="a"/>
    <w:rsid w:val="00886B62"/>
    <w:pP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77">
    <w:name w:val="xl77"/>
    <w:basedOn w:val="a"/>
    <w:rsid w:val="00886B62"/>
    <w:pPr>
      <w:shd w:val="clear" w:color="000000" w:fill="FFFFFF"/>
      <w:spacing w:before="100" w:beforeAutospacing="1" w:after="100" w:afterAutospacing="1"/>
      <w:jc w:val="center"/>
      <w:textAlignment w:val="center"/>
    </w:pPr>
    <w:rPr>
      <w:rFonts w:ascii="Segoe UI" w:hAnsi="Segoe UI" w:cs="Segoe UI"/>
      <w:sz w:val="16"/>
      <w:szCs w:val="16"/>
    </w:rPr>
  </w:style>
  <w:style w:type="paragraph" w:customStyle="1" w:styleId="xl78">
    <w:name w:val="xl78"/>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79">
    <w:name w:val="xl79"/>
    <w:basedOn w:val="a"/>
    <w:rsid w:val="00886B62"/>
    <w:pPr>
      <w:pBdr>
        <w:top w:val="single" w:sz="4"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0">
    <w:name w:val="xl80"/>
    <w:basedOn w:val="a"/>
    <w:rsid w:val="00886B62"/>
    <w:pPr>
      <w:pBdr>
        <w:top w:val="single" w:sz="4" w:space="0" w:color="auto"/>
        <w:bottom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1">
    <w:name w:val="xl81"/>
    <w:basedOn w:val="a"/>
    <w:rsid w:val="00886B62"/>
    <w:pPr>
      <w:pBdr>
        <w:top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2">
    <w:name w:val="xl82"/>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83">
    <w:name w:val="xl83"/>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4">
    <w:name w:val="xl84"/>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85">
    <w:name w:val="xl85"/>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6">
    <w:name w:val="xl86"/>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87">
    <w:name w:val="xl87"/>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i/>
      <w:iCs/>
      <w:sz w:val="16"/>
      <w:szCs w:val="16"/>
    </w:rPr>
  </w:style>
  <w:style w:type="paragraph" w:customStyle="1" w:styleId="xl88">
    <w:name w:val="xl88"/>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89">
    <w:name w:val="xl89"/>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i/>
      <w:iCs/>
      <w:sz w:val="16"/>
      <w:szCs w:val="16"/>
    </w:rPr>
  </w:style>
  <w:style w:type="paragraph" w:customStyle="1" w:styleId="xl90">
    <w:name w:val="xl90"/>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rFonts w:ascii="Arial Narrow" w:hAnsi="Arial Narrow"/>
      <w:b/>
      <w:bCs/>
      <w:i/>
      <w:iCs/>
      <w:sz w:val="16"/>
      <w:szCs w:val="16"/>
    </w:rPr>
  </w:style>
  <w:style w:type="paragraph" w:customStyle="1" w:styleId="xl91">
    <w:name w:val="xl91"/>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886B6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886B6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Narrow" w:hAnsi="Arial Narrow"/>
      <w:b/>
      <w:bCs/>
      <w:i/>
      <w:iCs/>
      <w:sz w:val="16"/>
      <w:szCs w:val="16"/>
    </w:rPr>
  </w:style>
  <w:style w:type="paragraph" w:customStyle="1" w:styleId="xl94">
    <w:name w:val="xl94"/>
    <w:basedOn w:val="a"/>
    <w:rsid w:val="00886B6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Narrow" w:hAnsi="Arial Narrow"/>
      <w:b/>
      <w:bCs/>
      <w:i/>
      <w:iCs/>
      <w:sz w:val="16"/>
      <w:szCs w:val="16"/>
    </w:rPr>
  </w:style>
  <w:style w:type="paragraph" w:customStyle="1" w:styleId="xl95">
    <w:name w:val="xl95"/>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sz w:val="16"/>
      <w:szCs w:val="16"/>
    </w:rPr>
  </w:style>
  <w:style w:type="paragraph" w:customStyle="1" w:styleId="xl96">
    <w:name w:val="xl96"/>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i/>
      <w:iCs/>
      <w:sz w:val="16"/>
      <w:szCs w:val="16"/>
    </w:rPr>
  </w:style>
  <w:style w:type="paragraph" w:customStyle="1" w:styleId="xl97">
    <w:name w:val="xl97"/>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i/>
      <w:iCs/>
      <w:sz w:val="16"/>
      <w:szCs w:val="16"/>
    </w:rPr>
  </w:style>
  <w:style w:type="paragraph" w:customStyle="1" w:styleId="xl98">
    <w:name w:val="xl98"/>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99">
    <w:name w:val="xl99"/>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i/>
      <w:iCs/>
      <w:sz w:val="16"/>
      <w:szCs w:val="16"/>
    </w:rPr>
  </w:style>
  <w:style w:type="paragraph" w:customStyle="1" w:styleId="xl100">
    <w:name w:val="xl100"/>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1">
    <w:name w:val="xl101"/>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sz w:val="16"/>
      <w:szCs w:val="16"/>
    </w:rPr>
  </w:style>
  <w:style w:type="paragraph" w:customStyle="1" w:styleId="xl102">
    <w:name w:val="xl102"/>
    <w:basedOn w:val="a"/>
    <w:rsid w:val="00886B62"/>
    <w:pPr>
      <w:pBdr>
        <w:top w:val="single" w:sz="4" w:space="0" w:color="auto"/>
        <w:left w:val="single" w:sz="8" w:space="0" w:color="auto"/>
        <w:bottom w:val="single" w:sz="4" w:space="0" w:color="auto"/>
      </w:pBdr>
      <w:spacing w:before="100" w:beforeAutospacing="1" w:after="100" w:afterAutospacing="1"/>
      <w:textAlignment w:val="center"/>
    </w:pPr>
    <w:rPr>
      <w:rFonts w:ascii="Arial Narrow" w:hAnsi="Arial Narrow"/>
      <w:i/>
      <w:iCs/>
      <w:sz w:val="16"/>
      <w:szCs w:val="16"/>
    </w:rPr>
  </w:style>
  <w:style w:type="paragraph" w:customStyle="1" w:styleId="xl103">
    <w:name w:val="xl103"/>
    <w:basedOn w:val="a"/>
    <w:rsid w:val="00886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i/>
      <w:iCs/>
      <w:sz w:val="16"/>
      <w:szCs w:val="16"/>
    </w:rPr>
  </w:style>
  <w:style w:type="paragraph" w:customStyle="1" w:styleId="xl104">
    <w:name w:val="xl104"/>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a"/>
    <w:rsid w:val="00886B62"/>
    <w:pPr>
      <w:pBdr>
        <w:top w:val="single" w:sz="4" w:space="0" w:color="auto"/>
        <w:left w:val="single" w:sz="4" w:space="0" w:color="auto"/>
        <w:bottom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8">
    <w:name w:val="xl108"/>
    <w:basedOn w:val="a"/>
    <w:rsid w:val="00886B62"/>
    <w:pPr>
      <w:pBdr>
        <w:top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9">
    <w:name w:val="xl109"/>
    <w:basedOn w:val="a"/>
    <w:rsid w:val="00886B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hAnsi="Arial Narrow"/>
      <w:b/>
      <w:bCs/>
      <w:sz w:val="16"/>
      <w:szCs w:val="16"/>
    </w:rPr>
  </w:style>
  <w:style w:type="paragraph" w:customStyle="1" w:styleId="xl110">
    <w:name w:val="xl110"/>
    <w:basedOn w:val="a"/>
    <w:rsid w:val="00886B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hAnsi="Arial Narrow"/>
      <w:b/>
      <w:bCs/>
      <w:sz w:val="16"/>
      <w:szCs w:val="16"/>
    </w:rPr>
  </w:style>
  <w:style w:type="paragraph" w:customStyle="1" w:styleId="xl111">
    <w:name w:val="xl111"/>
    <w:basedOn w:val="a"/>
    <w:rsid w:val="00886B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hAnsi="Arial Narrow"/>
      <w:b/>
      <w:bCs/>
      <w:sz w:val="16"/>
      <w:szCs w:val="16"/>
    </w:rPr>
  </w:style>
  <w:style w:type="paragraph" w:customStyle="1" w:styleId="xl112">
    <w:name w:val="xl112"/>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3">
    <w:name w:val="xl113"/>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4">
    <w:name w:val="xl114"/>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115">
    <w:name w:val="xl115"/>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16">
    <w:name w:val="xl116"/>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7">
    <w:name w:val="xl117"/>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118">
    <w:name w:val="xl118"/>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i/>
      <w:iCs/>
      <w:sz w:val="16"/>
      <w:szCs w:val="16"/>
    </w:rPr>
  </w:style>
  <w:style w:type="paragraph" w:customStyle="1" w:styleId="xl119">
    <w:name w:val="xl119"/>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120">
    <w:name w:val="xl120"/>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customStyle="1" w:styleId="xl121">
    <w:name w:val="xl121"/>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rFonts w:ascii="Arial Narrow" w:hAnsi="Arial Narrow"/>
      <w:b/>
      <w:bCs/>
      <w:sz w:val="16"/>
      <w:szCs w:val="16"/>
    </w:rPr>
  </w:style>
  <w:style w:type="paragraph" w:customStyle="1" w:styleId="xl122">
    <w:name w:val="xl122"/>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styleId="af3">
    <w:name w:val="No Spacing"/>
    <w:uiPriority w:val="1"/>
    <w:qFormat/>
    <w:rsid w:val="00235EF9"/>
    <w:rPr>
      <w:rFonts w:asciiTheme="minorHAnsi" w:eastAsiaTheme="minorHAnsi" w:hAnsiTheme="minorHAnsi" w:cstheme="minorBidi"/>
      <w:sz w:val="22"/>
      <w:szCs w:val="22"/>
      <w:lang w:eastAsia="en-US"/>
    </w:rPr>
  </w:style>
  <w:style w:type="paragraph" w:styleId="Web">
    <w:name w:val="Normal (Web)"/>
    <w:basedOn w:val="a"/>
    <w:uiPriority w:val="99"/>
    <w:rsid w:val="00D31046"/>
    <w:pPr>
      <w:spacing w:before="100" w:beforeAutospacing="1" w:after="119"/>
    </w:pPr>
  </w:style>
  <w:style w:type="character" w:styleId="af4">
    <w:name w:val="line number"/>
    <w:basedOn w:val="a0"/>
    <w:rsid w:val="00D31046"/>
  </w:style>
  <w:style w:type="character" w:styleId="af5">
    <w:name w:val="Strong"/>
    <w:basedOn w:val="a0"/>
    <w:qFormat/>
    <w:rsid w:val="00D31046"/>
    <w:rPr>
      <w:b/>
      <w:bCs/>
    </w:rPr>
  </w:style>
  <w:style w:type="paragraph" w:customStyle="1" w:styleId="Default">
    <w:name w:val="Default"/>
    <w:rsid w:val="00D31046"/>
    <w:pPr>
      <w:autoSpaceDE w:val="0"/>
      <w:autoSpaceDN w:val="0"/>
      <w:adjustRightInd w:val="0"/>
    </w:pPr>
    <w:rPr>
      <w:rFonts w:eastAsia="Calibri"/>
      <w:color w:val="000000"/>
      <w:sz w:val="24"/>
      <w:szCs w:val="24"/>
      <w:lang w:eastAsia="en-US"/>
    </w:rPr>
  </w:style>
  <w:style w:type="paragraph" w:styleId="-HTML">
    <w:name w:val="HTML Preformatted"/>
    <w:basedOn w:val="a"/>
    <w:link w:val="-HTMLChar"/>
    <w:uiPriority w:val="99"/>
    <w:unhideWhenUsed/>
    <w:rsid w:val="00EF2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EF2957"/>
    <w:rPr>
      <w:rFonts w:ascii="Courier New" w:hAnsi="Courier New" w:cs="Courier New"/>
    </w:rPr>
  </w:style>
  <w:style w:type="paragraph" w:customStyle="1" w:styleId="font7">
    <w:name w:val="font7"/>
    <w:basedOn w:val="a"/>
    <w:rsid w:val="00EF2957"/>
    <w:pPr>
      <w:spacing w:before="100" w:beforeAutospacing="1" w:after="100" w:afterAutospacing="1"/>
    </w:pPr>
    <w:rPr>
      <w:rFonts w:ascii="Segoe UI" w:hAnsi="Segoe UI" w:cs="Segoe UI"/>
      <w:b/>
      <w:bCs/>
      <w:i/>
      <w:iCs/>
      <w:sz w:val="16"/>
      <w:szCs w:val="16"/>
    </w:rPr>
  </w:style>
  <w:style w:type="paragraph" w:customStyle="1" w:styleId="xl52827">
    <w:name w:val="xl52827"/>
    <w:basedOn w:val="a"/>
    <w:rsid w:val="00EF2957"/>
    <w:pPr>
      <w:spacing w:before="100" w:beforeAutospacing="1" w:after="100" w:afterAutospacing="1"/>
      <w:textAlignment w:val="center"/>
    </w:pPr>
    <w:rPr>
      <w:rFonts w:ascii="Segoe UI" w:hAnsi="Segoe UI" w:cs="Segoe UI"/>
      <w:sz w:val="16"/>
      <w:szCs w:val="16"/>
    </w:rPr>
  </w:style>
  <w:style w:type="paragraph" w:customStyle="1" w:styleId="xl52828">
    <w:name w:val="xl52828"/>
    <w:basedOn w:val="a"/>
    <w:rsid w:val="00EF2957"/>
    <w:pPr>
      <w:shd w:val="clear" w:color="000000" w:fill="BFBFBF"/>
      <w:spacing w:before="100" w:beforeAutospacing="1" w:after="100" w:afterAutospacing="1"/>
      <w:textAlignment w:val="center"/>
    </w:pPr>
    <w:rPr>
      <w:rFonts w:ascii="Segoe UI" w:hAnsi="Segoe UI" w:cs="Segoe UI"/>
      <w:sz w:val="16"/>
      <w:szCs w:val="16"/>
    </w:rPr>
  </w:style>
  <w:style w:type="paragraph" w:customStyle="1" w:styleId="xl52829">
    <w:name w:val="xl52829"/>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0">
    <w:name w:val="xl52830"/>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1">
    <w:name w:val="xl52831"/>
    <w:basedOn w:val="a"/>
    <w:rsid w:val="00EF2957"/>
    <w:pPr>
      <w:spacing w:before="100" w:beforeAutospacing="1" w:after="100" w:afterAutospacing="1"/>
      <w:textAlignment w:val="center"/>
    </w:pPr>
    <w:rPr>
      <w:rFonts w:ascii="Segoe UI" w:hAnsi="Segoe UI" w:cs="Segoe UI"/>
      <w:b/>
      <w:bCs/>
      <w:sz w:val="16"/>
      <w:szCs w:val="16"/>
    </w:rPr>
  </w:style>
  <w:style w:type="paragraph" w:customStyle="1" w:styleId="xl52832">
    <w:name w:val="xl52832"/>
    <w:basedOn w:val="a"/>
    <w:rsid w:val="00EF2957"/>
    <w:pPr>
      <w:shd w:val="clear" w:color="000000" w:fill="BFBFBF"/>
      <w:spacing w:before="100" w:beforeAutospacing="1" w:after="100" w:afterAutospacing="1"/>
      <w:textAlignment w:val="center"/>
    </w:pPr>
    <w:rPr>
      <w:rFonts w:ascii="Segoe UI" w:hAnsi="Segoe UI" w:cs="Segoe UI"/>
      <w:b/>
      <w:bCs/>
      <w:sz w:val="16"/>
      <w:szCs w:val="16"/>
    </w:rPr>
  </w:style>
  <w:style w:type="paragraph" w:customStyle="1" w:styleId="xl52833">
    <w:name w:val="xl52833"/>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34">
    <w:name w:val="xl52834"/>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5">
    <w:name w:val="xl52835"/>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36">
    <w:name w:val="xl52836"/>
    <w:basedOn w:val="a"/>
    <w:rsid w:val="00EF2957"/>
    <w:pPr>
      <w:spacing w:before="100" w:beforeAutospacing="1" w:after="100" w:afterAutospacing="1"/>
      <w:textAlignment w:val="center"/>
    </w:pPr>
    <w:rPr>
      <w:rFonts w:ascii="Segoe UI" w:hAnsi="Segoe UI" w:cs="Segoe UI"/>
      <w:color w:val="C00000"/>
      <w:sz w:val="16"/>
      <w:szCs w:val="16"/>
    </w:rPr>
  </w:style>
  <w:style w:type="paragraph" w:customStyle="1" w:styleId="xl52837">
    <w:name w:val="xl52837"/>
    <w:basedOn w:val="a"/>
    <w:rsid w:val="00EF2957"/>
    <w:pPr>
      <w:pBdr>
        <w:left w:val="single" w:sz="4" w:space="0" w:color="auto"/>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38">
    <w:name w:val="xl52838"/>
    <w:basedOn w:val="a"/>
    <w:rsid w:val="00EF2957"/>
    <w:pPr>
      <w:pBdr>
        <w:left w:val="single" w:sz="4" w:space="0" w:color="auto"/>
        <w:righ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39">
    <w:name w:val="xl52839"/>
    <w:basedOn w:val="a"/>
    <w:rsid w:val="00EF2957"/>
    <w:pP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52840">
    <w:name w:val="xl52840"/>
    <w:basedOn w:val="a"/>
    <w:rsid w:val="00EF2957"/>
    <w:pPr>
      <w:spacing w:before="100" w:beforeAutospacing="1" w:after="100" w:afterAutospacing="1"/>
      <w:textAlignment w:val="center"/>
    </w:pPr>
    <w:rPr>
      <w:rFonts w:ascii="Segoe UI" w:hAnsi="Segoe UI" w:cs="Segoe UI"/>
      <w:sz w:val="16"/>
      <w:szCs w:val="16"/>
    </w:rPr>
  </w:style>
  <w:style w:type="paragraph" w:customStyle="1" w:styleId="xl52841">
    <w:name w:val="xl52841"/>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2">
    <w:name w:val="xl52842"/>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3">
    <w:name w:val="xl52843"/>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4">
    <w:name w:val="xl52844"/>
    <w:basedOn w:val="a"/>
    <w:rsid w:val="00EF2957"/>
    <w:pPr>
      <w:spacing w:before="100" w:beforeAutospacing="1" w:after="100" w:afterAutospacing="1"/>
      <w:jc w:val="center"/>
      <w:textAlignment w:val="center"/>
    </w:pPr>
    <w:rPr>
      <w:rFonts w:ascii="Segoe UI" w:hAnsi="Segoe UI" w:cs="Segoe UI"/>
      <w:sz w:val="16"/>
      <w:szCs w:val="16"/>
    </w:rPr>
  </w:style>
  <w:style w:type="paragraph" w:customStyle="1" w:styleId="xl52845">
    <w:name w:val="xl52845"/>
    <w:basedOn w:val="a"/>
    <w:rsid w:val="00EF2957"/>
    <w:pPr>
      <w:pBdr>
        <w:left w:val="single" w:sz="4" w:space="0" w:color="auto"/>
        <w:right w:val="single" w:sz="4" w:space="0" w:color="auto"/>
      </w:pBdr>
      <w:spacing w:before="100" w:beforeAutospacing="1" w:after="100" w:afterAutospacing="1"/>
      <w:jc w:val="center"/>
    </w:pPr>
    <w:rPr>
      <w:rFonts w:ascii="Segoe UI" w:hAnsi="Segoe UI" w:cs="Segoe UI"/>
      <w:sz w:val="16"/>
      <w:szCs w:val="16"/>
    </w:rPr>
  </w:style>
  <w:style w:type="paragraph" w:customStyle="1" w:styleId="xl52846">
    <w:name w:val="xl52846"/>
    <w:basedOn w:val="a"/>
    <w:rsid w:val="00EF2957"/>
    <w:pPr>
      <w:pBdr>
        <w:left w:val="single" w:sz="4" w:space="0" w:color="auto"/>
        <w:right w:val="single" w:sz="8" w:space="0" w:color="auto"/>
      </w:pBdr>
      <w:spacing w:before="100" w:beforeAutospacing="1" w:after="100" w:afterAutospacing="1"/>
      <w:jc w:val="center"/>
    </w:pPr>
    <w:rPr>
      <w:rFonts w:ascii="Segoe UI" w:hAnsi="Segoe UI" w:cs="Segoe UI"/>
      <w:sz w:val="16"/>
      <w:szCs w:val="16"/>
    </w:rPr>
  </w:style>
  <w:style w:type="paragraph" w:customStyle="1" w:styleId="xl52847">
    <w:name w:val="xl52847"/>
    <w:basedOn w:val="a"/>
    <w:rsid w:val="00EF2957"/>
    <w:pPr>
      <w:pBdr>
        <w:left w:val="single" w:sz="4" w:space="0" w:color="auto"/>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848">
    <w:name w:val="xl52848"/>
    <w:basedOn w:val="a"/>
    <w:rsid w:val="00EF2957"/>
    <w:pPr>
      <w:pBdr>
        <w:left w:val="single" w:sz="4" w:space="0" w:color="auto"/>
        <w:right w:val="single" w:sz="8" w:space="0" w:color="auto"/>
      </w:pBdr>
      <w:spacing w:before="100" w:beforeAutospacing="1" w:after="100" w:afterAutospacing="1"/>
      <w:jc w:val="center"/>
    </w:pPr>
    <w:rPr>
      <w:rFonts w:ascii="Segoe UI" w:hAnsi="Segoe UI" w:cs="Segoe UI"/>
      <w:b/>
      <w:bCs/>
      <w:sz w:val="16"/>
      <w:szCs w:val="16"/>
    </w:rPr>
  </w:style>
  <w:style w:type="paragraph" w:customStyle="1" w:styleId="xl52849">
    <w:name w:val="xl52849"/>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0">
    <w:name w:val="xl52850"/>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1">
    <w:name w:val="xl52851"/>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2">
    <w:name w:val="xl52852"/>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3">
    <w:name w:val="xl52853"/>
    <w:basedOn w:val="a"/>
    <w:rsid w:val="00EF2957"/>
    <w:pPr>
      <w:pBdr>
        <w:lef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54">
    <w:name w:val="xl52854"/>
    <w:basedOn w:val="a"/>
    <w:rsid w:val="00EF2957"/>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55">
    <w:name w:val="xl52855"/>
    <w:basedOn w:val="a"/>
    <w:rsid w:val="00EF2957"/>
    <w:pPr>
      <w:pBdr>
        <w:left w:val="single" w:sz="4" w:space="0" w:color="auto"/>
      </w:pBdr>
      <w:spacing w:before="100" w:beforeAutospacing="1" w:after="100" w:afterAutospacing="1"/>
      <w:jc w:val="center"/>
    </w:pPr>
    <w:rPr>
      <w:rFonts w:ascii="Segoe UI" w:hAnsi="Segoe UI" w:cs="Segoe UI"/>
      <w:sz w:val="16"/>
      <w:szCs w:val="16"/>
    </w:rPr>
  </w:style>
  <w:style w:type="paragraph" w:customStyle="1" w:styleId="xl52856">
    <w:name w:val="xl52856"/>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7">
    <w:name w:val="xl52857"/>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8">
    <w:name w:val="xl52858"/>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9">
    <w:name w:val="xl52859"/>
    <w:basedOn w:val="a"/>
    <w:rsid w:val="00EF2957"/>
    <w:pP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860">
    <w:name w:val="xl52860"/>
    <w:basedOn w:val="a"/>
    <w:rsid w:val="00EF2957"/>
    <w:pP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61">
    <w:name w:val="xl52861"/>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2">
    <w:name w:val="xl52862"/>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3">
    <w:name w:val="xl52863"/>
    <w:basedOn w:val="a"/>
    <w:rsid w:val="00EF2957"/>
    <w:pP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64">
    <w:name w:val="xl52864"/>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5">
    <w:name w:val="xl52865"/>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6">
    <w:name w:val="xl52866"/>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7">
    <w:name w:val="xl52867"/>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8">
    <w:name w:val="xl52868"/>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9">
    <w:name w:val="xl52869"/>
    <w:basedOn w:val="a"/>
    <w:rsid w:val="00EF2957"/>
    <w:pPr>
      <w:shd w:val="clear" w:color="000000" w:fill="A5A5A5"/>
      <w:spacing w:before="100" w:beforeAutospacing="1" w:after="100" w:afterAutospacing="1"/>
      <w:textAlignment w:val="center"/>
    </w:pPr>
    <w:rPr>
      <w:rFonts w:ascii="Segoe UI" w:hAnsi="Segoe UI" w:cs="Segoe UI"/>
      <w:color w:val="C00000"/>
      <w:sz w:val="16"/>
      <w:szCs w:val="16"/>
    </w:rPr>
  </w:style>
  <w:style w:type="paragraph" w:customStyle="1" w:styleId="xl52870">
    <w:name w:val="xl52870"/>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871">
    <w:name w:val="xl52871"/>
    <w:basedOn w:val="a"/>
    <w:rsid w:val="00EF2957"/>
    <w:pPr>
      <w:pBdr>
        <w:left w:val="single" w:sz="8" w:space="0" w:color="auto"/>
      </w:pBdr>
      <w:spacing w:before="100" w:beforeAutospacing="1" w:after="100" w:afterAutospacing="1"/>
      <w:textAlignment w:val="center"/>
    </w:pPr>
    <w:rPr>
      <w:rFonts w:ascii="Segoe UI" w:hAnsi="Segoe UI" w:cs="Segoe UI"/>
      <w:b/>
      <w:bCs/>
      <w:sz w:val="16"/>
      <w:szCs w:val="16"/>
    </w:rPr>
  </w:style>
  <w:style w:type="paragraph" w:customStyle="1" w:styleId="xl52872">
    <w:name w:val="xl52872"/>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73">
    <w:name w:val="xl52873"/>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74">
    <w:name w:val="xl52874"/>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5">
    <w:name w:val="xl52875"/>
    <w:basedOn w:val="a"/>
    <w:rsid w:val="00EF2957"/>
    <w:pPr>
      <w:pBdr>
        <w:left w:val="single" w:sz="8" w:space="0" w:color="auto"/>
      </w:pBd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52876">
    <w:name w:val="xl52876"/>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7">
    <w:name w:val="xl52877"/>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8">
    <w:name w:val="xl52878"/>
    <w:basedOn w:val="a"/>
    <w:rsid w:val="00EF2957"/>
    <w:pPr>
      <w:pBdr>
        <w:left w:val="single" w:sz="8"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52879">
    <w:name w:val="xl52879"/>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80">
    <w:name w:val="xl52880"/>
    <w:basedOn w:val="a"/>
    <w:rsid w:val="00EF2957"/>
    <w:pPr>
      <w:pBdr>
        <w:left w:val="single" w:sz="8" w:space="0" w:color="auto"/>
      </w:pBdr>
      <w:spacing w:before="100" w:beforeAutospacing="1" w:after="100" w:afterAutospacing="1"/>
      <w:textAlignment w:val="center"/>
    </w:pPr>
    <w:rPr>
      <w:rFonts w:ascii="Segoe UI" w:hAnsi="Segoe UI" w:cs="Segoe UI"/>
      <w:b/>
      <w:bCs/>
      <w:sz w:val="16"/>
      <w:szCs w:val="16"/>
    </w:rPr>
  </w:style>
  <w:style w:type="paragraph" w:customStyle="1" w:styleId="xl52881">
    <w:name w:val="xl52881"/>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i/>
      <w:iCs/>
      <w:sz w:val="16"/>
      <w:szCs w:val="16"/>
    </w:rPr>
  </w:style>
  <w:style w:type="paragraph" w:customStyle="1" w:styleId="xl52882">
    <w:name w:val="xl52882"/>
    <w:basedOn w:val="a"/>
    <w:rsid w:val="00EF2957"/>
    <w:pPr>
      <w:pBdr>
        <w:left w:val="single" w:sz="8" w:space="0" w:color="auto"/>
      </w:pBdr>
      <w:spacing w:before="100" w:beforeAutospacing="1" w:after="100" w:afterAutospacing="1"/>
    </w:pPr>
    <w:rPr>
      <w:rFonts w:ascii="Segoe UI" w:hAnsi="Segoe UI" w:cs="Segoe UI"/>
      <w:sz w:val="16"/>
      <w:szCs w:val="16"/>
    </w:rPr>
  </w:style>
  <w:style w:type="paragraph" w:customStyle="1" w:styleId="xl52883">
    <w:name w:val="xl52883"/>
    <w:basedOn w:val="a"/>
    <w:rsid w:val="00EF2957"/>
    <w:pPr>
      <w:pBdr>
        <w:left w:val="single" w:sz="8" w:space="0" w:color="auto"/>
      </w:pBdr>
      <w:spacing w:before="100" w:beforeAutospacing="1" w:after="100" w:afterAutospacing="1"/>
    </w:pPr>
    <w:rPr>
      <w:rFonts w:ascii="Segoe UI" w:hAnsi="Segoe UI" w:cs="Segoe UI"/>
      <w:b/>
      <w:bCs/>
      <w:sz w:val="16"/>
      <w:szCs w:val="16"/>
    </w:rPr>
  </w:style>
  <w:style w:type="paragraph" w:customStyle="1" w:styleId="xl52884">
    <w:name w:val="xl52884"/>
    <w:basedOn w:val="a"/>
    <w:rsid w:val="00EF2957"/>
    <w:pPr>
      <w:pBdr>
        <w:left w:val="single" w:sz="8" w:space="0" w:color="auto"/>
      </w:pBdr>
      <w:spacing w:before="100" w:beforeAutospacing="1" w:after="100" w:afterAutospacing="1"/>
    </w:pPr>
    <w:rPr>
      <w:rFonts w:ascii="Segoe UI" w:hAnsi="Segoe UI" w:cs="Segoe UI"/>
      <w:sz w:val="16"/>
      <w:szCs w:val="16"/>
    </w:rPr>
  </w:style>
  <w:style w:type="paragraph" w:customStyle="1" w:styleId="xl52885">
    <w:name w:val="xl52885"/>
    <w:basedOn w:val="a"/>
    <w:rsid w:val="00EF2957"/>
    <w:pPr>
      <w:pBdr>
        <w:left w:val="single" w:sz="8" w:space="0" w:color="auto"/>
      </w:pBdr>
      <w:shd w:val="clear" w:color="000000" w:fill="FFFFFF"/>
      <w:spacing w:before="100" w:beforeAutospacing="1" w:after="100" w:afterAutospacing="1"/>
    </w:pPr>
    <w:rPr>
      <w:rFonts w:ascii="Segoe UI" w:hAnsi="Segoe UI" w:cs="Segoe UI"/>
      <w:b/>
      <w:bCs/>
      <w:i/>
      <w:iCs/>
      <w:sz w:val="16"/>
      <w:szCs w:val="16"/>
    </w:rPr>
  </w:style>
  <w:style w:type="paragraph" w:customStyle="1" w:styleId="xl52886">
    <w:name w:val="xl52886"/>
    <w:basedOn w:val="a"/>
    <w:rsid w:val="00EF2957"/>
    <w:pPr>
      <w:pBdr>
        <w:left w:val="single" w:sz="8" w:space="0" w:color="auto"/>
      </w:pBdr>
      <w:shd w:val="clear" w:color="000000" w:fill="FFFFFF"/>
      <w:spacing w:before="100" w:beforeAutospacing="1" w:after="100" w:afterAutospacing="1"/>
    </w:pPr>
    <w:rPr>
      <w:rFonts w:ascii="Segoe UI" w:hAnsi="Segoe UI" w:cs="Segoe UI"/>
      <w:b/>
      <w:bCs/>
      <w:sz w:val="16"/>
      <w:szCs w:val="16"/>
    </w:rPr>
  </w:style>
  <w:style w:type="paragraph" w:customStyle="1" w:styleId="xl52887">
    <w:name w:val="xl52887"/>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88">
    <w:name w:val="xl52888"/>
    <w:basedOn w:val="a"/>
    <w:rsid w:val="00EF2957"/>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89">
    <w:name w:val="xl52889"/>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0">
    <w:name w:val="xl52890"/>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1">
    <w:name w:val="xl52891"/>
    <w:basedOn w:val="a"/>
    <w:rsid w:val="00EF2957"/>
    <w:pPr>
      <w:pBdr>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92">
    <w:name w:val="xl52892"/>
    <w:basedOn w:val="a"/>
    <w:rsid w:val="00EF2957"/>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93">
    <w:name w:val="xl52893"/>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4">
    <w:name w:val="xl52894"/>
    <w:basedOn w:val="a"/>
    <w:rsid w:val="00EF2957"/>
    <w:pPr>
      <w:pBdr>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95">
    <w:name w:val="xl52895"/>
    <w:basedOn w:val="a"/>
    <w:rsid w:val="00EF2957"/>
    <w:pPr>
      <w:pBdr>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896">
    <w:name w:val="xl52896"/>
    <w:basedOn w:val="a"/>
    <w:rsid w:val="00EF2957"/>
    <w:pPr>
      <w:pBdr>
        <w:right w:val="single" w:sz="4" w:space="0" w:color="auto"/>
      </w:pBdr>
      <w:spacing w:before="100" w:beforeAutospacing="1" w:after="100" w:afterAutospacing="1"/>
      <w:jc w:val="center"/>
    </w:pPr>
    <w:rPr>
      <w:rFonts w:ascii="Segoe UI" w:hAnsi="Segoe UI" w:cs="Segoe UI"/>
      <w:sz w:val="16"/>
      <w:szCs w:val="16"/>
    </w:rPr>
  </w:style>
  <w:style w:type="paragraph" w:customStyle="1" w:styleId="xl52897">
    <w:name w:val="xl52897"/>
    <w:basedOn w:val="a"/>
    <w:rsid w:val="00EF2957"/>
    <w:pPr>
      <w:pBdr>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898">
    <w:name w:val="xl52898"/>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99">
    <w:name w:val="xl52899"/>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00">
    <w:name w:val="xl52900"/>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01">
    <w:name w:val="xl52901"/>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02">
    <w:name w:val="xl52902"/>
    <w:basedOn w:val="a"/>
    <w:rsid w:val="00EF2957"/>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3">
    <w:name w:val="xl52903"/>
    <w:basedOn w:val="a"/>
    <w:rsid w:val="00EF2957"/>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4">
    <w:name w:val="xl52904"/>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5">
    <w:name w:val="xl52905"/>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6">
    <w:name w:val="xl52906"/>
    <w:basedOn w:val="a"/>
    <w:rsid w:val="00EF2957"/>
    <w:pPr>
      <w:pBdr>
        <w:lef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07">
    <w:name w:val="xl52907"/>
    <w:basedOn w:val="a"/>
    <w:rsid w:val="00EF2957"/>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8">
    <w:name w:val="xl52908"/>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9">
    <w:name w:val="xl52909"/>
    <w:basedOn w:val="a"/>
    <w:rsid w:val="00EF2957"/>
    <w:pPr>
      <w:pBdr>
        <w:lef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10">
    <w:name w:val="xl52910"/>
    <w:basedOn w:val="a"/>
    <w:rsid w:val="00EF2957"/>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11">
    <w:name w:val="xl52911"/>
    <w:basedOn w:val="a"/>
    <w:rsid w:val="00EF2957"/>
    <w:pPr>
      <w:pBdr>
        <w:left w:val="single" w:sz="8" w:space="0" w:color="auto"/>
      </w:pBdr>
      <w:spacing w:before="100" w:beforeAutospacing="1" w:after="100" w:afterAutospacing="1"/>
      <w:jc w:val="center"/>
    </w:pPr>
    <w:rPr>
      <w:rFonts w:ascii="Segoe UI" w:hAnsi="Segoe UI" w:cs="Segoe UI"/>
      <w:sz w:val="16"/>
      <w:szCs w:val="16"/>
    </w:rPr>
  </w:style>
  <w:style w:type="paragraph" w:customStyle="1" w:styleId="xl52912">
    <w:name w:val="xl52912"/>
    <w:basedOn w:val="a"/>
    <w:rsid w:val="00EF2957"/>
    <w:pPr>
      <w:pBdr>
        <w:left w:val="single" w:sz="8" w:space="0" w:color="auto"/>
      </w:pBdr>
      <w:spacing w:before="100" w:beforeAutospacing="1" w:after="100" w:afterAutospacing="1"/>
      <w:jc w:val="center"/>
    </w:pPr>
    <w:rPr>
      <w:rFonts w:ascii="Segoe UI" w:hAnsi="Segoe UI" w:cs="Segoe UI"/>
      <w:b/>
      <w:bCs/>
      <w:sz w:val="16"/>
      <w:szCs w:val="16"/>
    </w:rPr>
  </w:style>
  <w:style w:type="paragraph" w:customStyle="1" w:styleId="xl52913">
    <w:name w:val="xl52913"/>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14">
    <w:name w:val="xl52914"/>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15">
    <w:name w:val="xl52915"/>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16">
    <w:name w:val="xl52916"/>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17">
    <w:name w:val="xl52917"/>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18">
    <w:name w:val="xl52918"/>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19">
    <w:name w:val="xl52919"/>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20">
    <w:name w:val="xl52920"/>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21">
    <w:name w:val="xl52921"/>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22">
    <w:name w:val="xl52922"/>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23">
    <w:name w:val="xl52923"/>
    <w:basedOn w:val="a"/>
    <w:rsid w:val="00EF2957"/>
    <w:pPr>
      <w:pBdr>
        <w:left w:val="single" w:sz="8" w:space="0" w:color="auto"/>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24">
    <w:name w:val="xl52924"/>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25">
    <w:name w:val="xl52925"/>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26">
    <w:name w:val="xl52926"/>
    <w:basedOn w:val="a"/>
    <w:rsid w:val="00EF2957"/>
    <w:pPr>
      <w:pBdr>
        <w:left w:val="single" w:sz="8" w:space="0" w:color="auto"/>
        <w:right w:val="single" w:sz="4" w:space="0" w:color="auto"/>
      </w:pBdr>
      <w:spacing w:before="100" w:beforeAutospacing="1" w:after="100" w:afterAutospacing="1"/>
      <w:jc w:val="center"/>
    </w:pPr>
    <w:rPr>
      <w:rFonts w:ascii="Segoe UI" w:hAnsi="Segoe UI" w:cs="Segoe UI"/>
      <w:sz w:val="16"/>
      <w:szCs w:val="16"/>
    </w:rPr>
  </w:style>
  <w:style w:type="paragraph" w:customStyle="1" w:styleId="xl52927">
    <w:name w:val="xl52927"/>
    <w:basedOn w:val="a"/>
    <w:rsid w:val="00EF2957"/>
    <w:pPr>
      <w:pBdr>
        <w:left w:val="single" w:sz="8" w:space="0" w:color="auto"/>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928">
    <w:name w:val="xl52928"/>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29">
    <w:name w:val="xl52929"/>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0">
    <w:name w:val="xl52930"/>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1">
    <w:name w:val="xl52931"/>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2">
    <w:name w:val="xl52932"/>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33">
    <w:name w:val="xl52933"/>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4">
    <w:name w:val="xl52934"/>
    <w:basedOn w:val="a"/>
    <w:rsid w:val="00EF2957"/>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5">
    <w:name w:val="xl52935"/>
    <w:basedOn w:val="a"/>
    <w:rsid w:val="00EF2957"/>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6">
    <w:name w:val="xl52936"/>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37">
    <w:name w:val="xl52937"/>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38">
    <w:name w:val="xl52938"/>
    <w:basedOn w:val="a"/>
    <w:rsid w:val="00EF2957"/>
    <w:pPr>
      <w:pBdr>
        <w:lef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39">
    <w:name w:val="xl52939"/>
    <w:basedOn w:val="a"/>
    <w:rsid w:val="00EF2957"/>
    <w:pPr>
      <w:pBdr>
        <w:lef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40">
    <w:name w:val="xl52940"/>
    <w:basedOn w:val="a"/>
    <w:rsid w:val="00EF2957"/>
    <w:pPr>
      <w:pBdr>
        <w:left w:val="single" w:sz="4" w:space="0" w:color="auto"/>
      </w:pBdr>
      <w:spacing w:before="100" w:beforeAutospacing="1" w:after="100" w:afterAutospacing="1"/>
      <w:jc w:val="center"/>
    </w:pPr>
    <w:rPr>
      <w:rFonts w:ascii="Segoe UI" w:hAnsi="Segoe UI" w:cs="Segoe UI"/>
      <w:b/>
      <w:bCs/>
      <w:sz w:val="16"/>
      <w:szCs w:val="16"/>
    </w:rPr>
  </w:style>
  <w:style w:type="paragraph" w:customStyle="1" w:styleId="xl52941">
    <w:name w:val="xl52941"/>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42">
    <w:name w:val="xl52942"/>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43">
    <w:name w:val="xl52943"/>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44">
    <w:name w:val="xl52944"/>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45">
    <w:name w:val="xl52945"/>
    <w:basedOn w:val="a"/>
    <w:rsid w:val="00EF2957"/>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46">
    <w:name w:val="xl52946"/>
    <w:basedOn w:val="a"/>
    <w:rsid w:val="00EF2957"/>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47">
    <w:name w:val="xl52947"/>
    <w:basedOn w:val="a"/>
    <w:rsid w:val="00EF2957"/>
    <w:pPr>
      <w:spacing w:before="100" w:beforeAutospacing="1" w:after="100" w:afterAutospacing="1"/>
      <w:jc w:val="center"/>
      <w:textAlignment w:val="center"/>
    </w:pPr>
    <w:rPr>
      <w:rFonts w:ascii="Segoe UI" w:hAnsi="Segoe UI" w:cs="Segoe UI"/>
      <w:sz w:val="16"/>
      <w:szCs w:val="16"/>
    </w:rPr>
  </w:style>
  <w:style w:type="paragraph" w:customStyle="1" w:styleId="xl52948">
    <w:name w:val="xl52948"/>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49">
    <w:name w:val="xl52949"/>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0">
    <w:name w:val="xl52950"/>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1">
    <w:name w:val="xl52951"/>
    <w:basedOn w:val="a"/>
    <w:rsid w:val="00EF2957"/>
    <w:pPr>
      <w:pBdr>
        <w:righ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52">
    <w:name w:val="xl52952"/>
    <w:basedOn w:val="a"/>
    <w:rsid w:val="00EF2957"/>
    <w:pPr>
      <w:pBdr>
        <w:righ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53">
    <w:name w:val="xl52953"/>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4">
    <w:name w:val="xl52954"/>
    <w:basedOn w:val="a"/>
    <w:rsid w:val="00EF2957"/>
    <w:pPr>
      <w:spacing w:before="100" w:beforeAutospacing="1" w:after="100" w:afterAutospacing="1"/>
      <w:jc w:val="center"/>
      <w:textAlignment w:val="center"/>
    </w:pPr>
    <w:rPr>
      <w:rFonts w:ascii="Segoe UI" w:hAnsi="Segoe UI" w:cs="Segoe UI"/>
      <w:b/>
      <w:bCs/>
      <w:sz w:val="16"/>
      <w:szCs w:val="16"/>
    </w:rPr>
  </w:style>
  <w:style w:type="paragraph" w:customStyle="1" w:styleId="xl52955">
    <w:name w:val="xl52955"/>
    <w:basedOn w:val="a"/>
    <w:rsid w:val="00EF2957"/>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56">
    <w:name w:val="xl52956"/>
    <w:basedOn w:val="a"/>
    <w:rsid w:val="00EF2957"/>
    <w:pPr>
      <w:pBdr>
        <w:right w:val="single" w:sz="8" w:space="0" w:color="auto"/>
      </w:pBdr>
      <w:spacing w:before="100" w:beforeAutospacing="1" w:after="100" w:afterAutospacing="1"/>
      <w:jc w:val="center"/>
    </w:pPr>
    <w:rPr>
      <w:rFonts w:ascii="Segoe UI" w:hAnsi="Segoe UI" w:cs="Segoe UI"/>
      <w:sz w:val="16"/>
      <w:szCs w:val="16"/>
    </w:rPr>
  </w:style>
  <w:style w:type="paragraph" w:customStyle="1" w:styleId="xl52957">
    <w:name w:val="xl52957"/>
    <w:basedOn w:val="a"/>
    <w:rsid w:val="00EF2957"/>
    <w:pPr>
      <w:spacing w:before="100" w:beforeAutospacing="1" w:after="100" w:afterAutospacing="1"/>
      <w:jc w:val="center"/>
    </w:pPr>
    <w:rPr>
      <w:rFonts w:ascii="Segoe UI" w:hAnsi="Segoe UI" w:cs="Segoe UI"/>
      <w:sz w:val="16"/>
      <w:szCs w:val="16"/>
    </w:rPr>
  </w:style>
  <w:style w:type="paragraph" w:customStyle="1" w:styleId="xl52958">
    <w:name w:val="xl52958"/>
    <w:basedOn w:val="a"/>
    <w:rsid w:val="00EF2957"/>
    <w:pPr>
      <w:pBdr>
        <w:right w:val="single" w:sz="8" w:space="0" w:color="auto"/>
      </w:pBdr>
      <w:spacing w:before="100" w:beforeAutospacing="1" w:after="100" w:afterAutospacing="1"/>
      <w:jc w:val="center"/>
    </w:pPr>
    <w:rPr>
      <w:rFonts w:ascii="Segoe UI" w:hAnsi="Segoe UI" w:cs="Segoe UI"/>
      <w:b/>
      <w:bCs/>
      <w:sz w:val="16"/>
      <w:szCs w:val="16"/>
    </w:rPr>
  </w:style>
  <w:style w:type="paragraph" w:customStyle="1" w:styleId="xl52959">
    <w:name w:val="xl52959"/>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60">
    <w:name w:val="xl52960"/>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1">
    <w:name w:val="xl52961"/>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62">
    <w:name w:val="xl52962"/>
    <w:basedOn w:val="a"/>
    <w:rsid w:val="00EF2957"/>
    <w:pPr>
      <w:pBdr>
        <w:top w:val="single" w:sz="8" w:space="0" w:color="auto"/>
        <w:bottom w:val="single" w:sz="8" w:space="0" w:color="auto"/>
      </w:pBd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963">
    <w:name w:val="xl52963"/>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64">
    <w:name w:val="xl52964"/>
    <w:basedOn w:val="a"/>
    <w:rsid w:val="00EF2957"/>
    <w:pP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5">
    <w:name w:val="xl52965"/>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6">
    <w:name w:val="xl52966"/>
    <w:basedOn w:val="a"/>
    <w:rsid w:val="00EF2957"/>
    <w:pPr>
      <w:spacing w:before="100" w:beforeAutospacing="1" w:after="100" w:afterAutospacing="1"/>
      <w:jc w:val="center"/>
      <w:textAlignment w:val="center"/>
    </w:pPr>
    <w:rPr>
      <w:rFonts w:ascii="Segoe UI" w:hAnsi="Segoe UI" w:cs="Segoe UI"/>
      <w:sz w:val="16"/>
      <w:szCs w:val="16"/>
    </w:rPr>
  </w:style>
  <w:style w:type="paragraph" w:customStyle="1" w:styleId="xl52967">
    <w:name w:val="xl52967"/>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68">
    <w:name w:val="xl52968"/>
    <w:basedOn w:val="a"/>
    <w:rsid w:val="00EF2957"/>
    <w:pP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69">
    <w:name w:val="xl52969"/>
    <w:basedOn w:val="a"/>
    <w:rsid w:val="00EF2957"/>
    <w:pPr>
      <w:spacing w:before="100" w:beforeAutospacing="1" w:after="100" w:afterAutospacing="1"/>
      <w:jc w:val="center"/>
    </w:pPr>
    <w:rPr>
      <w:rFonts w:ascii="Segoe UI" w:hAnsi="Segoe UI" w:cs="Segoe UI"/>
      <w:b/>
      <w:bCs/>
      <w:sz w:val="16"/>
      <w:szCs w:val="16"/>
    </w:rPr>
  </w:style>
  <w:style w:type="paragraph" w:customStyle="1" w:styleId="xl52970">
    <w:name w:val="xl52970"/>
    <w:basedOn w:val="a"/>
    <w:rsid w:val="00EF2957"/>
    <w:pP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71">
    <w:name w:val="xl52971"/>
    <w:basedOn w:val="a"/>
    <w:rsid w:val="00EF2957"/>
    <w:pPr>
      <w:shd w:val="clear" w:color="000000" w:fill="FFFFFF"/>
      <w:spacing w:before="100" w:beforeAutospacing="1" w:after="100" w:afterAutospacing="1"/>
      <w:jc w:val="center"/>
    </w:pPr>
    <w:rPr>
      <w:rFonts w:ascii="Segoe UI" w:hAnsi="Segoe UI" w:cs="Segoe UI"/>
      <w:b/>
      <w:bCs/>
      <w:sz w:val="16"/>
      <w:szCs w:val="16"/>
    </w:rPr>
  </w:style>
  <w:style w:type="paragraph" w:customStyle="1" w:styleId="xl52972">
    <w:name w:val="xl52972"/>
    <w:basedOn w:val="a"/>
    <w:rsid w:val="00EF2957"/>
    <w:pP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73">
    <w:name w:val="xl52973"/>
    <w:basedOn w:val="a"/>
    <w:rsid w:val="00EF2957"/>
    <w:pPr>
      <w:pBdr>
        <w:bottom w:val="single" w:sz="8" w:space="0" w:color="auto"/>
      </w:pBd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974">
    <w:name w:val="xl52974"/>
    <w:basedOn w:val="a"/>
    <w:rsid w:val="00EF2957"/>
    <w:pPr>
      <w:spacing w:before="100" w:beforeAutospacing="1" w:after="100" w:afterAutospacing="1"/>
      <w:jc w:val="center"/>
      <w:textAlignment w:val="center"/>
    </w:pPr>
    <w:rPr>
      <w:rFonts w:ascii="Segoe UI" w:hAnsi="Segoe UI" w:cs="Segoe UI"/>
      <w:color w:val="FFFFFF"/>
      <w:sz w:val="16"/>
      <w:szCs w:val="16"/>
    </w:rPr>
  </w:style>
  <w:style w:type="paragraph" w:customStyle="1" w:styleId="xl52975">
    <w:name w:val="xl52975"/>
    <w:basedOn w:val="a"/>
    <w:rsid w:val="00EF2957"/>
    <w:pPr>
      <w:pBdr>
        <w:top w:val="single" w:sz="8" w:space="0" w:color="auto"/>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6">
    <w:name w:val="xl52976"/>
    <w:basedOn w:val="a"/>
    <w:rsid w:val="00EF2957"/>
    <w:pPr>
      <w:pBdr>
        <w:top w:val="single" w:sz="8" w:space="0" w:color="auto"/>
        <w:left w:val="single" w:sz="4"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7">
    <w:name w:val="xl52977"/>
    <w:basedOn w:val="a"/>
    <w:rsid w:val="00EF2957"/>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8">
    <w:name w:val="xl52978"/>
    <w:basedOn w:val="a"/>
    <w:rsid w:val="00EF2957"/>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79">
    <w:name w:val="xl52979"/>
    <w:basedOn w:val="a"/>
    <w:rsid w:val="00EF2957"/>
    <w:pPr>
      <w:pBdr>
        <w:top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0">
    <w:name w:val="xl52980"/>
    <w:basedOn w:val="a"/>
    <w:rsid w:val="00EF2957"/>
    <w:pPr>
      <w:pBdr>
        <w:top w:val="single" w:sz="8" w:space="0" w:color="auto"/>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1">
    <w:name w:val="xl52981"/>
    <w:basedOn w:val="a"/>
    <w:rsid w:val="00EF2957"/>
    <w:pPr>
      <w:pBdr>
        <w:top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82">
    <w:name w:val="xl52982"/>
    <w:basedOn w:val="a"/>
    <w:rsid w:val="00EF2957"/>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3">
    <w:name w:val="xl52983"/>
    <w:basedOn w:val="a"/>
    <w:rsid w:val="00EF2957"/>
    <w:pPr>
      <w:pBdr>
        <w:righ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84">
    <w:name w:val="xl52984"/>
    <w:basedOn w:val="a"/>
    <w:rsid w:val="00EF2957"/>
    <w:pPr>
      <w:pBdr>
        <w:left w:val="single" w:sz="8" w:space="0" w:color="auto"/>
      </w:pBdr>
      <w:shd w:val="clear" w:color="000000" w:fill="A5A5A5"/>
      <w:spacing w:before="100" w:beforeAutospacing="1" w:after="100" w:afterAutospacing="1"/>
    </w:pPr>
    <w:rPr>
      <w:rFonts w:ascii="Segoe UI" w:hAnsi="Segoe UI" w:cs="Segoe UI"/>
      <w:b/>
      <w:bCs/>
      <w:sz w:val="16"/>
      <w:szCs w:val="16"/>
    </w:rPr>
  </w:style>
  <w:style w:type="paragraph" w:customStyle="1" w:styleId="xl52985">
    <w:name w:val="xl52985"/>
    <w:basedOn w:val="a"/>
    <w:rsid w:val="00EF2957"/>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6">
    <w:name w:val="xl52986"/>
    <w:basedOn w:val="a"/>
    <w:rsid w:val="00EF2957"/>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7">
    <w:name w:val="xl52987"/>
    <w:basedOn w:val="a"/>
    <w:rsid w:val="00EF2957"/>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8">
    <w:name w:val="xl52988"/>
    <w:basedOn w:val="a"/>
    <w:rsid w:val="00EF2957"/>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9">
    <w:name w:val="xl52989"/>
    <w:basedOn w:val="a"/>
    <w:rsid w:val="00EF2957"/>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0">
    <w:name w:val="xl52990"/>
    <w:basedOn w:val="a"/>
    <w:rsid w:val="00EF2957"/>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1">
    <w:name w:val="xl52991"/>
    <w:basedOn w:val="a"/>
    <w:rsid w:val="00EF2957"/>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2">
    <w:name w:val="xl52992"/>
    <w:basedOn w:val="a"/>
    <w:rsid w:val="00EF2957"/>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3">
    <w:name w:val="xl52993"/>
    <w:basedOn w:val="a"/>
    <w:rsid w:val="00EF2957"/>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4">
    <w:name w:val="xl52994"/>
    <w:basedOn w:val="a"/>
    <w:rsid w:val="00EF2957"/>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5">
    <w:name w:val="xl52995"/>
    <w:basedOn w:val="a"/>
    <w:rsid w:val="00EF2957"/>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6">
    <w:name w:val="xl52996"/>
    <w:basedOn w:val="a"/>
    <w:rsid w:val="00EF2957"/>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7">
    <w:name w:val="xl52997"/>
    <w:basedOn w:val="a"/>
    <w:rsid w:val="00EF2957"/>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8">
    <w:name w:val="xl52998"/>
    <w:basedOn w:val="a"/>
    <w:rsid w:val="00EF2957"/>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9">
    <w:name w:val="xl52999"/>
    <w:basedOn w:val="a"/>
    <w:rsid w:val="00EF2957"/>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0">
    <w:name w:val="xl53000"/>
    <w:basedOn w:val="a"/>
    <w:rsid w:val="00EF2957"/>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1">
    <w:name w:val="xl53001"/>
    <w:basedOn w:val="a"/>
    <w:rsid w:val="00EF2957"/>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2">
    <w:name w:val="xl53002"/>
    <w:basedOn w:val="a"/>
    <w:rsid w:val="00EF2957"/>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3">
    <w:name w:val="xl53003"/>
    <w:basedOn w:val="a"/>
    <w:rsid w:val="00EF2957"/>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4">
    <w:name w:val="xl53004"/>
    <w:basedOn w:val="a"/>
    <w:rsid w:val="00EF2957"/>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5">
    <w:name w:val="xl53005"/>
    <w:basedOn w:val="a"/>
    <w:rsid w:val="00EF2957"/>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6">
    <w:name w:val="xl53006"/>
    <w:basedOn w:val="a"/>
    <w:rsid w:val="00EF2957"/>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7">
    <w:name w:val="xl53007"/>
    <w:basedOn w:val="a"/>
    <w:rsid w:val="00EF2957"/>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8">
    <w:name w:val="xl53008"/>
    <w:basedOn w:val="a"/>
    <w:rsid w:val="00EF2957"/>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9">
    <w:name w:val="xl53009"/>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0">
    <w:name w:val="xl53010"/>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1">
    <w:name w:val="xl53011"/>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2">
    <w:name w:val="xl53012"/>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3">
    <w:name w:val="xl53013"/>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4">
    <w:name w:val="xl53014"/>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5">
    <w:name w:val="xl53015"/>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6">
    <w:name w:val="xl53016"/>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7">
    <w:name w:val="xl53017"/>
    <w:basedOn w:val="a"/>
    <w:rsid w:val="00EF2957"/>
    <w:pPr>
      <w:pBdr>
        <w:left w:val="single" w:sz="8" w:space="0" w:color="auto"/>
        <w:bottom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3018">
    <w:name w:val="xl53018"/>
    <w:basedOn w:val="a"/>
    <w:rsid w:val="00EF2957"/>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9">
    <w:name w:val="xl53019"/>
    <w:basedOn w:val="a"/>
    <w:rsid w:val="00EF295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0">
    <w:name w:val="xl53020"/>
    <w:basedOn w:val="a"/>
    <w:rsid w:val="00EF2957"/>
    <w:pPr>
      <w:pBdr>
        <w:left w:val="single" w:sz="4"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1">
    <w:name w:val="xl53021"/>
    <w:basedOn w:val="a"/>
    <w:rsid w:val="00EF295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2">
    <w:name w:val="xl53022"/>
    <w:basedOn w:val="a"/>
    <w:rsid w:val="00EF2957"/>
    <w:pPr>
      <w:pBdr>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3">
    <w:name w:val="xl53023"/>
    <w:basedOn w:val="a"/>
    <w:rsid w:val="00EF2957"/>
    <w:pPr>
      <w:pBdr>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4">
    <w:name w:val="xl53024"/>
    <w:basedOn w:val="a"/>
    <w:rsid w:val="00EF2957"/>
    <w:pPr>
      <w:pBdr>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5">
    <w:name w:val="xl53025"/>
    <w:basedOn w:val="a"/>
    <w:rsid w:val="00EF2957"/>
    <w:pPr>
      <w:pBdr>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6">
    <w:name w:val="xl53026"/>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3027">
    <w:name w:val="xl53027"/>
    <w:basedOn w:val="a"/>
    <w:rsid w:val="00EF2957"/>
    <w:pPr>
      <w:pBdr>
        <w:left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53028">
    <w:name w:val="xl53028"/>
    <w:basedOn w:val="a"/>
    <w:rsid w:val="00EF2957"/>
    <w:pPr>
      <w:pBdr>
        <w:left w:val="single" w:sz="8" w:space="0" w:color="auto"/>
      </w:pBdr>
      <w:spacing w:before="100" w:beforeAutospacing="1" w:after="100" w:afterAutospacing="1"/>
      <w:textAlignment w:val="center"/>
    </w:pPr>
    <w:rPr>
      <w:rFonts w:ascii="Segoe UI" w:hAnsi="Segoe UI" w:cs="Segoe UI"/>
      <w:color w:val="FFFFFF"/>
      <w:sz w:val="16"/>
      <w:szCs w:val="16"/>
    </w:rPr>
  </w:style>
  <w:style w:type="paragraph" w:customStyle="1" w:styleId="xl53029">
    <w:name w:val="xl53029"/>
    <w:basedOn w:val="a"/>
    <w:rsid w:val="00EF2957"/>
    <w:pPr>
      <w:pBdr>
        <w:lef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3030">
    <w:name w:val="xl53030"/>
    <w:basedOn w:val="a"/>
    <w:rsid w:val="00EF2957"/>
    <w:pPr>
      <w:spacing w:before="100" w:beforeAutospacing="1" w:after="100" w:afterAutospacing="1"/>
      <w:textAlignment w:val="center"/>
    </w:pPr>
    <w:rPr>
      <w:rFonts w:ascii="Segoe UI" w:hAnsi="Segoe UI" w:cs="Segoe UI"/>
      <w:color w:val="FFFFFF"/>
      <w:sz w:val="16"/>
      <w:szCs w:val="16"/>
    </w:rPr>
  </w:style>
  <w:style w:type="paragraph" w:customStyle="1" w:styleId="xl53031">
    <w:name w:val="xl53031"/>
    <w:basedOn w:val="a"/>
    <w:rsid w:val="00EF295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32">
    <w:name w:val="xl53032"/>
    <w:basedOn w:val="a"/>
    <w:rsid w:val="00EF295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33">
    <w:name w:val="xl53033"/>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color w:val="FF0000"/>
      <w:sz w:val="16"/>
      <w:szCs w:val="16"/>
    </w:rPr>
  </w:style>
  <w:style w:type="paragraph" w:customStyle="1" w:styleId="xl53034">
    <w:name w:val="xl53034"/>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color w:val="FF0000"/>
      <w:sz w:val="16"/>
      <w:szCs w:val="16"/>
    </w:rPr>
  </w:style>
  <w:style w:type="paragraph" w:customStyle="1" w:styleId="xl53035">
    <w:name w:val="xl53035"/>
    <w:basedOn w:val="a"/>
    <w:rsid w:val="00EF2957"/>
    <w:pPr>
      <w:pBdr>
        <w:top w:val="single" w:sz="8" w:space="0" w:color="auto"/>
      </w:pBdr>
      <w:shd w:val="clear" w:color="000000" w:fill="272727"/>
      <w:spacing w:before="100" w:beforeAutospacing="1" w:after="100" w:afterAutospacing="1"/>
      <w:textAlignment w:val="center"/>
    </w:pPr>
    <w:rPr>
      <w:rFonts w:ascii="Segoe UI" w:hAnsi="Segoe UI" w:cs="Segoe UI"/>
      <w:b/>
      <w:bCs/>
      <w:color w:val="FFFFFF"/>
      <w:sz w:val="16"/>
      <w:szCs w:val="16"/>
    </w:rPr>
  </w:style>
  <w:style w:type="paragraph" w:customStyle="1" w:styleId="xl53036">
    <w:name w:val="xl53036"/>
    <w:basedOn w:val="a"/>
    <w:rsid w:val="00EF2957"/>
    <w:pPr>
      <w:shd w:val="clear" w:color="000000" w:fill="272727"/>
      <w:spacing w:before="100" w:beforeAutospacing="1" w:after="100" w:afterAutospacing="1"/>
      <w:textAlignment w:val="center"/>
    </w:pPr>
    <w:rPr>
      <w:rFonts w:ascii="Segoe UI" w:hAnsi="Segoe UI" w:cs="Segoe UI"/>
      <w:b/>
      <w:bCs/>
      <w:color w:val="FFFFFF"/>
      <w:sz w:val="16"/>
      <w:szCs w:val="16"/>
    </w:rPr>
  </w:style>
  <w:style w:type="paragraph" w:customStyle="1" w:styleId="xl53037">
    <w:name w:val="xl53037"/>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3038">
    <w:name w:val="xl53038"/>
    <w:basedOn w:val="a"/>
    <w:rsid w:val="00EF2957"/>
    <w:pPr>
      <w:pBdr>
        <w:top w:val="single" w:sz="8" w:space="0" w:color="auto"/>
        <w:left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39">
    <w:name w:val="xl53039"/>
    <w:basedOn w:val="a"/>
    <w:rsid w:val="00EF2957"/>
    <w:pPr>
      <w:pBdr>
        <w:top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0">
    <w:name w:val="xl53040"/>
    <w:basedOn w:val="a"/>
    <w:rsid w:val="00EF2957"/>
    <w:pPr>
      <w:pBdr>
        <w:left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1">
    <w:name w:val="xl53041"/>
    <w:basedOn w:val="a"/>
    <w:rsid w:val="00EF2957"/>
    <w:pP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2">
    <w:name w:val="xl53042"/>
    <w:basedOn w:val="a"/>
    <w:rsid w:val="00EF2957"/>
    <w:pPr>
      <w:pBdr>
        <w:top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43">
    <w:name w:val="xl53043"/>
    <w:basedOn w:val="a"/>
    <w:rsid w:val="00EF2957"/>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44">
    <w:name w:val="xl53044"/>
    <w:basedOn w:val="a"/>
    <w:rsid w:val="00EF2957"/>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sz w:val="16"/>
      <w:szCs w:val="16"/>
    </w:rPr>
  </w:style>
  <w:style w:type="paragraph" w:customStyle="1" w:styleId="xl53045">
    <w:name w:val="xl53045"/>
    <w:basedOn w:val="a"/>
    <w:rsid w:val="00EF2957"/>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sz w:val="16"/>
      <w:szCs w:val="16"/>
    </w:rPr>
  </w:style>
  <w:style w:type="paragraph" w:customStyle="1" w:styleId="xl53046">
    <w:name w:val="xl53046"/>
    <w:basedOn w:val="a"/>
    <w:rsid w:val="00EF2957"/>
    <w:pPr>
      <w:pBdr>
        <w:bottom w:val="single" w:sz="8" w:space="0" w:color="auto"/>
      </w:pBdr>
      <w:spacing w:before="100" w:beforeAutospacing="1" w:after="100" w:afterAutospacing="1"/>
      <w:textAlignment w:val="center"/>
    </w:pPr>
    <w:rPr>
      <w:rFonts w:ascii="Segoe UI" w:hAnsi="Segoe UI" w:cs="Segoe UI"/>
      <w:i/>
      <w:iCs/>
      <w:sz w:val="16"/>
      <w:szCs w:val="16"/>
    </w:rPr>
  </w:style>
  <w:style w:type="paragraph" w:customStyle="1" w:styleId="xl53047">
    <w:name w:val="xl53047"/>
    <w:basedOn w:val="a"/>
    <w:rsid w:val="00EF2957"/>
    <w:pPr>
      <w:pBdr>
        <w:bottom w:val="single" w:sz="8" w:space="0" w:color="auto"/>
      </w:pBdr>
      <w:spacing w:before="100" w:beforeAutospacing="1" w:after="100" w:afterAutospacing="1"/>
      <w:jc w:val="center"/>
      <w:textAlignment w:val="center"/>
    </w:pPr>
    <w:rPr>
      <w:rFonts w:ascii="Segoe UI" w:hAnsi="Segoe UI" w:cs="Segoe UI"/>
      <w:i/>
      <w:iCs/>
      <w:sz w:val="16"/>
      <w:szCs w:val="16"/>
    </w:rPr>
  </w:style>
  <w:style w:type="paragraph" w:styleId="af6">
    <w:name w:val="Body Text First Indent"/>
    <w:basedOn w:val="a8"/>
    <w:link w:val="Charb"/>
    <w:uiPriority w:val="99"/>
    <w:rsid w:val="00BA4CBC"/>
    <w:pPr>
      <w:spacing w:after="120"/>
      <w:ind w:firstLine="210"/>
      <w:jc w:val="left"/>
    </w:pPr>
    <w:rPr>
      <w:sz w:val="20"/>
      <w:szCs w:val="20"/>
      <w:lang w:eastAsia="en-US"/>
    </w:rPr>
  </w:style>
  <w:style w:type="character" w:customStyle="1" w:styleId="Charb">
    <w:name w:val="Σώμα κείμενου Πρώτη Εσοχή Char"/>
    <w:basedOn w:val="Char2"/>
    <w:link w:val="af6"/>
    <w:uiPriority w:val="99"/>
    <w:rsid w:val="00BA4CBC"/>
    <w:rPr>
      <w:sz w:val="22"/>
      <w:szCs w:val="22"/>
      <w:lang w:eastAsia="en-US"/>
    </w:rPr>
  </w:style>
  <w:style w:type="paragraph" w:styleId="af7">
    <w:name w:val="Revision"/>
    <w:hidden/>
    <w:uiPriority w:val="99"/>
    <w:semiHidden/>
    <w:rsid w:val="00700C67"/>
    <w:rPr>
      <w:sz w:val="24"/>
      <w:szCs w:val="24"/>
    </w:rPr>
  </w:style>
  <w:style w:type="paragraph" w:customStyle="1" w:styleId="xl123">
    <w:name w:val="xl123"/>
    <w:basedOn w:val="a"/>
    <w:rsid w:val="009566E0"/>
    <w:pPr>
      <w:shd w:val="clear" w:color="000000" w:fill="FFFFFF"/>
      <w:spacing w:before="100" w:beforeAutospacing="1" w:after="100" w:afterAutospacing="1"/>
    </w:pPr>
    <w:rPr>
      <w:rFonts w:ascii="Arial Narrow" w:hAnsi="Arial Narrow"/>
    </w:rPr>
  </w:style>
  <w:style w:type="paragraph" w:customStyle="1" w:styleId="xl124">
    <w:name w:val="xl124"/>
    <w:basedOn w:val="a"/>
    <w:rsid w:val="00956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i/>
      <w:iCs/>
      <w:sz w:val="16"/>
      <w:szCs w:val="16"/>
    </w:rPr>
  </w:style>
  <w:style w:type="paragraph" w:customStyle="1" w:styleId="xl125">
    <w:name w:val="xl125"/>
    <w:basedOn w:val="a"/>
    <w:rsid w:val="00956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i/>
      <w:iCs/>
      <w:sz w:val="16"/>
      <w:szCs w:val="16"/>
    </w:rPr>
  </w:style>
  <w:style w:type="paragraph" w:customStyle="1" w:styleId="xl126">
    <w:name w:val="xl126"/>
    <w:basedOn w:val="a"/>
    <w:rsid w:val="00956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sz w:val="16"/>
      <w:szCs w:val="16"/>
    </w:rPr>
  </w:style>
  <w:style w:type="paragraph" w:customStyle="1" w:styleId="xl127">
    <w:name w:val="xl127"/>
    <w:basedOn w:val="a"/>
    <w:rsid w:val="009566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i/>
      <w:iCs/>
      <w:sz w:val="16"/>
      <w:szCs w:val="16"/>
    </w:rPr>
  </w:style>
  <w:style w:type="paragraph" w:customStyle="1" w:styleId="xl128">
    <w:name w:val="xl128"/>
    <w:basedOn w:val="a"/>
    <w:rsid w:val="00956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129">
    <w:name w:val="xl129"/>
    <w:basedOn w:val="a"/>
    <w:rsid w:val="009566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i/>
      <w:iCs/>
      <w:sz w:val="16"/>
      <w:szCs w:val="16"/>
    </w:rPr>
  </w:style>
  <w:style w:type="paragraph" w:customStyle="1" w:styleId="xl130">
    <w:name w:val="xl130"/>
    <w:basedOn w:val="a"/>
    <w:rsid w:val="00956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131">
    <w:name w:val="xl131"/>
    <w:basedOn w:val="a"/>
    <w:rsid w:val="00956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53071">
    <w:name w:val="xl53071"/>
    <w:basedOn w:val="a"/>
    <w:rsid w:val="00013A09"/>
    <w:pPr>
      <w:spacing w:before="100" w:beforeAutospacing="1" w:after="100" w:afterAutospacing="1"/>
    </w:pPr>
    <w:rPr>
      <w:rFonts w:ascii="Calibri" w:hAnsi="Calibri"/>
      <w:color w:val="000000"/>
    </w:rPr>
  </w:style>
  <w:style w:type="paragraph" w:customStyle="1" w:styleId="xl53072">
    <w:name w:val="xl53072"/>
    <w:basedOn w:val="a"/>
    <w:rsid w:val="00013A09"/>
    <w:pPr>
      <w:spacing w:before="100" w:beforeAutospacing="1" w:after="100" w:afterAutospacing="1"/>
    </w:pPr>
    <w:rPr>
      <w:rFonts w:ascii="Calibri" w:hAnsi="Calibri"/>
      <w:b/>
      <w:bCs/>
      <w:color w:val="000000"/>
    </w:rPr>
  </w:style>
  <w:style w:type="paragraph" w:customStyle="1" w:styleId="xl53073">
    <w:name w:val="xl53073"/>
    <w:basedOn w:val="a"/>
    <w:rsid w:val="00013A09"/>
    <w:pPr>
      <w:spacing w:before="100" w:beforeAutospacing="1" w:after="100" w:afterAutospacing="1"/>
      <w:textAlignment w:val="center"/>
    </w:pPr>
    <w:rPr>
      <w:rFonts w:ascii="Calibri" w:hAnsi="Calibri"/>
      <w:color w:val="000000"/>
    </w:rPr>
  </w:style>
  <w:style w:type="paragraph" w:customStyle="1" w:styleId="xl53074">
    <w:name w:val="xl53074"/>
    <w:basedOn w:val="a"/>
    <w:rsid w:val="00013A09"/>
    <w:pPr>
      <w:pBdr>
        <w:top w:val="single" w:sz="8" w:space="0" w:color="auto"/>
        <w:left w:val="single" w:sz="8" w:space="0" w:color="auto"/>
        <w:bottom w:val="single" w:sz="8" w:space="0" w:color="auto"/>
      </w:pBdr>
      <w:shd w:val="clear" w:color="000000" w:fill="D8D8D8"/>
      <w:spacing w:before="100" w:beforeAutospacing="1" w:after="100" w:afterAutospacing="1"/>
      <w:jc w:val="center"/>
      <w:textAlignment w:val="center"/>
    </w:pPr>
    <w:rPr>
      <w:rFonts w:ascii="Arial Narrow" w:hAnsi="Arial Narrow"/>
    </w:rPr>
  </w:style>
  <w:style w:type="paragraph" w:customStyle="1" w:styleId="xl53075">
    <w:name w:val="xl53075"/>
    <w:basedOn w:val="a"/>
    <w:rsid w:val="00013A09"/>
    <w:pPr>
      <w:pBdr>
        <w:top w:val="single" w:sz="8" w:space="0" w:color="auto"/>
        <w:bottom w:val="single" w:sz="8" w:space="0" w:color="auto"/>
      </w:pBdr>
      <w:shd w:val="clear" w:color="000000" w:fill="D8D8D8"/>
      <w:spacing w:before="100" w:beforeAutospacing="1" w:after="100" w:afterAutospacing="1"/>
      <w:jc w:val="center"/>
      <w:textAlignment w:val="center"/>
    </w:pPr>
    <w:rPr>
      <w:rFonts w:ascii="Arial Narrow" w:hAnsi="Arial Narrow"/>
    </w:rPr>
  </w:style>
  <w:style w:type="paragraph" w:customStyle="1" w:styleId="xl53076">
    <w:name w:val="xl53076"/>
    <w:basedOn w:val="a"/>
    <w:rsid w:val="00013A09"/>
    <w:pPr>
      <w:spacing w:before="100" w:beforeAutospacing="1" w:after="100" w:afterAutospacing="1"/>
      <w:jc w:val="center"/>
      <w:textAlignment w:val="center"/>
    </w:pPr>
    <w:rPr>
      <w:rFonts w:ascii="Arial Narrow" w:hAnsi="Arial Narrow"/>
      <w:b/>
      <w:bCs/>
      <w:color w:val="0000FF"/>
      <w:sz w:val="16"/>
      <w:szCs w:val="16"/>
    </w:rPr>
  </w:style>
  <w:style w:type="paragraph" w:customStyle="1" w:styleId="xl53077">
    <w:name w:val="xl53077"/>
    <w:basedOn w:val="a"/>
    <w:rsid w:val="00013A09"/>
    <w:pP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53078">
    <w:name w:val="xl53078"/>
    <w:basedOn w:val="a"/>
    <w:rsid w:val="00013A09"/>
    <w:pP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53079">
    <w:name w:val="xl53079"/>
    <w:basedOn w:val="a"/>
    <w:rsid w:val="00013A09"/>
    <w:pPr>
      <w:spacing w:before="100" w:beforeAutospacing="1" w:after="100" w:afterAutospacing="1"/>
      <w:textAlignment w:val="center"/>
    </w:pPr>
    <w:rPr>
      <w:rFonts w:ascii="Arial Narrow" w:hAnsi="Arial Narrow"/>
      <w:b/>
      <w:bCs/>
      <w:sz w:val="16"/>
      <w:szCs w:val="16"/>
    </w:rPr>
  </w:style>
  <w:style w:type="paragraph" w:customStyle="1" w:styleId="xl53080">
    <w:name w:val="xl53080"/>
    <w:basedOn w:val="a"/>
    <w:rsid w:val="00013A09"/>
    <w:pPr>
      <w:spacing w:before="100" w:beforeAutospacing="1" w:after="100" w:afterAutospacing="1"/>
      <w:jc w:val="center"/>
      <w:textAlignment w:val="center"/>
    </w:pPr>
    <w:rPr>
      <w:rFonts w:ascii="Arial Narrow" w:hAnsi="Arial Narrow"/>
      <w:b/>
      <w:bCs/>
      <w:sz w:val="16"/>
      <w:szCs w:val="16"/>
    </w:rPr>
  </w:style>
  <w:style w:type="paragraph" w:customStyle="1" w:styleId="xl53081">
    <w:name w:val="xl53081"/>
    <w:basedOn w:val="a"/>
    <w:rsid w:val="00013A09"/>
    <w:pPr>
      <w:spacing w:before="100" w:beforeAutospacing="1" w:after="100" w:afterAutospacing="1"/>
      <w:textAlignment w:val="center"/>
    </w:pPr>
    <w:rPr>
      <w:rFonts w:ascii="Arial Narrow" w:hAnsi="Arial Narrow"/>
      <w:sz w:val="16"/>
      <w:szCs w:val="16"/>
    </w:rPr>
  </w:style>
  <w:style w:type="paragraph" w:customStyle="1" w:styleId="xl53082">
    <w:name w:val="xl53082"/>
    <w:basedOn w:val="a"/>
    <w:rsid w:val="00013A09"/>
    <w:pPr>
      <w:spacing w:before="100" w:beforeAutospacing="1" w:after="100" w:afterAutospacing="1"/>
      <w:jc w:val="center"/>
      <w:textAlignment w:val="center"/>
    </w:pPr>
    <w:rPr>
      <w:rFonts w:ascii="Arial Narrow" w:hAnsi="Arial Narrow"/>
      <w:sz w:val="16"/>
      <w:szCs w:val="16"/>
    </w:rPr>
  </w:style>
  <w:style w:type="paragraph" w:customStyle="1" w:styleId="xl53083">
    <w:name w:val="xl53083"/>
    <w:basedOn w:val="a"/>
    <w:rsid w:val="00013A09"/>
    <w:pPr>
      <w:spacing w:before="100" w:beforeAutospacing="1" w:after="100" w:afterAutospacing="1"/>
      <w:jc w:val="center"/>
      <w:textAlignment w:val="center"/>
    </w:pPr>
    <w:rPr>
      <w:rFonts w:ascii="Arial Narrow" w:hAnsi="Arial Narrow"/>
      <w:b/>
      <w:bCs/>
      <w:sz w:val="16"/>
      <w:szCs w:val="16"/>
    </w:rPr>
  </w:style>
  <w:style w:type="paragraph" w:customStyle="1" w:styleId="xl53084">
    <w:name w:val="xl53084"/>
    <w:basedOn w:val="a"/>
    <w:rsid w:val="00013A09"/>
    <w:pPr>
      <w:spacing w:before="100" w:beforeAutospacing="1" w:after="100" w:afterAutospacing="1"/>
      <w:textAlignment w:val="center"/>
    </w:pPr>
    <w:rPr>
      <w:rFonts w:ascii="Arial Narrow" w:hAnsi="Arial Narrow"/>
      <w:i/>
      <w:iCs/>
      <w:sz w:val="16"/>
      <w:szCs w:val="16"/>
    </w:rPr>
  </w:style>
  <w:style w:type="paragraph" w:customStyle="1" w:styleId="xl53085">
    <w:name w:val="xl53085"/>
    <w:basedOn w:val="a"/>
    <w:rsid w:val="00013A09"/>
    <w:pPr>
      <w:spacing w:before="100" w:beforeAutospacing="1" w:after="100" w:afterAutospacing="1"/>
      <w:jc w:val="center"/>
      <w:textAlignment w:val="center"/>
    </w:pPr>
    <w:rPr>
      <w:rFonts w:ascii="Arial Narrow" w:hAnsi="Arial Narrow"/>
      <w:i/>
      <w:iCs/>
      <w:sz w:val="16"/>
      <w:szCs w:val="16"/>
    </w:rPr>
  </w:style>
  <w:style w:type="paragraph" w:customStyle="1" w:styleId="xl53086">
    <w:name w:val="xl53086"/>
    <w:basedOn w:val="a"/>
    <w:rsid w:val="00013A09"/>
    <w:pPr>
      <w:spacing w:before="100" w:beforeAutospacing="1" w:after="100" w:afterAutospacing="1"/>
      <w:jc w:val="center"/>
      <w:textAlignment w:val="center"/>
    </w:pPr>
    <w:rPr>
      <w:rFonts w:ascii="Arial Narrow" w:hAnsi="Arial Narrow"/>
      <w:b/>
      <w:bCs/>
      <w:sz w:val="16"/>
      <w:szCs w:val="16"/>
    </w:rPr>
  </w:style>
  <w:style w:type="paragraph" w:customStyle="1" w:styleId="xl53087">
    <w:name w:val="xl53087"/>
    <w:basedOn w:val="a"/>
    <w:rsid w:val="00013A09"/>
    <w:pPr>
      <w:spacing w:before="100" w:beforeAutospacing="1" w:after="100" w:afterAutospacing="1"/>
      <w:jc w:val="center"/>
      <w:textAlignment w:val="center"/>
    </w:pPr>
    <w:rPr>
      <w:rFonts w:ascii="Arial Narrow" w:hAnsi="Arial Narrow"/>
      <w:i/>
      <w:iCs/>
      <w:sz w:val="16"/>
      <w:szCs w:val="16"/>
    </w:rPr>
  </w:style>
  <w:style w:type="paragraph" w:customStyle="1" w:styleId="xl53088">
    <w:name w:val="xl53088"/>
    <w:basedOn w:val="a"/>
    <w:rsid w:val="00013A09"/>
    <w:pPr>
      <w:spacing w:before="100" w:beforeAutospacing="1" w:after="100" w:afterAutospacing="1"/>
      <w:textAlignment w:val="center"/>
    </w:pPr>
    <w:rPr>
      <w:rFonts w:ascii="Arial Narrow" w:hAnsi="Arial Narrow"/>
      <w:b/>
      <w:bCs/>
      <w:i/>
      <w:iCs/>
      <w:sz w:val="16"/>
      <w:szCs w:val="16"/>
    </w:rPr>
  </w:style>
  <w:style w:type="paragraph" w:customStyle="1" w:styleId="xl53089">
    <w:name w:val="xl53089"/>
    <w:basedOn w:val="a"/>
    <w:rsid w:val="00013A09"/>
    <w:pP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53090">
    <w:name w:val="xl53090"/>
    <w:basedOn w:val="a"/>
    <w:rsid w:val="00013A09"/>
    <w:pP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53091">
    <w:name w:val="xl53091"/>
    <w:basedOn w:val="a"/>
    <w:rsid w:val="00013A09"/>
    <w:pP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53092">
    <w:name w:val="xl53092"/>
    <w:basedOn w:val="a"/>
    <w:rsid w:val="00013A09"/>
    <w:pPr>
      <w:spacing w:before="100" w:beforeAutospacing="1" w:after="100" w:afterAutospacing="1"/>
      <w:jc w:val="center"/>
      <w:textAlignment w:val="center"/>
    </w:pPr>
    <w:rPr>
      <w:rFonts w:ascii="Arial Narrow" w:hAnsi="Arial Narrow"/>
      <w:sz w:val="16"/>
      <w:szCs w:val="16"/>
    </w:rPr>
  </w:style>
  <w:style w:type="paragraph" w:customStyle="1" w:styleId="xl53093">
    <w:name w:val="xl53093"/>
    <w:basedOn w:val="a"/>
    <w:rsid w:val="00013A09"/>
    <w:pPr>
      <w:spacing w:before="100" w:beforeAutospacing="1" w:after="100" w:afterAutospacing="1"/>
      <w:textAlignment w:val="center"/>
    </w:pPr>
    <w:rPr>
      <w:rFonts w:ascii="Arial Narrow" w:hAnsi="Arial Narrow"/>
      <w:b/>
      <w:bCs/>
      <w:i/>
      <w:iCs/>
      <w:sz w:val="16"/>
      <w:szCs w:val="16"/>
    </w:rPr>
  </w:style>
  <w:style w:type="paragraph" w:customStyle="1" w:styleId="xl53094">
    <w:name w:val="xl53094"/>
    <w:basedOn w:val="a"/>
    <w:rsid w:val="00013A09"/>
    <w:pPr>
      <w:shd w:val="clear" w:color="000000" w:fill="C5BE97"/>
      <w:spacing w:before="100" w:beforeAutospacing="1" w:after="100" w:afterAutospacing="1"/>
    </w:pPr>
    <w:rPr>
      <w:rFonts w:ascii="Arial Narrow" w:hAnsi="Arial Narrow"/>
      <w:i/>
      <w:iCs/>
      <w:sz w:val="16"/>
      <w:szCs w:val="16"/>
    </w:rPr>
  </w:style>
  <w:style w:type="paragraph" w:customStyle="1" w:styleId="xl53095">
    <w:name w:val="xl53095"/>
    <w:basedOn w:val="a"/>
    <w:rsid w:val="00013A09"/>
    <w:pP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53096">
    <w:name w:val="xl53096"/>
    <w:basedOn w:val="a"/>
    <w:rsid w:val="00013A09"/>
    <w:pPr>
      <w:spacing w:before="100" w:beforeAutospacing="1" w:after="100" w:afterAutospacing="1"/>
      <w:jc w:val="center"/>
      <w:textAlignment w:val="center"/>
    </w:pPr>
    <w:rPr>
      <w:rFonts w:ascii="Arial Narrow" w:hAnsi="Arial Narrow"/>
      <w:b/>
      <w:bCs/>
      <w:sz w:val="16"/>
      <w:szCs w:val="16"/>
    </w:rPr>
  </w:style>
  <w:style w:type="paragraph" w:customStyle="1" w:styleId="xl53097">
    <w:name w:val="xl53097"/>
    <w:basedOn w:val="a"/>
    <w:rsid w:val="00013A09"/>
    <w:pPr>
      <w:pBdr>
        <w:top w:val="single" w:sz="8" w:space="0" w:color="auto"/>
        <w:left w:val="single" w:sz="8" w:space="0" w:color="auto"/>
      </w:pBdr>
      <w:spacing w:before="100" w:beforeAutospacing="1" w:after="100" w:afterAutospacing="1"/>
      <w:jc w:val="center"/>
      <w:textAlignment w:val="center"/>
    </w:pPr>
    <w:rPr>
      <w:rFonts w:ascii="Arial Narrow" w:hAnsi="Arial Narrow"/>
      <w:sz w:val="16"/>
      <w:szCs w:val="16"/>
    </w:rPr>
  </w:style>
  <w:style w:type="paragraph" w:customStyle="1" w:styleId="xl53098">
    <w:name w:val="xl53098"/>
    <w:basedOn w:val="a"/>
    <w:rsid w:val="00013A09"/>
    <w:pPr>
      <w:pBdr>
        <w:top w:val="single" w:sz="8" w:space="0" w:color="auto"/>
        <w:left w:val="single" w:sz="8" w:space="0" w:color="auto"/>
        <w:right w:val="single" w:sz="8"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customStyle="1" w:styleId="xl53099">
    <w:name w:val="xl53099"/>
    <w:basedOn w:val="a"/>
    <w:rsid w:val="00013A09"/>
    <w:pPr>
      <w:pBdr>
        <w:top w:val="single" w:sz="8" w:space="0" w:color="auto"/>
        <w:left w:val="single" w:sz="8" w:space="0" w:color="auto"/>
        <w:bottom w:val="single" w:sz="8" w:space="0" w:color="auto"/>
      </w:pBdr>
      <w:shd w:val="clear" w:color="000000" w:fill="B6DDE8"/>
      <w:spacing w:before="100" w:beforeAutospacing="1" w:after="100" w:afterAutospacing="1"/>
      <w:jc w:val="center"/>
      <w:textAlignment w:val="center"/>
    </w:pPr>
    <w:rPr>
      <w:rFonts w:ascii="Arial Narrow" w:hAnsi="Arial Narrow"/>
      <w:b/>
      <w:bCs/>
      <w:sz w:val="16"/>
      <w:szCs w:val="16"/>
    </w:rPr>
  </w:style>
  <w:style w:type="paragraph" w:customStyle="1" w:styleId="xl53100">
    <w:name w:val="xl53100"/>
    <w:basedOn w:val="a"/>
    <w:rsid w:val="00013A09"/>
    <w:pPr>
      <w:pBdr>
        <w:top w:val="single" w:sz="8" w:space="0" w:color="auto"/>
        <w:bottom w:val="single" w:sz="8" w:space="0" w:color="auto"/>
        <w:right w:val="single" w:sz="8" w:space="0" w:color="auto"/>
      </w:pBdr>
      <w:shd w:val="clear" w:color="000000" w:fill="B6DDE8"/>
      <w:spacing w:before="100" w:beforeAutospacing="1" w:after="100" w:afterAutospacing="1"/>
      <w:jc w:val="center"/>
      <w:textAlignment w:val="center"/>
    </w:pPr>
    <w:rPr>
      <w:rFonts w:ascii="Arial Narrow" w:hAnsi="Arial Narrow"/>
      <w:b/>
      <w:bCs/>
      <w:sz w:val="16"/>
      <w:szCs w:val="16"/>
    </w:rPr>
  </w:style>
  <w:style w:type="paragraph" w:customStyle="1" w:styleId="xl53101">
    <w:name w:val="xl53101"/>
    <w:basedOn w:val="a"/>
    <w:rsid w:val="00013A09"/>
    <w:pPr>
      <w:pBdr>
        <w:top w:val="single" w:sz="8" w:space="0" w:color="auto"/>
        <w:left w:val="single" w:sz="8" w:space="0" w:color="auto"/>
        <w:bottom w:val="single" w:sz="8" w:space="0" w:color="auto"/>
      </w:pBdr>
      <w:shd w:val="clear" w:color="000000" w:fill="C2D69A"/>
      <w:spacing w:before="100" w:beforeAutospacing="1" w:after="100" w:afterAutospacing="1"/>
      <w:jc w:val="center"/>
      <w:textAlignment w:val="center"/>
    </w:pPr>
    <w:rPr>
      <w:rFonts w:ascii="Arial Narrow" w:hAnsi="Arial Narrow"/>
      <w:b/>
      <w:bCs/>
      <w:sz w:val="16"/>
      <w:szCs w:val="16"/>
    </w:rPr>
  </w:style>
  <w:style w:type="paragraph" w:customStyle="1" w:styleId="xl53102">
    <w:name w:val="xl53102"/>
    <w:basedOn w:val="a"/>
    <w:rsid w:val="00013A09"/>
    <w:pPr>
      <w:pBdr>
        <w:top w:val="single" w:sz="8" w:space="0" w:color="auto"/>
        <w:bottom w:val="single" w:sz="8" w:space="0" w:color="auto"/>
      </w:pBdr>
      <w:shd w:val="clear" w:color="000000" w:fill="C2D69A"/>
      <w:spacing w:before="100" w:beforeAutospacing="1" w:after="100" w:afterAutospacing="1"/>
      <w:jc w:val="center"/>
      <w:textAlignment w:val="center"/>
    </w:pPr>
    <w:rPr>
      <w:rFonts w:ascii="Arial Narrow" w:hAnsi="Arial Narrow"/>
      <w:b/>
      <w:bCs/>
      <w:sz w:val="16"/>
      <w:szCs w:val="16"/>
    </w:rPr>
  </w:style>
  <w:style w:type="paragraph" w:customStyle="1" w:styleId="xl53103">
    <w:name w:val="xl53103"/>
    <w:basedOn w:val="a"/>
    <w:rsid w:val="00013A09"/>
    <w:pPr>
      <w:pBdr>
        <w:left w:val="single" w:sz="8" w:space="0" w:color="auto"/>
        <w:bottom w:val="single" w:sz="8" w:space="0" w:color="auto"/>
      </w:pBdr>
      <w:spacing w:before="100" w:beforeAutospacing="1" w:after="100" w:afterAutospacing="1"/>
      <w:textAlignment w:val="center"/>
    </w:pPr>
    <w:rPr>
      <w:rFonts w:ascii="Arial Narrow" w:hAnsi="Arial Narrow"/>
      <w:color w:val="000000"/>
      <w:sz w:val="16"/>
      <w:szCs w:val="16"/>
    </w:rPr>
  </w:style>
  <w:style w:type="paragraph" w:customStyle="1" w:styleId="xl53104">
    <w:name w:val="xl53104"/>
    <w:basedOn w:val="a"/>
    <w:rsid w:val="00013A09"/>
    <w:pPr>
      <w:pBdr>
        <w:top w:val="single" w:sz="8" w:space="0" w:color="auto"/>
        <w:left w:val="single" w:sz="8" w:space="0" w:color="auto"/>
        <w:bottom w:val="single" w:sz="8" w:space="0" w:color="auto"/>
        <w:right w:val="single" w:sz="8"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customStyle="1" w:styleId="xl53105">
    <w:name w:val="xl53105"/>
    <w:basedOn w:val="a"/>
    <w:rsid w:val="00013A09"/>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Arial Narrow" w:hAnsi="Arial Narrow"/>
      <w:b/>
      <w:bCs/>
      <w:sz w:val="16"/>
      <w:szCs w:val="16"/>
    </w:rPr>
  </w:style>
  <w:style w:type="paragraph" w:customStyle="1" w:styleId="xl53106">
    <w:name w:val="xl53106"/>
    <w:basedOn w:val="a"/>
    <w:rsid w:val="00013A09"/>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jc w:val="center"/>
      <w:textAlignment w:val="center"/>
    </w:pPr>
    <w:rPr>
      <w:rFonts w:ascii="Arial Narrow" w:hAnsi="Arial Narrow"/>
      <w:b/>
      <w:bCs/>
      <w:sz w:val="16"/>
      <w:szCs w:val="16"/>
    </w:rPr>
  </w:style>
  <w:style w:type="paragraph" w:customStyle="1" w:styleId="xl53107">
    <w:name w:val="xl53107"/>
    <w:basedOn w:val="a"/>
    <w:rsid w:val="00013A09"/>
    <w:pPr>
      <w:spacing w:before="100" w:beforeAutospacing="1" w:after="100" w:afterAutospacing="1"/>
    </w:pPr>
    <w:rPr>
      <w:rFonts w:ascii="Arial Narrow" w:hAnsi="Arial Narrow"/>
      <w:color w:val="000000"/>
      <w:sz w:val="16"/>
      <w:szCs w:val="16"/>
    </w:rPr>
  </w:style>
  <w:style w:type="paragraph" w:customStyle="1" w:styleId="xl53108">
    <w:name w:val="xl53108"/>
    <w:basedOn w:val="a"/>
    <w:rsid w:val="00013A09"/>
    <w:pPr>
      <w:spacing w:before="100" w:beforeAutospacing="1" w:after="100" w:afterAutospacing="1"/>
    </w:pPr>
    <w:rPr>
      <w:rFonts w:ascii="Arial Narrow" w:hAnsi="Arial Narrow"/>
      <w:sz w:val="16"/>
      <w:szCs w:val="16"/>
    </w:rPr>
  </w:style>
  <w:style w:type="paragraph" w:customStyle="1" w:styleId="xl53109">
    <w:name w:val="xl53109"/>
    <w:basedOn w:val="a"/>
    <w:rsid w:val="00013A09"/>
    <w:pPr>
      <w:spacing w:before="100" w:beforeAutospacing="1" w:after="100" w:afterAutospacing="1"/>
      <w:ind w:firstLineChars="200" w:firstLine="200"/>
      <w:textAlignment w:val="center"/>
    </w:pPr>
    <w:rPr>
      <w:rFonts w:ascii="Arial Narrow" w:hAnsi="Arial Narrow"/>
      <w:sz w:val="16"/>
      <w:szCs w:val="16"/>
    </w:rPr>
  </w:style>
  <w:style w:type="table" w:styleId="2-2">
    <w:name w:val="Medium Shading 2 Accent 2"/>
    <w:basedOn w:val="a1"/>
    <w:uiPriority w:val="64"/>
    <w:rsid w:val="00B5502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otranslate">
    <w:name w:val="notranslate"/>
    <w:basedOn w:val="a0"/>
    <w:rsid w:val="005C7938"/>
  </w:style>
  <w:style w:type="character" w:styleId="af8">
    <w:name w:val="Emphasis"/>
    <w:basedOn w:val="a0"/>
    <w:uiPriority w:val="20"/>
    <w:qFormat/>
    <w:rsid w:val="002B212A"/>
    <w:rPr>
      <w:i/>
      <w:iCs/>
    </w:rPr>
  </w:style>
  <w:style w:type="character" w:customStyle="1" w:styleId="Char9">
    <w:name w:val="Παράγραφος λίστας Char"/>
    <w:aliases w:val="Fiche List Paragraph Char,Dot pt Char,No Spacing1 Char,List Paragraph Char Char Char Char,Indicator Text Char,Numbered Para 1 Char,Bullet 1 Char,List Paragraph1 Char,F5 List Paragraph Char,Bullet Points Char,List Paragraph11 Char"/>
    <w:basedOn w:val="a0"/>
    <w:link w:val="af2"/>
    <w:uiPriority w:val="34"/>
    <w:qFormat/>
    <w:rsid w:val="00853402"/>
    <w:rPr>
      <w:rFonts w:ascii="Calibri" w:eastAsia="Calibri" w:hAnsi="Calibri"/>
      <w:sz w:val="22"/>
      <w:szCs w:val="22"/>
      <w:lang w:eastAsia="en-US"/>
    </w:rPr>
  </w:style>
  <w:style w:type="paragraph" w:customStyle="1" w:styleId="2-verdana11">
    <w:name w:val="Επικεφαλίδα 2 - verdana 11"/>
    <w:basedOn w:val="a"/>
    <w:qFormat/>
    <w:rsid w:val="00853402"/>
    <w:pPr>
      <w:shd w:val="clear" w:color="auto" w:fill="E5B8B7" w:themeFill="accent2" w:themeFillTint="66"/>
      <w:spacing w:before="100" w:beforeAutospacing="1" w:after="100" w:afterAutospacing="1" w:line="320" w:lineRule="exact"/>
      <w:jc w:val="both"/>
      <w:outlineLvl w:val="2"/>
    </w:pPr>
    <w:rPr>
      <w:rFonts w:ascii="Verdana" w:hAnsi="Verdana" w:cs="Arial"/>
      <w:b/>
      <w:sz w:val="22"/>
      <w:szCs w:val="22"/>
    </w:rPr>
  </w:style>
  <w:style w:type="paragraph" w:customStyle="1" w:styleId="af9">
    <w:name w:val="Υποσημείωση"/>
    <w:basedOn w:val="a"/>
    <w:link w:val="Charc"/>
    <w:qFormat/>
    <w:rsid w:val="006C7D30"/>
    <w:pPr>
      <w:autoSpaceDE w:val="0"/>
      <w:autoSpaceDN w:val="0"/>
      <w:adjustRightInd w:val="0"/>
      <w:jc w:val="both"/>
    </w:pPr>
    <w:rPr>
      <w:rFonts w:asciiTheme="majorHAnsi" w:eastAsiaTheme="minorHAnsi" w:hAnsiTheme="majorHAnsi" w:cs="Cambria"/>
      <w:noProof/>
      <w:sz w:val="18"/>
      <w:szCs w:val="18"/>
      <w:lang w:eastAsia="en-US"/>
    </w:rPr>
  </w:style>
  <w:style w:type="character" w:customStyle="1" w:styleId="Charc">
    <w:name w:val="Υποσημείωση Char"/>
    <w:basedOn w:val="a0"/>
    <w:link w:val="af9"/>
    <w:rsid w:val="006C7D30"/>
    <w:rPr>
      <w:rFonts w:asciiTheme="majorHAnsi" w:eastAsiaTheme="minorHAnsi" w:hAnsiTheme="majorHAnsi" w:cs="Cambria"/>
      <w:noProof/>
      <w:sz w:val="18"/>
      <w:szCs w:val="18"/>
      <w:lang w:eastAsia="en-US"/>
    </w:rPr>
  </w:style>
  <w:style w:type="table" w:customStyle="1" w:styleId="13">
    <w:name w:val="Πλέγμα πίνακα1"/>
    <w:basedOn w:val="a1"/>
    <w:rsid w:val="00BF190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67946">
      <w:bodyDiv w:val="1"/>
      <w:marLeft w:val="0"/>
      <w:marRight w:val="0"/>
      <w:marTop w:val="0"/>
      <w:marBottom w:val="0"/>
      <w:divBdr>
        <w:top w:val="none" w:sz="0" w:space="0" w:color="auto"/>
        <w:left w:val="none" w:sz="0" w:space="0" w:color="auto"/>
        <w:bottom w:val="none" w:sz="0" w:space="0" w:color="auto"/>
        <w:right w:val="none" w:sz="0" w:space="0" w:color="auto"/>
      </w:divBdr>
    </w:div>
    <w:div w:id="33585537">
      <w:bodyDiv w:val="1"/>
      <w:marLeft w:val="0"/>
      <w:marRight w:val="0"/>
      <w:marTop w:val="0"/>
      <w:marBottom w:val="0"/>
      <w:divBdr>
        <w:top w:val="none" w:sz="0" w:space="0" w:color="auto"/>
        <w:left w:val="none" w:sz="0" w:space="0" w:color="auto"/>
        <w:bottom w:val="none" w:sz="0" w:space="0" w:color="auto"/>
        <w:right w:val="none" w:sz="0" w:space="0" w:color="auto"/>
      </w:divBdr>
    </w:div>
    <w:div w:id="47919311">
      <w:bodyDiv w:val="1"/>
      <w:marLeft w:val="0"/>
      <w:marRight w:val="0"/>
      <w:marTop w:val="0"/>
      <w:marBottom w:val="0"/>
      <w:divBdr>
        <w:top w:val="none" w:sz="0" w:space="0" w:color="auto"/>
        <w:left w:val="none" w:sz="0" w:space="0" w:color="auto"/>
        <w:bottom w:val="none" w:sz="0" w:space="0" w:color="auto"/>
        <w:right w:val="none" w:sz="0" w:space="0" w:color="auto"/>
      </w:divBdr>
    </w:div>
    <w:div w:id="54084980">
      <w:bodyDiv w:val="1"/>
      <w:marLeft w:val="0"/>
      <w:marRight w:val="0"/>
      <w:marTop w:val="0"/>
      <w:marBottom w:val="0"/>
      <w:divBdr>
        <w:top w:val="none" w:sz="0" w:space="0" w:color="auto"/>
        <w:left w:val="none" w:sz="0" w:space="0" w:color="auto"/>
        <w:bottom w:val="none" w:sz="0" w:space="0" w:color="auto"/>
        <w:right w:val="none" w:sz="0" w:space="0" w:color="auto"/>
      </w:divBdr>
    </w:div>
    <w:div w:id="58796521">
      <w:bodyDiv w:val="1"/>
      <w:marLeft w:val="0"/>
      <w:marRight w:val="0"/>
      <w:marTop w:val="0"/>
      <w:marBottom w:val="0"/>
      <w:divBdr>
        <w:top w:val="none" w:sz="0" w:space="0" w:color="auto"/>
        <w:left w:val="none" w:sz="0" w:space="0" w:color="auto"/>
        <w:bottom w:val="none" w:sz="0" w:space="0" w:color="auto"/>
        <w:right w:val="none" w:sz="0" w:space="0" w:color="auto"/>
      </w:divBdr>
    </w:div>
    <w:div w:id="82385496">
      <w:bodyDiv w:val="1"/>
      <w:marLeft w:val="0"/>
      <w:marRight w:val="0"/>
      <w:marTop w:val="0"/>
      <w:marBottom w:val="0"/>
      <w:divBdr>
        <w:top w:val="none" w:sz="0" w:space="0" w:color="auto"/>
        <w:left w:val="none" w:sz="0" w:space="0" w:color="auto"/>
        <w:bottom w:val="none" w:sz="0" w:space="0" w:color="auto"/>
        <w:right w:val="none" w:sz="0" w:space="0" w:color="auto"/>
      </w:divBdr>
    </w:div>
    <w:div w:id="138310505">
      <w:bodyDiv w:val="1"/>
      <w:marLeft w:val="0"/>
      <w:marRight w:val="0"/>
      <w:marTop w:val="0"/>
      <w:marBottom w:val="0"/>
      <w:divBdr>
        <w:top w:val="none" w:sz="0" w:space="0" w:color="auto"/>
        <w:left w:val="none" w:sz="0" w:space="0" w:color="auto"/>
        <w:bottom w:val="none" w:sz="0" w:space="0" w:color="auto"/>
        <w:right w:val="none" w:sz="0" w:space="0" w:color="auto"/>
      </w:divBdr>
    </w:div>
    <w:div w:id="160969857">
      <w:bodyDiv w:val="1"/>
      <w:marLeft w:val="0"/>
      <w:marRight w:val="0"/>
      <w:marTop w:val="0"/>
      <w:marBottom w:val="0"/>
      <w:divBdr>
        <w:top w:val="none" w:sz="0" w:space="0" w:color="auto"/>
        <w:left w:val="none" w:sz="0" w:space="0" w:color="auto"/>
        <w:bottom w:val="none" w:sz="0" w:space="0" w:color="auto"/>
        <w:right w:val="none" w:sz="0" w:space="0" w:color="auto"/>
      </w:divBdr>
    </w:div>
    <w:div w:id="170680019">
      <w:bodyDiv w:val="1"/>
      <w:marLeft w:val="0"/>
      <w:marRight w:val="0"/>
      <w:marTop w:val="0"/>
      <w:marBottom w:val="0"/>
      <w:divBdr>
        <w:top w:val="none" w:sz="0" w:space="0" w:color="auto"/>
        <w:left w:val="none" w:sz="0" w:space="0" w:color="auto"/>
        <w:bottom w:val="none" w:sz="0" w:space="0" w:color="auto"/>
        <w:right w:val="none" w:sz="0" w:space="0" w:color="auto"/>
      </w:divBdr>
    </w:div>
    <w:div w:id="184439433">
      <w:bodyDiv w:val="1"/>
      <w:marLeft w:val="0"/>
      <w:marRight w:val="0"/>
      <w:marTop w:val="0"/>
      <w:marBottom w:val="0"/>
      <w:divBdr>
        <w:top w:val="none" w:sz="0" w:space="0" w:color="auto"/>
        <w:left w:val="none" w:sz="0" w:space="0" w:color="auto"/>
        <w:bottom w:val="none" w:sz="0" w:space="0" w:color="auto"/>
        <w:right w:val="none" w:sz="0" w:space="0" w:color="auto"/>
      </w:divBdr>
    </w:div>
    <w:div w:id="191649147">
      <w:bodyDiv w:val="1"/>
      <w:marLeft w:val="0"/>
      <w:marRight w:val="0"/>
      <w:marTop w:val="0"/>
      <w:marBottom w:val="0"/>
      <w:divBdr>
        <w:top w:val="none" w:sz="0" w:space="0" w:color="auto"/>
        <w:left w:val="none" w:sz="0" w:space="0" w:color="auto"/>
        <w:bottom w:val="none" w:sz="0" w:space="0" w:color="auto"/>
        <w:right w:val="none" w:sz="0" w:space="0" w:color="auto"/>
      </w:divBdr>
    </w:div>
    <w:div w:id="281115634">
      <w:bodyDiv w:val="1"/>
      <w:marLeft w:val="0"/>
      <w:marRight w:val="0"/>
      <w:marTop w:val="0"/>
      <w:marBottom w:val="0"/>
      <w:divBdr>
        <w:top w:val="none" w:sz="0" w:space="0" w:color="auto"/>
        <w:left w:val="none" w:sz="0" w:space="0" w:color="auto"/>
        <w:bottom w:val="none" w:sz="0" w:space="0" w:color="auto"/>
        <w:right w:val="none" w:sz="0" w:space="0" w:color="auto"/>
      </w:divBdr>
    </w:div>
    <w:div w:id="357050224">
      <w:bodyDiv w:val="1"/>
      <w:marLeft w:val="0"/>
      <w:marRight w:val="0"/>
      <w:marTop w:val="0"/>
      <w:marBottom w:val="0"/>
      <w:divBdr>
        <w:top w:val="none" w:sz="0" w:space="0" w:color="auto"/>
        <w:left w:val="none" w:sz="0" w:space="0" w:color="auto"/>
        <w:bottom w:val="none" w:sz="0" w:space="0" w:color="auto"/>
        <w:right w:val="none" w:sz="0" w:space="0" w:color="auto"/>
      </w:divBdr>
    </w:div>
    <w:div w:id="430587806">
      <w:bodyDiv w:val="1"/>
      <w:marLeft w:val="0"/>
      <w:marRight w:val="0"/>
      <w:marTop w:val="0"/>
      <w:marBottom w:val="0"/>
      <w:divBdr>
        <w:top w:val="none" w:sz="0" w:space="0" w:color="auto"/>
        <w:left w:val="none" w:sz="0" w:space="0" w:color="auto"/>
        <w:bottom w:val="none" w:sz="0" w:space="0" w:color="auto"/>
        <w:right w:val="none" w:sz="0" w:space="0" w:color="auto"/>
      </w:divBdr>
    </w:div>
    <w:div w:id="438182309">
      <w:bodyDiv w:val="1"/>
      <w:marLeft w:val="0"/>
      <w:marRight w:val="0"/>
      <w:marTop w:val="0"/>
      <w:marBottom w:val="0"/>
      <w:divBdr>
        <w:top w:val="none" w:sz="0" w:space="0" w:color="auto"/>
        <w:left w:val="none" w:sz="0" w:space="0" w:color="auto"/>
        <w:bottom w:val="none" w:sz="0" w:space="0" w:color="auto"/>
        <w:right w:val="none" w:sz="0" w:space="0" w:color="auto"/>
      </w:divBdr>
    </w:div>
    <w:div w:id="454445890">
      <w:bodyDiv w:val="1"/>
      <w:marLeft w:val="0"/>
      <w:marRight w:val="0"/>
      <w:marTop w:val="0"/>
      <w:marBottom w:val="0"/>
      <w:divBdr>
        <w:top w:val="none" w:sz="0" w:space="0" w:color="auto"/>
        <w:left w:val="none" w:sz="0" w:space="0" w:color="auto"/>
        <w:bottom w:val="none" w:sz="0" w:space="0" w:color="auto"/>
        <w:right w:val="none" w:sz="0" w:space="0" w:color="auto"/>
      </w:divBdr>
    </w:div>
    <w:div w:id="476538144">
      <w:bodyDiv w:val="1"/>
      <w:marLeft w:val="0"/>
      <w:marRight w:val="0"/>
      <w:marTop w:val="0"/>
      <w:marBottom w:val="0"/>
      <w:divBdr>
        <w:top w:val="none" w:sz="0" w:space="0" w:color="auto"/>
        <w:left w:val="none" w:sz="0" w:space="0" w:color="auto"/>
        <w:bottom w:val="none" w:sz="0" w:space="0" w:color="auto"/>
        <w:right w:val="none" w:sz="0" w:space="0" w:color="auto"/>
      </w:divBdr>
    </w:div>
    <w:div w:id="489712309">
      <w:bodyDiv w:val="1"/>
      <w:marLeft w:val="0"/>
      <w:marRight w:val="0"/>
      <w:marTop w:val="0"/>
      <w:marBottom w:val="0"/>
      <w:divBdr>
        <w:top w:val="none" w:sz="0" w:space="0" w:color="auto"/>
        <w:left w:val="none" w:sz="0" w:space="0" w:color="auto"/>
        <w:bottom w:val="none" w:sz="0" w:space="0" w:color="auto"/>
        <w:right w:val="none" w:sz="0" w:space="0" w:color="auto"/>
      </w:divBdr>
    </w:div>
    <w:div w:id="495270658">
      <w:bodyDiv w:val="1"/>
      <w:marLeft w:val="0"/>
      <w:marRight w:val="0"/>
      <w:marTop w:val="0"/>
      <w:marBottom w:val="0"/>
      <w:divBdr>
        <w:top w:val="none" w:sz="0" w:space="0" w:color="auto"/>
        <w:left w:val="none" w:sz="0" w:space="0" w:color="auto"/>
        <w:bottom w:val="none" w:sz="0" w:space="0" w:color="auto"/>
        <w:right w:val="none" w:sz="0" w:space="0" w:color="auto"/>
      </w:divBdr>
    </w:div>
    <w:div w:id="513499783">
      <w:bodyDiv w:val="1"/>
      <w:marLeft w:val="0"/>
      <w:marRight w:val="0"/>
      <w:marTop w:val="0"/>
      <w:marBottom w:val="0"/>
      <w:divBdr>
        <w:top w:val="none" w:sz="0" w:space="0" w:color="auto"/>
        <w:left w:val="none" w:sz="0" w:space="0" w:color="auto"/>
        <w:bottom w:val="none" w:sz="0" w:space="0" w:color="auto"/>
        <w:right w:val="none" w:sz="0" w:space="0" w:color="auto"/>
      </w:divBdr>
    </w:div>
    <w:div w:id="525679770">
      <w:bodyDiv w:val="1"/>
      <w:marLeft w:val="0"/>
      <w:marRight w:val="0"/>
      <w:marTop w:val="0"/>
      <w:marBottom w:val="0"/>
      <w:divBdr>
        <w:top w:val="none" w:sz="0" w:space="0" w:color="auto"/>
        <w:left w:val="none" w:sz="0" w:space="0" w:color="auto"/>
        <w:bottom w:val="none" w:sz="0" w:space="0" w:color="auto"/>
        <w:right w:val="none" w:sz="0" w:space="0" w:color="auto"/>
      </w:divBdr>
    </w:div>
    <w:div w:id="530340666">
      <w:bodyDiv w:val="1"/>
      <w:marLeft w:val="0"/>
      <w:marRight w:val="0"/>
      <w:marTop w:val="0"/>
      <w:marBottom w:val="0"/>
      <w:divBdr>
        <w:top w:val="none" w:sz="0" w:space="0" w:color="auto"/>
        <w:left w:val="none" w:sz="0" w:space="0" w:color="auto"/>
        <w:bottom w:val="none" w:sz="0" w:space="0" w:color="auto"/>
        <w:right w:val="none" w:sz="0" w:space="0" w:color="auto"/>
      </w:divBdr>
    </w:div>
    <w:div w:id="534735252">
      <w:bodyDiv w:val="1"/>
      <w:marLeft w:val="0"/>
      <w:marRight w:val="0"/>
      <w:marTop w:val="0"/>
      <w:marBottom w:val="0"/>
      <w:divBdr>
        <w:top w:val="none" w:sz="0" w:space="0" w:color="auto"/>
        <w:left w:val="none" w:sz="0" w:space="0" w:color="auto"/>
        <w:bottom w:val="none" w:sz="0" w:space="0" w:color="auto"/>
        <w:right w:val="none" w:sz="0" w:space="0" w:color="auto"/>
      </w:divBdr>
    </w:div>
    <w:div w:id="535585007">
      <w:bodyDiv w:val="1"/>
      <w:marLeft w:val="0"/>
      <w:marRight w:val="0"/>
      <w:marTop w:val="0"/>
      <w:marBottom w:val="0"/>
      <w:divBdr>
        <w:top w:val="none" w:sz="0" w:space="0" w:color="auto"/>
        <w:left w:val="none" w:sz="0" w:space="0" w:color="auto"/>
        <w:bottom w:val="none" w:sz="0" w:space="0" w:color="auto"/>
        <w:right w:val="none" w:sz="0" w:space="0" w:color="auto"/>
      </w:divBdr>
    </w:div>
    <w:div w:id="542525334">
      <w:bodyDiv w:val="1"/>
      <w:marLeft w:val="0"/>
      <w:marRight w:val="0"/>
      <w:marTop w:val="0"/>
      <w:marBottom w:val="0"/>
      <w:divBdr>
        <w:top w:val="none" w:sz="0" w:space="0" w:color="auto"/>
        <w:left w:val="none" w:sz="0" w:space="0" w:color="auto"/>
        <w:bottom w:val="none" w:sz="0" w:space="0" w:color="auto"/>
        <w:right w:val="none" w:sz="0" w:space="0" w:color="auto"/>
      </w:divBdr>
    </w:div>
    <w:div w:id="557083931">
      <w:bodyDiv w:val="1"/>
      <w:marLeft w:val="0"/>
      <w:marRight w:val="0"/>
      <w:marTop w:val="0"/>
      <w:marBottom w:val="0"/>
      <w:divBdr>
        <w:top w:val="none" w:sz="0" w:space="0" w:color="auto"/>
        <w:left w:val="none" w:sz="0" w:space="0" w:color="auto"/>
        <w:bottom w:val="none" w:sz="0" w:space="0" w:color="auto"/>
        <w:right w:val="none" w:sz="0" w:space="0" w:color="auto"/>
      </w:divBdr>
    </w:div>
    <w:div w:id="562915135">
      <w:bodyDiv w:val="1"/>
      <w:marLeft w:val="0"/>
      <w:marRight w:val="0"/>
      <w:marTop w:val="0"/>
      <w:marBottom w:val="0"/>
      <w:divBdr>
        <w:top w:val="none" w:sz="0" w:space="0" w:color="auto"/>
        <w:left w:val="none" w:sz="0" w:space="0" w:color="auto"/>
        <w:bottom w:val="none" w:sz="0" w:space="0" w:color="auto"/>
        <w:right w:val="none" w:sz="0" w:space="0" w:color="auto"/>
      </w:divBdr>
    </w:div>
    <w:div w:id="587082769">
      <w:bodyDiv w:val="1"/>
      <w:marLeft w:val="0"/>
      <w:marRight w:val="0"/>
      <w:marTop w:val="0"/>
      <w:marBottom w:val="0"/>
      <w:divBdr>
        <w:top w:val="none" w:sz="0" w:space="0" w:color="auto"/>
        <w:left w:val="none" w:sz="0" w:space="0" w:color="auto"/>
        <w:bottom w:val="none" w:sz="0" w:space="0" w:color="auto"/>
        <w:right w:val="none" w:sz="0" w:space="0" w:color="auto"/>
      </w:divBdr>
    </w:div>
    <w:div w:id="602418402">
      <w:bodyDiv w:val="1"/>
      <w:marLeft w:val="0"/>
      <w:marRight w:val="0"/>
      <w:marTop w:val="0"/>
      <w:marBottom w:val="0"/>
      <w:divBdr>
        <w:top w:val="none" w:sz="0" w:space="0" w:color="auto"/>
        <w:left w:val="none" w:sz="0" w:space="0" w:color="auto"/>
        <w:bottom w:val="none" w:sz="0" w:space="0" w:color="auto"/>
        <w:right w:val="none" w:sz="0" w:space="0" w:color="auto"/>
      </w:divBdr>
    </w:div>
    <w:div w:id="619381893">
      <w:bodyDiv w:val="1"/>
      <w:marLeft w:val="0"/>
      <w:marRight w:val="0"/>
      <w:marTop w:val="0"/>
      <w:marBottom w:val="0"/>
      <w:divBdr>
        <w:top w:val="none" w:sz="0" w:space="0" w:color="auto"/>
        <w:left w:val="none" w:sz="0" w:space="0" w:color="auto"/>
        <w:bottom w:val="none" w:sz="0" w:space="0" w:color="auto"/>
        <w:right w:val="none" w:sz="0" w:space="0" w:color="auto"/>
      </w:divBdr>
    </w:div>
    <w:div w:id="622003564">
      <w:bodyDiv w:val="1"/>
      <w:marLeft w:val="0"/>
      <w:marRight w:val="0"/>
      <w:marTop w:val="0"/>
      <w:marBottom w:val="0"/>
      <w:divBdr>
        <w:top w:val="none" w:sz="0" w:space="0" w:color="auto"/>
        <w:left w:val="none" w:sz="0" w:space="0" w:color="auto"/>
        <w:bottom w:val="none" w:sz="0" w:space="0" w:color="auto"/>
        <w:right w:val="none" w:sz="0" w:space="0" w:color="auto"/>
      </w:divBdr>
    </w:div>
    <w:div w:id="644547216">
      <w:bodyDiv w:val="1"/>
      <w:marLeft w:val="0"/>
      <w:marRight w:val="0"/>
      <w:marTop w:val="0"/>
      <w:marBottom w:val="0"/>
      <w:divBdr>
        <w:top w:val="none" w:sz="0" w:space="0" w:color="auto"/>
        <w:left w:val="none" w:sz="0" w:space="0" w:color="auto"/>
        <w:bottom w:val="none" w:sz="0" w:space="0" w:color="auto"/>
        <w:right w:val="none" w:sz="0" w:space="0" w:color="auto"/>
      </w:divBdr>
    </w:div>
    <w:div w:id="650255072">
      <w:bodyDiv w:val="1"/>
      <w:marLeft w:val="0"/>
      <w:marRight w:val="0"/>
      <w:marTop w:val="0"/>
      <w:marBottom w:val="0"/>
      <w:divBdr>
        <w:top w:val="none" w:sz="0" w:space="0" w:color="auto"/>
        <w:left w:val="none" w:sz="0" w:space="0" w:color="auto"/>
        <w:bottom w:val="none" w:sz="0" w:space="0" w:color="auto"/>
        <w:right w:val="none" w:sz="0" w:space="0" w:color="auto"/>
      </w:divBdr>
    </w:div>
    <w:div w:id="653145047">
      <w:bodyDiv w:val="1"/>
      <w:marLeft w:val="0"/>
      <w:marRight w:val="0"/>
      <w:marTop w:val="0"/>
      <w:marBottom w:val="0"/>
      <w:divBdr>
        <w:top w:val="none" w:sz="0" w:space="0" w:color="auto"/>
        <w:left w:val="none" w:sz="0" w:space="0" w:color="auto"/>
        <w:bottom w:val="none" w:sz="0" w:space="0" w:color="auto"/>
        <w:right w:val="none" w:sz="0" w:space="0" w:color="auto"/>
      </w:divBdr>
    </w:div>
    <w:div w:id="660736270">
      <w:bodyDiv w:val="1"/>
      <w:marLeft w:val="0"/>
      <w:marRight w:val="0"/>
      <w:marTop w:val="0"/>
      <w:marBottom w:val="0"/>
      <w:divBdr>
        <w:top w:val="none" w:sz="0" w:space="0" w:color="auto"/>
        <w:left w:val="none" w:sz="0" w:space="0" w:color="auto"/>
        <w:bottom w:val="none" w:sz="0" w:space="0" w:color="auto"/>
        <w:right w:val="none" w:sz="0" w:space="0" w:color="auto"/>
      </w:divBdr>
    </w:div>
    <w:div w:id="670529105">
      <w:bodyDiv w:val="1"/>
      <w:marLeft w:val="0"/>
      <w:marRight w:val="0"/>
      <w:marTop w:val="0"/>
      <w:marBottom w:val="0"/>
      <w:divBdr>
        <w:top w:val="none" w:sz="0" w:space="0" w:color="auto"/>
        <w:left w:val="none" w:sz="0" w:space="0" w:color="auto"/>
        <w:bottom w:val="none" w:sz="0" w:space="0" w:color="auto"/>
        <w:right w:val="none" w:sz="0" w:space="0" w:color="auto"/>
      </w:divBdr>
    </w:div>
    <w:div w:id="671838779">
      <w:bodyDiv w:val="1"/>
      <w:marLeft w:val="0"/>
      <w:marRight w:val="0"/>
      <w:marTop w:val="0"/>
      <w:marBottom w:val="0"/>
      <w:divBdr>
        <w:top w:val="none" w:sz="0" w:space="0" w:color="auto"/>
        <w:left w:val="none" w:sz="0" w:space="0" w:color="auto"/>
        <w:bottom w:val="none" w:sz="0" w:space="0" w:color="auto"/>
        <w:right w:val="none" w:sz="0" w:space="0" w:color="auto"/>
      </w:divBdr>
    </w:div>
    <w:div w:id="708843227">
      <w:bodyDiv w:val="1"/>
      <w:marLeft w:val="0"/>
      <w:marRight w:val="0"/>
      <w:marTop w:val="0"/>
      <w:marBottom w:val="0"/>
      <w:divBdr>
        <w:top w:val="none" w:sz="0" w:space="0" w:color="auto"/>
        <w:left w:val="none" w:sz="0" w:space="0" w:color="auto"/>
        <w:bottom w:val="none" w:sz="0" w:space="0" w:color="auto"/>
        <w:right w:val="none" w:sz="0" w:space="0" w:color="auto"/>
      </w:divBdr>
    </w:div>
    <w:div w:id="715860151">
      <w:bodyDiv w:val="1"/>
      <w:marLeft w:val="0"/>
      <w:marRight w:val="0"/>
      <w:marTop w:val="0"/>
      <w:marBottom w:val="0"/>
      <w:divBdr>
        <w:top w:val="none" w:sz="0" w:space="0" w:color="auto"/>
        <w:left w:val="none" w:sz="0" w:space="0" w:color="auto"/>
        <w:bottom w:val="none" w:sz="0" w:space="0" w:color="auto"/>
        <w:right w:val="none" w:sz="0" w:space="0" w:color="auto"/>
      </w:divBdr>
    </w:div>
    <w:div w:id="750392974">
      <w:bodyDiv w:val="1"/>
      <w:marLeft w:val="0"/>
      <w:marRight w:val="0"/>
      <w:marTop w:val="0"/>
      <w:marBottom w:val="0"/>
      <w:divBdr>
        <w:top w:val="none" w:sz="0" w:space="0" w:color="auto"/>
        <w:left w:val="none" w:sz="0" w:space="0" w:color="auto"/>
        <w:bottom w:val="none" w:sz="0" w:space="0" w:color="auto"/>
        <w:right w:val="none" w:sz="0" w:space="0" w:color="auto"/>
      </w:divBdr>
    </w:div>
    <w:div w:id="839275807">
      <w:bodyDiv w:val="1"/>
      <w:marLeft w:val="0"/>
      <w:marRight w:val="0"/>
      <w:marTop w:val="0"/>
      <w:marBottom w:val="0"/>
      <w:divBdr>
        <w:top w:val="none" w:sz="0" w:space="0" w:color="auto"/>
        <w:left w:val="none" w:sz="0" w:space="0" w:color="auto"/>
        <w:bottom w:val="none" w:sz="0" w:space="0" w:color="auto"/>
        <w:right w:val="none" w:sz="0" w:space="0" w:color="auto"/>
      </w:divBdr>
    </w:div>
    <w:div w:id="854460376">
      <w:bodyDiv w:val="1"/>
      <w:marLeft w:val="0"/>
      <w:marRight w:val="0"/>
      <w:marTop w:val="0"/>
      <w:marBottom w:val="0"/>
      <w:divBdr>
        <w:top w:val="none" w:sz="0" w:space="0" w:color="auto"/>
        <w:left w:val="none" w:sz="0" w:space="0" w:color="auto"/>
        <w:bottom w:val="none" w:sz="0" w:space="0" w:color="auto"/>
        <w:right w:val="none" w:sz="0" w:space="0" w:color="auto"/>
      </w:divBdr>
    </w:div>
    <w:div w:id="880288657">
      <w:bodyDiv w:val="1"/>
      <w:marLeft w:val="0"/>
      <w:marRight w:val="0"/>
      <w:marTop w:val="0"/>
      <w:marBottom w:val="0"/>
      <w:divBdr>
        <w:top w:val="none" w:sz="0" w:space="0" w:color="auto"/>
        <w:left w:val="none" w:sz="0" w:space="0" w:color="auto"/>
        <w:bottom w:val="none" w:sz="0" w:space="0" w:color="auto"/>
        <w:right w:val="none" w:sz="0" w:space="0" w:color="auto"/>
      </w:divBdr>
    </w:div>
    <w:div w:id="880357683">
      <w:bodyDiv w:val="1"/>
      <w:marLeft w:val="0"/>
      <w:marRight w:val="0"/>
      <w:marTop w:val="0"/>
      <w:marBottom w:val="0"/>
      <w:divBdr>
        <w:top w:val="none" w:sz="0" w:space="0" w:color="auto"/>
        <w:left w:val="none" w:sz="0" w:space="0" w:color="auto"/>
        <w:bottom w:val="none" w:sz="0" w:space="0" w:color="auto"/>
        <w:right w:val="none" w:sz="0" w:space="0" w:color="auto"/>
      </w:divBdr>
    </w:div>
    <w:div w:id="884485431">
      <w:bodyDiv w:val="1"/>
      <w:marLeft w:val="0"/>
      <w:marRight w:val="0"/>
      <w:marTop w:val="0"/>
      <w:marBottom w:val="0"/>
      <w:divBdr>
        <w:top w:val="none" w:sz="0" w:space="0" w:color="auto"/>
        <w:left w:val="none" w:sz="0" w:space="0" w:color="auto"/>
        <w:bottom w:val="none" w:sz="0" w:space="0" w:color="auto"/>
        <w:right w:val="none" w:sz="0" w:space="0" w:color="auto"/>
      </w:divBdr>
    </w:div>
    <w:div w:id="886183794">
      <w:bodyDiv w:val="1"/>
      <w:marLeft w:val="0"/>
      <w:marRight w:val="0"/>
      <w:marTop w:val="0"/>
      <w:marBottom w:val="0"/>
      <w:divBdr>
        <w:top w:val="none" w:sz="0" w:space="0" w:color="auto"/>
        <w:left w:val="none" w:sz="0" w:space="0" w:color="auto"/>
        <w:bottom w:val="none" w:sz="0" w:space="0" w:color="auto"/>
        <w:right w:val="none" w:sz="0" w:space="0" w:color="auto"/>
      </w:divBdr>
    </w:div>
    <w:div w:id="891842672">
      <w:bodyDiv w:val="1"/>
      <w:marLeft w:val="0"/>
      <w:marRight w:val="0"/>
      <w:marTop w:val="0"/>
      <w:marBottom w:val="0"/>
      <w:divBdr>
        <w:top w:val="none" w:sz="0" w:space="0" w:color="auto"/>
        <w:left w:val="none" w:sz="0" w:space="0" w:color="auto"/>
        <w:bottom w:val="none" w:sz="0" w:space="0" w:color="auto"/>
        <w:right w:val="none" w:sz="0" w:space="0" w:color="auto"/>
      </w:divBdr>
    </w:div>
    <w:div w:id="897975893">
      <w:bodyDiv w:val="1"/>
      <w:marLeft w:val="0"/>
      <w:marRight w:val="0"/>
      <w:marTop w:val="0"/>
      <w:marBottom w:val="0"/>
      <w:divBdr>
        <w:top w:val="none" w:sz="0" w:space="0" w:color="auto"/>
        <w:left w:val="none" w:sz="0" w:space="0" w:color="auto"/>
        <w:bottom w:val="none" w:sz="0" w:space="0" w:color="auto"/>
        <w:right w:val="none" w:sz="0" w:space="0" w:color="auto"/>
      </w:divBdr>
    </w:div>
    <w:div w:id="898518779">
      <w:bodyDiv w:val="1"/>
      <w:marLeft w:val="0"/>
      <w:marRight w:val="0"/>
      <w:marTop w:val="0"/>
      <w:marBottom w:val="0"/>
      <w:divBdr>
        <w:top w:val="none" w:sz="0" w:space="0" w:color="auto"/>
        <w:left w:val="none" w:sz="0" w:space="0" w:color="auto"/>
        <w:bottom w:val="none" w:sz="0" w:space="0" w:color="auto"/>
        <w:right w:val="none" w:sz="0" w:space="0" w:color="auto"/>
      </w:divBdr>
    </w:div>
    <w:div w:id="904803296">
      <w:bodyDiv w:val="1"/>
      <w:marLeft w:val="0"/>
      <w:marRight w:val="0"/>
      <w:marTop w:val="0"/>
      <w:marBottom w:val="0"/>
      <w:divBdr>
        <w:top w:val="none" w:sz="0" w:space="0" w:color="auto"/>
        <w:left w:val="none" w:sz="0" w:space="0" w:color="auto"/>
        <w:bottom w:val="none" w:sz="0" w:space="0" w:color="auto"/>
        <w:right w:val="none" w:sz="0" w:space="0" w:color="auto"/>
      </w:divBdr>
    </w:div>
    <w:div w:id="926308617">
      <w:bodyDiv w:val="1"/>
      <w:marLeft w:val="0"/>
      <w:marRight w:val="0"/>
      <w:marTop w:val="0"/>
      <w:marBottom w:val="0"/>
      <w:divBdr>
        <w:top w:val="none" w:sz="0" w:space="0" w:color="auto"/>
        <w:left w:val="none" w:sz="0" w:space="0" w:color="auto"/>
        <w:bottom w:val="none" w:sz="0" w:space="0" w:color="auto"/>
        <w:right w:val="none" w:sz="0" w:space="0" w:color="auto"/>
      </w:divBdr>
    </w:div>
    <w:div w:id="940837001">
      <w:bodyDiv w:val="1"/>
      <w:marLeft w:val="0"/>
      <w:marRight w:val="0"/>
      <w:marTop w:val="0"/>
      <w:marBottom w:val="0"/>
      <w:divBdr>
        <w:top w:val="none" w:sz="0" w:space="0" w:color="auto"/>
        <w:left w:val="none" w:sz="0" w:space="0" w:color="auto"/>
        <w:bottom w:val="none" w:sz="0" w:space="0" w:color="auto"/>
        <w:right w:val="none" w:sz="0" w:space="0" w:color="auto"/>
      </w:divBdr>
    </w:div>
    <w:div w:id="967013213">
      <w:bodyDiv w:val="1"/>
      <w:marLeft w:val="0"/>
      <w:marRight w:val="0"/>
      <w:marTop w:val="0"/>
      <w:marBottom w:val="0"/>
      <w:divBdr>
        <w:top w:val="none" w:sz="0" w:space="0" w:color="auto"/>
        <w:left w:val="none" w:sz="0" w:space="0" w:color="auto"/>
        <w:bottom w:val="none" w:sz="0" w:space="0" w:color="auto"/>
        <w:right w:val="none" w:sz="0" w:space="0" w:color="auto"/>
      </w:divBdr>
    </w:div>
    <w:div w:id="987131101">
      <w:bodyDiv w:val="1"/>
      <w:marLeft w:val="0"/>
      <w:marRight w:val="0"/>
      <w:marTop w:val="0"/>
      <w:marBottom w:val="0"/>
      <w:divBdr>
        <w:top w:val="none" w:sz="0" w:space="0" w:color="auto"/>
        <w:left w:val="none" w:sz="0" w:space="0" w:color="auto"/>
        <w:bottom w:val="none" w:sz="0" w:space="0" w:color="auto"/>
        <w:right w:val="none" w:sz="0" w:space="0" w:color="auto"/>
      </w:divBdr>
    </w:div>
    <w:div w:id="1002660885">
      <w:bodyDiv w:val="1"/>
      <w:marLeft w:val="0"/>
      <w:marRight w:val="0"/>
      <w:marTop w:val="0"/>
      <w:marBottom w:val="0"/>
      <w:divBdr>
        <w:top w:val="none" w:sz="0" w:space="0" w:color="auto"/>
        <w:left w:val="none" w:sz="0" w:space="0" w:color="auto"/>
        <w:bottom w:val="none" w:sz="0" w:space="0" w:color="auto"/>
        <w:right w:val="none" w:sz="0" w:space="0" w:color="auto"/>
      </w:divBdr>
    </w:div>
    <w:div w:id="1063911630">
      <w:bodyDiv w:val="1"/>
      <w:marLeft w:val="0"/>
      <w:marRight w:val="0"/>
      <w:marTop w:val="0"/>
      <w:marBottom w:val="0"/>
      <w:divBdr>
        <w:top w:val="none" w:sz="0" w:space="0" w:color="auto"/>
        <w:left w:val="none" w:sz="0" w:space="0" w:color="auto"/>
        <w:bottom w:val="none" w:sz="0" w:space="0" w:color="auto"/>
        <w:right w:val="none" w:sz="0" w:space="0" w:color="auto"/>
      </w:divBdr>
    </w:div>
    <w:div w:id="1111167538">
      <w:bodyDiv w:val="1"/>
      <w:marLeft w:val="0"/>
      <w:marRight w:val="0"/>
      <w:marTop w:val="0"/>
      <w:marBottom w:val="0"/>
      <w:divBdr>
        <w:top w:val="none" w:sz="0" w:space="0" w:color="auto"/>
        <w:left w:val="none" w:sz="0" w:space="0" w:color="auto"/>
        <w:bottom w:val="none" w:sz="0" w:space="0" w:color="auto"/>
        <w:right w:val="none" w:sz="0" w:space="0" w:color="auto"/>
      </w:divBdr>
    </w:div>
    <w:div w:id="1133403353">
      <w:bodyDiv w:val="1"/>
      <w:marLeft w:val="0"/>
      <w:marRight w:val="0"/>
      <w:marTop w:val="0"/>
      <w:marBottom w:val="0"/>
      <w:divBdr>
        <w:top w:val="none" w:sz="0" w:space="0" w:color="auto"/>
        <w:left w:val="none" w:sz="0" w:space="0" w:color="auto"/>
        <w:bottom w:val="none" w:sz="0" w:space="0" w:color="auto"/>
        <w:right w:val="none" w:sz="0" w:space="0" w:color="auto"/>
      </w:divBdr>
    </w:div>
    <w:div w:id="1143890517">
      <w:bodyDiv w:val="1"/>
      <w:marLeft w:val="0"/>
      <w:marRight w:val="0"/>
      <w:marTop w:val="0"/>
      <w:marBottom w:val="0"/>
      <w:divBdr>
        <w:top w:val="none" w:sz="0" w:space="0" w:color="auto"/>
        <w:left w:val="none" w:sz="0" w:space="0" w:color="auto"/>
        <w:bottom w:val="none" w:sz="0" w:space="0" w:color="auto"/>
        <w:right w:val="none" w:sz="0" w:space="0" w:color="auto"/>
      </w:divBdr>
    </w:div>
    <w:div w:id="1144279583">
      <w:bodyDiv w:val="1"/>
      <w:marLeft w:val="0"/>
      <w:marRight w:val="0"/>
      <w:marTop w:val="0"/>
      <w:marBottom w:val="0"/>
      <w:divBdr>
        <w:top w:val="none" w:sz="0" w:space="0" w:color="auto"/>
        <w:left w:val="none" w:sz="0" w:space="0" w:color="auto"/>
        <w:bottom w:val="none" w:sz="0" w:space="0" w:color="auto"/>
        <w:right w:val="none" w:sz="0" w:space="0" w:color="auto"/>
      </w:divBdr>
    </w:div>
    <w:div w:id="1161655448">
      <w:bodyDiv w:val="1"/>
      <w:marLeft w:val="0"/>
      <w:marRight w:val="0"/>
      <w:marTop w:val="0"/>
      <w:marBottom w:val="0"/>
      <w:divBdr>
        <w:top w:val="none" w:sz="0" w:space="0" w:color="auto"/>
        <w:left w:val="none" w:sz="0" w:space="0" w:color="auto"/>
        <w:bottom w:val="none" w:sz="0" w:space="0" w:color="auto"/>
        <w:right w:val="none" w:sz="0" w:space="0" w:color="auto"/>
      </w:divBdr>
    </w:div>
    <w:div w:id="1169633941">
      <w:bodyDiv w:val="1"/>
      <w:marLeft w:val="0"/>
      <w:marRight w:val="0"/>
      <w:marTop w:val="0"/>
      <w:marBottom w:val="0"/>
      <w:divBdr>
        <w:top w:val="none" w:sz="0" w:space="0" w:color="auto"/>
        <w:left w:val="none" w:sz="0" w:space="0" w:color="auto"/>
        <w:bottom w:val="none" w:sz="0" w:space="0" w:color="auto"/>
        <w:right w:val="none" w:sz="0" w:space="0" w:color="auto"/>
      </w:divBdr>
    </w:div>
    <w:div w:id="1172182431">
      <w:bodyDiv w:val="1"/>
      <w:marLeft w:val="0"/>
      <w:marRight w:val="0"/>
      <w:marTop w:val="0"/>
      <w:marBottom w:val="0"/>
      <w:divBdr>
        <w:top w:val="none" w:sz="0" w:space="0" w:color="auto"/>
        <w:left w:val="none" w:sz="0" w:space="0" w:color="auto"/>
        <w:bottom w:val="none" w:sz="0" w:space="0" w:color="auto"/>
        <w:right w:val="none" w:sz="0" w:space="0" w:color="auto"/>
      </w:divBdr>
    </w:div>
    <w:div w:id="1172447187">
      <w:bodyDiv w:val="1"/>
      <w:marLeft w:val="0"/>
      <w:marRight w:val="0"/>
      <w:marTop w:val="0"/>
      <w:marBottom w:val="0"/>
      <w:divBdr>
        <w:top w:val="none" w:sz="0" w:space="0" w:color="auto"/>
        <w:left w:val="none" w:sz="0" w:space="0" w:color="auto"/>
        <w:bottom w:val="none" w:sz="0" w:space="0" w:color="auto"/>
        <w:right w:val="none" w:sz="0" w:space="0" w:color="auto"/>
      </w:divBdr>
    </w:div>
    <w:div w:id="1175262123">
      <w:bodyDiv w:val="1"/>
      <w:marLeft w:val="0"/>
      <w:marRight w:val="0"/>
      <w:marTop w:val="0"/>
      <w:marBottom w:val="0"/>
      <w:divBdr>
        <w:top w:val="none" w:sz="0" w:space="0" w:color="auto"/>
        <w:left w:val="none" w:sz="0" w:space="0" w:color="auto"/>
        <w:bottom w:val="none" w:sz="0" w:space="0" w:color="auto"/>
        <w:right w:val="none" w:sz="0" w:space="0" w:color="auto"/>
      </w:divBdr>
    </w:div>
    <w:div w:id="1187058975">
      <w:bodyDiv w:val="1"/>
      <w:marLeft w:val="0"/>
      <w:marRight w:val="0"/>
      <w:marTop w:val="0"/>
      <w:marBottom w:val="0"/>
      <w:divBdr>
        <w:top w:val="none" w:sz="0" w:space="0" w:color="auto"/>
        <w:left w:val="none" w:sz="0" w:space="0" w:color="auto"/>
        <w:bottom w:val="none" w:sz="0" w:space="0" w:color="auto"/>
        <w:right w:val="none" w:sz="0" w:space="0" w:color="auto"/>
      </w:divBdr>
    </w:div>
    <w:div w:id="1188061942">
      <w:bodyDiv w:val="1"/>
      <w:marLeft w:val="0"/>
      <w:marRight w:val="0"/>
      <w:marTop w:val="0"/>
      <w:marBottom w:val="0"/>
      <w:divBdr>
        <w:top w:val="none" w:sz="0" w:space="0" w:color="auto"/>
        <w:left w:val="none" w:sz="0" w:space="0" w:color="auto"/>
        <w:bottom w:val="none" w:sz="0" w:space="0" w:color="auto"/>
        <w:right w:val="none" w:sz="0" w:space="0" w:color="auto"/>
      </w:divBdr>
    </w:div>
    <w:div w:id="1192721052">
      <w:bodyDiv w:val="1"/>
      <w:marLeft w:val="0"/>
      <w:marRight w:val="0"/>
      <w:marTop w:val="0"/>
      <w:marBottom w:val="0"/>
      <w:divBdr>
        <w:top w:val="none" w:sz="0" w:space="0" w:color="auto"/>
        <w:left w:val="none" w:sz="0" w:space="0" w:color="auto"/>
        <w:bottom w:val="none" w:sz="0" w:space="0" w:color="auto"/>
        <w:right w:val="none" w:sz="0" w:space="0" w:color="auto"/>
      </w:divBdr>
    </w:div>
    <w:div w:id="1322739336">
      <w:bodyDiv w:val="1"/>
      <w:marLeft w:val="0"/>
      <w:marRight w:val="0"/>
      <w:marTop w:val="0"/>
      <w:marBottom w:val="0"/>
      <w:divBdr>
        <w:top w:val="none" w:sz="0" w:space="0" w:color="auto"/>
        <w:left w:val="none" w:sz="0" w:space="0" w:color="auto"/>
        <w:bottom w:val="none" w:sz="0" w:space="0" w:color="auto"/>
        <w:right w:val="none" w:sz="0" w:space="0" w:color="auto"/>
      </w:divBdr>
    </w:div>
    <w:div w:id="1339313984">
      <w:bodyDiv w:val="1"/>
      <w:marLeft w:val="0"/>
      <w:marRight w:val="0"/>
      <w:marTop w:val="0"/>
      <w:marBottom w:val="0"/>
      <w:divBdr>
        <w:top w:val="none" w:sz="0" w:space="0" w:color="auto"/>
        <w:left w:val="none" w:sz="0" w:space="0" w:color="auto"/>
        <w:bottom w:val="none" w:sz="0" w:space="0" w:color="auto"/>
        <w:right w:val="none" w:sz="0" w:space="0" w:color="auto"/>
      </w:divBdr>
    </w:div>
    <w:div w:id="1360084945">
      <w:bodyDiv w:val="1"/>
      <w:marLeft w:val="0"/>
      <w:marRight w:val="0"/>
      <w:marTop w:val="0"/>
      <w:marBottom w:val="0"/>
      <w:divBdr>
        <w:top w:val="none" w:sz="0" w:space="0" w:color="auto"/>
        <w:left w:val="none" w:sz="0" w:space="0" w:color="auto"/>
        <w:bottom w:val="none" w:sz="0" w:space="0" w:color="auto"/>
        <w:right w:val="none" w:sz="0" w:space="0" w:color="auto"/>
      </w:divBdr>
    </w:div>
    <w:div w:id="1409309325">
      <w:bodyDiv w:val="1"/>
      <w:marLeft w:val="0"/>
      <w:marRight w:val="0"/>
      <w:marTop w:val="0"/>
      <w:marBottom w:val="0"/>
      <w:divBdr>
        <w:top w:val="none" w:sz="0" w:space="0" w:color="auto"/>
        <w:left w:val="none" w:sz="0" w:space="0" w:color="auto"/>
        <w:bottom w:val="none" w:sz="0" w:space="0" w:color="auto"/>
        <w:right w:val="none" w:sz="0" w:space="0" w:color="auto"/>
      </w:divBdr>
    </w:div>
    <w:div w:id="1412846645">
      <w:bodyDiv w:val="1"/>
      <w:marLeft w:val="0"/>
      <w:marRight w:val="0"/>
      <w:marTop w:val="0"/>
      <w:marBottom w:val="0"/>
      <w:divBdr>
        <w:top w:val="none" w:sz="0" w:space="0" w:color="auto"/>
        <w:left w:val="none" w:sz="0" w:space="0" w:color="auto"/>
        <w:bottom w:val="none" w:sz="0" w:space="0" w:color="auto"/>
        <w:right w:val="none" w:sz="0" w:space="0" w:color="auto"/>
      </w:divBdr>
    </w:div>
    <w:div w:id="1420710510">
      <w:bodyDiv w:val="1"/>
      <w:marLeft w:val="0"/>
      <w:marRight w:val="0"/>
      <w:marTop w:val="0"/>
      <w:marBottom w:val="0"/>
      <w:divBdr>
        <w:top w:val="none" w:sz="0" w:space="0" w:color="auto"/>
        <w:left w:val="none" w:sz="0" w:space="0" w:color="auto"/>
        <w:bottom w:val="none" w:sz="0" w:space="0" w:color="auto"/>
        <w:right w:val="none" w:sz="0" w:space="0" w:color="auto"/>
      </w:divBdr>
    </w:div>
    <w:div w:id="1432579295">
      <w:bodyDiv w:val="1"/>
      <w:marLeft w:val="0"/>
      <w:marRight w:val="0"/>
      <w:marTop w:val="0"/>
      <w:marBottom w:val="0"/>
      <w:divBdr>
        <w:top w:val="none" w:sz="0" w:space="0" w:color="auto"/>
        <w:left w:val="none" w:sz="0" w:space="0" w:color="auto"/>
        <w:bottom w:val="none" w:sz="0" w:space="0" w:color="auto"/>
        <w:right w:val="none" w:sz="0" w:space="0" w:color="auto"/>
      </w:divBdr>
    </w:div>
    <w:div w:id="1444575701">
      <w:bodyDiv w:val="1"/>
      <w:marLeft w:val="0"/>
      <w:marRight w:val="0"/>
      <w:marTop w:val="0"/>
      <w:marBottom w:val="0"/>
      <w:divBdr>
        <w:top w:val="none" w:sz="0" w:space="0" w:color="auto"/>
        <w:left w:val="none" w:sz="0" w:space="0" w:color="auto"/>
        <w:bottom w:val="none" w:sz="0" w:space="0" w:color="auto"/>
        <w:right w:val="none" w:sz="0" w:space="0" w:color="auto"/>
      </w:divBdr>
    </w:div>
    <w:div w:id="1461726006">
      <w:bodyDiv w:val="1"/>
      <w:marLeft w:val="0"/>
      <w:marRight w:val="0"/>
      <w:marTop w:val="0"/>
      <w:marBottom w:val="0"/>
      <w:divBdr>
        <w:top w:val="none" w:sz="0" w:space="0" w:color="auto"/>
        <w:left w:val="none" w:sz="0" w:space="0" w:color="auto"/>
        <w:bottom w:val="none" w:sz="0" w:space="0" w:color="auto"/>
        <w:right w:val="none" w:sz="0" w:space="0" w:color="auto"/>
      </w:divBdr>
    </w:div>
    <w:div w:id="1489789287">
      <w:bodyDiv w:val="1"/>
      <w:marLeft w:val="0"/>
      <w:marRight w:val="0"/>
      <w:marTop w:val="0"/>
      <w:marBottom w:val="0"/>
      <w:divBdr>
        <w:top w:val="none" w:sz="0" w:space="0" w:color="auto"/>
        <w:left w:val="none" w:sz="0" w:space="0" w:color="auto"/>
        <w:bottom w:val="none" w:sz="0" w:space="0" w:color="auto"/>
        <w:right w:val="none" w:sz="0" w:space="0" w:color="auto"/>
      </w:divBdr>
    </w:div>
    <w:div w:id="1538276512">
      <w:bodyDiv w:val="1"/>
      <w:marLeft w:val="0"/>
      <w:marRight w:val="0"/>
      <w:marTop w:val="0"/>
      <w:marBottom w:val="0"/>
      <w:divBdr>
        <w:top w:val="none" w:sz="0" w:space="0" w:color="auto"/>
        <w:left w:val="none" w:sz="0" w:space="0" w:color="auto"/>
        <w:bottom w:val="none" w:sz="0" w:space="0" w:color="auto"/>
        <w:right w:val="none" w:sz="0" w:space="0" w:color="auto"/>
      </w:divBdr>
    </w:div>
    <w:div w:id="1552841555">
      <w:bodyDiv w:val="1"/>
      <w:marLeft w:val="0"/>
      <w:marRight w:val="0"/>
      <w:marTop w:val="0"/>
      <w:marBottom w:val="0"/>
      <w:divBdr>
        <w:top w:val="none" w:sz="0" w:space="0" w:color="auto"/>
        <w:left w:val="none" w:sz="0" w:space="0" w:color="auto"/>
        <w:bottom w:val="none" w:sz="0" w:space="0" w:color="auto"/>
        <w:right w:val="none" w:sz="0" w:space="0" w:color="auto"/>
      </w:divBdr>
    </w:div>
    <w:div w:id="1560824808">
      <w:bodyDiv w:val="1"/>
      <w:marLeft w:val="0"/>
      <w:marRight w:val="0"/>
      <w:marTop w:val="0"/>
      <w:marBottom w:val="0"/>
      <w:divBdr>
        <w:top w:val="none" w:sz="0" w:space="0" w:color="auto"/>
        <w:left w:val="none" w:sz="0" w:space="0" w:color="auto"/>
        <w:bottom w:val="none" w:sz="0" w:space="0" w:color="auto"/>
        <w:right w:val="none" w:sz="0" w:space="0" w:color="auto"/>
      </w:divBdr>
    </w:div>
    <w:div w:id="1563296460">
      <w:bodyDiv w:val="1"/>
      <w:marLeft w:val="0"/>
      <w:marRight w:val="0"/>
      <w:marTop w:val="0"/>
      <w:marBottom w:val="0"/>
      <w:divBdr>
        <w:top w:val="none" w:sz="0" w:space="0" w:color="auto"/>
        <w:left w:val="none" w:sz="0" w:space="0" w:color="auto"/>
        <w:bottom w:val="none" w:sz="0" w:space="0" w:color="auto"/>
        <w:right w:val="none" w:sz="0" w:space="0" w:color="auto"/>
      </w:divBdr>
    </w:div>
    <w:div w:id="1601136239">
      <w:bodyDiv w:val="1"/>
      <w:marLeft w:val="0"/>
      <w:marRight w:val="0"/>
      <w:marTop w:val="0"/>
      <w:marBottom w:val="0"/>
      <w:divBdr>
        <w:top w:val="none" w:sz="0" w:space="0" w:color="auto"/>
        <w:left w:val="none" w:sz="0" w:space="0" w:color="auto"/>
        <w:bottom w:val="none" w:sz="0" w:space="0" w:color="auto"/>
        <w:right w:val="none" w:sz="0" w:space="0" w:color="auto"/>
      </w:divBdr>
    </w:div>
    <w:div w:id="1632174375">
      <w:bodyDiv w:val="1"/>
      <w:marLeft w:val="0"/>
      <w:marRight w:val="0"/>
      <w:marTop w:val="0"/>
      <w:marBottom w:val="0"/>
      <w:divBdr>
        <w:top w:val="none" w:sz="0" w:space="0" w:color="auto"/>
        <w:left w:val="none" w:sz="0" w:space="0" w:color="auto"/>
        <w:bottom w:val="none" w:sz="0" w:space="0" w:color="auto"/>
        <w:right w:val="none" w:sz="0" w:space="0" w:color="auto"/>
      </w:divBdr>
    </w:div>
    <w:div w:id="1650135067">
      <w:bodyDiv w:val="1"/>
      <w:marLeft w:val="0"/>
      <w:marRight w:val="0"/>
      <w:marTop w:val="0"/>
      <w:marBottom w:val="0"/>
      <w:divBdr>
        <w:top w:val="none" w:sz="0" w:space="0" w:color="auto"/>
        <w:left w:val="none" w:sz="0" w:space="0" w:color="auto"/>
        <w:bottom w:val="none" w:sz="0" w:space="0" w:color="auto"/>
        <w:right w:val="none" w:sz="0" w:space="0" w:color="auto"/>
      </w:divBdr>
    </w:div>
    <w:div w:id="1673987776">
      <w:bodyDiv w:val="1"/>
      <w:marLeft w:val="0"/>
      <w:marRight w:val="0"/>
      <w:marTop w:val="0"/>
      <w:marBottom w:val="0"/>
      <w:divBdr>
        <w:top w:val="none" w:sz="0" w:space="0" w:color="auto"/>
        <w:left w:val="none" w:sz="0" w:space="0" w:color="auto"/>
        <w:bottom w:val="none" w:sz="0" w:space="0" w:color="auto"/>
        <w:right w:val="none" w:sz="0" w:space="0" w:color="auto"/>
      </w:divBdr>
    </w:div>
    <w:div w:id="1716543216">
      <w:bodyDiv w:val="1"/>
      <w:marLeft w:val="0"/>
      <w:marRight w:val="0"/>
      <w:marTop w:val="0"/>
      <w:marBottom w:val="0"/>
      <w:divBdr>
        <w:top w:val="none" w:sz="0" w:space="0" w:color="auto"/>
        <w:left w:val="none" w:sz="0" w:space="0" w:color="auto"/>
        <w:bottom w:val="none" w:sz="0" w:space="0" w:color="auto"/>
        <w:right w:val="none" w:sz="0" w:space="0" w:color="auto"/>
      </w:divBdr>
    </w:div>
    <w:div w:id="1735425099">
      <w:bodyDiv w:val="1"/>
      <w:marLeft w:val="0"/>
      <w:marRight w:val="0"/>
      <w:marTop w:val="0"/>
      <w:marBottom w:val="0"/>
      <w:divBdr>
        <w:top w:val="none" w:sz="0" w:space="0" w:color="auto"/>
        <w:left w:val="none" w:sz="0" w:space="0" w:color="auto"/>
        <w:bottom w:val="none" w:sz="0" w:space="0" w:color="auto"/>
        <w:right w:val="none" w:sz="0" w:space="0" w:color="auto"/>
      </w:divBdr>
    </w:div>
    <w:div w:id="1776051508">
      <w:bodyDiv w:val="1"/>
      <w:marLeft w:val="0"/>
      <w:marRight w:val="0"/>
      <w:marTop w:val="0"/>
      <w:marBottom w:val="0"/>
      <w:divBdr>
        <w:top w:val="none" w:sz="0" w:space="0" w:color="auto"/>
        <w:left w:val="none" w:sz="0" w:space="0" w:color="auto"/>
        <w:bottom w:val="none" w:sz="0" w:space="0" w:color="auto"/>
        <w:right w:val="none" w:sz="0" w:space="0" w:color="auto"/>
      </w:divBdr>
    </w:div>
    <w:div w:id="1779789233">
      <w:bodyDiv w:val="1"/>
      <w:marLeft w:val="0"/>
      <w:marRight w:val="0"/>
      <w:marTop w:val="0"/>
      <w:marBottom w:val="0"/>
      <w:divBdr>
        <w:top w:val="none" w:sz="0" w:space="0" w:color="auto"/>
        <w:left w:val="none" w:sz="0" w:space="0" w:color="auto"/>
        <w:bottom w:val="none" w:sz="0" w:space="0" w:color="auto"/>
        <w:right w:val="none" w:sz="0" w:space="0" w:color="auto"/>
      </w:divBdr>
    </w:div>
    <w:div w:id="1780566195">
      <w:bodyDiv w:val="1"/>
      <w:marLeft w:val="0"/>
      <w:marRight w:val="0"/>
      <w:marTop w:val="0"/>
      <w:marBottom w:val="0"/>
      <w:divBdr>
        <w:top w:val="none" w:sz="0" w:space="0" w:color="auto"/>
        <w:left w:val="none" w:sz="0" w:space="0" w:color="auto"/>
        <w:bottom w:val="none" w:sz="0" w:space="0" w:color="auto"/>
        <w:right w:val="none" w:sz="0" w:space="0" w:color="auto"/>
      </w:divBdr>
    </w:div>
    <w:div w:id="1784156390">
      <w:bodyDiv w:val="1"/>
      <w:marLeft w:val="0"/>
      <w:marRight w:val="0"/>
      <w:marTop w:val="0"/>
      <w:marBottom w:val="0"/>
      <w:divBdr>
        <w:top w:val="none" w:sz="0" w:space="0" w:color="auto"/>
        <w:left w:val="none" w:sz="0" w:space="0" w:color="auto"/>
        <w:bottom w:val="none" w:sz="0" w:space="0" w:color="auto"/>
        <w:right w:val="none" w:sz="0" w:space="0" w:color="auto"/>
      </w:divBdr>
    </w:div>
    <w:div w:id="1805002050">
      <w:bodyDiv w:val="1"/>
      <w:marLeft w:val="0"/>
      <w:marRight w:val="0"/>
      <w:marTop w:val="0"/>
      <w:marBottom w:val="0"/>
      <w:divBdr>
        <w:top w:val="none" w:sz="0" w:space="0" w:color="auto"/>
        <w:left w:val="none" w:sz="0" w:space="0" w:color="auto"/>
        <w:bottom w:val="none" w:sz="0" w:space="0" w:color="auto"/>
        <w:right w:val="none" w:sz="0" w:space="0" w:color="auto"/>
      </w:divBdr>
    </w:div>
    <w:div w:id="1823111021">
      <w:bodyDiv w:val="1"/>
      <w:marLeft w:val="0"/>
      <w:marRight w:val="0"/>
      <w:marTop w:val="0"/>
      <w:marBottom w:val="0"/>
      <w:divBdr>
        <w:top w:val="none" w:sz="0" w:space="0" w:color="auto"/>
        <w:left w:val="none" w:sz="0" w:space="0" w:color="auto"/>
        <w:bottom w:val="none" w:sz="0" w:space="0" w:color="auto"/>
        <w:right w:val="none" w:sz="0" w:space="0" w:color="auto"/>
      </w:divBdr>
    </w:div>
    <w:div w:id="1828738501">
      <w:bodyDiv w:val="1"/>
      <w:marLeft w:val="0"/>
      <w:marRight w:val="0"/>
      <w:marTop w:val="0"/>
      <w:marBottom w:val="0"/>
      <w:divBdr>
        <w:top w:val="none" w:sz="0" w:space="0" w:color="auto"/>
        <w:left w:val="none" w:sz="0" w:space="0" w:color="auto"/>
        <w:bottom w:val="none" w:sz="0" w:space="0" w:color="auto"/>
        <w:right w:val="none" w:sz="0" w:space="0" w:color="auto"/>
      </w:divBdr>
    </w:div>
    <w:div w:id="1868327288">
      <w:bodyDiv w:val="1"/>
      <w:marLeft w:val="0"/>
      <w:marRight w:val="0"/>
      <w:marTop w:val="0"/>
      <w:marBottom w:val="0"/>
      <w:divBdr>
        <w:top w:val="none" w:sz="0" w:space="0" w:color="auto"/>
        <w:left w:val="none" w:sz="0" w:space="0" w:color="auto"/>
        <w:bottom w:val="none" w:sz="0" w:space="0" w:color="auto"/>
        <w:right w:val="none" w:sz="0" w:space="0" w:color="auto"/>
      </w:divBdr>
    </w:div>
    <w:div w:id="1904876856">
      <w:bodyDiv w:val="1"/>
      <w:marLeft w:val="0"/>
      <w:marRight w:val="0"/>
      <w:marTop w:val="0"/>
      <w:marBottom w:val="0"/>
      <w:divBdr>
        <w:top w:val="none" w:sz="0" w:space="0" w:color="auto"/>
        <w:left w:val="none" w:sz="0" w:space="0" w:color="auto"/>
        <w:bottom w:val="none" w:sz="0" w:space="0" w:color="auto"/>
        <w:right w:val="none" w:sz="0" w:space="0" w:color="auto"/>
      </w:divBdr>
    </w:div>
    <w:div w:id="1945503019">
      <w:bodyDiv w:val="1"/>
      <w:marLeft w:val="0"/>
      <w:marRight w:val="0"/>
      <w:marTop w:val="0"/>
      <w:marBottom w:val="0"/>
      <w:divBdr>
        <w:top w:val="none" w:sz="0" w:space="0" w:color="auto"/>
        <w:left w:val="none" w:sz="0" w:space="0" w:color="auto"/>
        <w:bottom w:val="none" w:sz="0" w:space="0" w:color="auto"/>
        <w:right w:val="none" w:sz="0" w:space="0" w:color="auto"/>
      </w:divBdr>
    </w:div>
    <w:div w:id="1980646517">
      <w:bodyDiv w:val="1"/>
      <w:marLeft w:val="0"/>
      <w:marRight w:val="0"/>
      <w:marTop w:val="0"/>
      <w:marBottom w:val="0"/>
      <w:divBdr>
        <w:top w:val="none" w:sz="0" w:space="0" w:color="auto"/>
        <w:left w:val="none" w:sz="0" w:space="0" w:color="auto"/>
        <w:bottom w:val="none" w:sz="0" w:space="0" w:color="auto"/>
        <w:right w:val="none" w:sz="0" w:space="0" w:color="auto"/>
      </w:divBdr>
    </w:div>
    <w:div w:id="2016298149">
      <w:bodyDiv w:val="1"/>
      <w:marLeft w:val="0"/>
      <w:marRight w:val="0"/>
      <w:marTop w:val="0"/>
      <w:marBottom w:val="0"/>
      <w:divBdr>
        <w:top w:val="none" w:sz="0" w:space="0" w:color="auto"/>
        <w:left w:val="none" w:sz="0" w:space="0" w:color="auto"/>
        <w:bottom w:val="none" w:sz="0" w:space="0" w:color="auto"/>
        <w:right w:val="none" w:sz="0" w:space="0" w:color="auto"/>
      </w:divBdr>
    </w:div>
    <w:div w:id="2054571432">
      <w:bodyDiv w:val="1"/>
      <w:marLeft w:val="0"/>
      <w:marRight w:val="0"/>
      <w:marTop w:val="0"/>
      <w:marBottom w:val="0"/>
      <w:divBdr>
        <w:top w:val="none" w:sz="0" w:space="0" w:color="auto"/>
        <w:left w:val="none" w:sz="0" w:space="0" w:color="auto"/>
        <w:bottom w:val="none" w:sz="0" w:space="0" w:color="auto"/>
        <w:right w:val="none" w:sz="0" w:space="0" w:color="auto"/>
      </w:divBdr>
    </w:div>
    <w:div w:id="2054578541">
      <w:bodyDiv w:val="1"/>
      <w:marLeft w:val="0"/>
      <w:marRight w:val="0"/>
      <w:marTop w:val="0"/>
      <w:marBottom w:val="0"/>
      <w:divBdr>
        <w:top w:val="none" w:sz="0" w:space="0" w:color="auto"/>
        <w:left w:val="none" w:sz="0" w:space="0" w:color="auto"/>
        <w:bottom w:val="none" w:sz="0" w:space="0" w:color="auto"/>
        <w:right w:val="none" w:sz="0" w:space="0" w:color="auto"/>
      </w:divBdr>
    </w:div>
    <w:div w:id="2062091364">
      <w:bodyDiv w:val="1"/>
      <w:marLeft w:val="0"/>
      <w:marRight w:val="0"/>
      <w:marTop w:val="0"/>
      <w:marBottom w:val="0"/>
      <w:divBdr>
        <w:top w:val="none" w:sz="0" w:space="0" w:color="auto"/>
        <w:left w:val="none" w:sz="0" w:space="0" w:color="auto"/>
        <w:bottom w:val="none" w:sz="0" w:space="0" w:color="auto"/>
        <w:right w:val="none" w:sz="0" w:space="0" w:color="auto"/>
      </w:divBdr>
    </w:div>
    <w:div w:id="2063098424">
      <w:bodyDiv w:val="1"/>
      <w:marLeft w:val="0"/>
      <w:marRight w:val="0"/>
      <w:marTop w:val="0"/>
      <w:marBottom w:val="0"/>
      <w:divBdr>
        <w:top w:val="none" w:sz="0" w:space="0" w:color="auto"/>
        <w:left w:val="none" w:sz="0" w:space="0" w:color="auto"/>
        <w:bottom w:val="none" w:sz="0" w:space="0" w:color="auto"/>
        <w:right w:val="none" w:sz="0" w:space="0" w:color="auto"/>
      </w:divBdr>
    </w:div>
    <w:div w:id="2078091390">
      <w:bodyDiv w:val="1"/>
      <w:marLeft w:val="0"/>
      <w:marRight w:val="0"/>
      <w:marTop w:val="0"/>
      <w:marBottom w:val="0"/>
      <w:divBdr>
        <w:top w:val="none" w:sz="0" w:space="0" w:color="auto"/>
        <w:left w:val="none" w:sz="0" w:space="0" w:color="auto"/>
        <w:bottom w:val="none" w:sz="0" w:space="0" w:color="auto"/>
        <w:right w:val="none" w:sz="0" w:space="0" w:color="auto"/>
      </w:divBdr>
    </w:div>
    <w:div w:id="2089574642">
      <w:bodyDiv w:val="1"/>
      <w:marLeft w:val="0"/>
      <w:marRight w:val="0"/>
      <w:marTop w:val="0"/>
      <w:marBottom w:val="0"/>
      <w:divBdr>
        <w:top w:val="none" w:sz="0" w:space="0" w:color="auto"/>
        <w:left w:val="none" w:sz="0" w:space="0" w:color="auto"/>
        <w:bottom w:val="none" w:sz="0" w:space="0" w:color="auto"/>
        <w:right w:val="none" w:sz="0" w:space="0" w:color="auto"/>
      </w:divBdr>
    </w:div>
    <w:div w:id="2112429357">
      <w:bodyDiv w:val="1"/>
      <w:marLeft w:val="0"/>
      <w:marRight w:val="0"/>
      <w:marTop w:val="0"/>
      <w:marBottom w:val="0"/>
      <w:divBdr>
        <w:top w:val="none" w:sz="0" w:space="0" w:color="auto"/>
        <w:left w:val="none" w:sz="0" w:space="0" w:color="auto"/>
        <w:bottom w:val="none" w:sz="0" w:space="0" w:color="auto"/>
        <w:right w:val="none" w:sz="0" w:space="0" w:color="auto"/>
      </w:divBdr>
    </w:div>
    <w:div w:id="21402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xristof\Application%20Data\Microsoft\&#928;&#961;&#972;&#964;&#965;&#960;&#945;\EIS_200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70B65-5768-4136-BAFF-8013AB04E723}">
  <ds:schemaRefs>
    <ds:schemaRef ds:uri="http://schemas.openxmlformats.org/officeDocument/2006/bibliography"/>
  </ds:schemaRefs>
</ds:datastoreItem>
</file>

<file path=customXml/itemProps2.xml><?xml version="1.0" encoding="utf-8"?>
<ds:datastoreItem xmlns:ds="http://schemas.openxmlformats.org/officeDocument/2006/customXml" ds:itemID="{D076AB84-429C-4A46-9C07-9A4ECA8E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EIS_2005</Template>
  <TotalTime>3</TotalTime>
  <Pages>89</Pages>
  <Words>39267</Words>
  <Characters>212045</Characters>
  <DocSecurity>0</DocSecurity>
  <Lines>1767</Lines>
  <Paragraphs>501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250811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2020-11-19T22:28:00Z</cp:lastPrinted>
  <dcterms:created xsi:type="dcterms:W3CDTF">2020-11-20T00:44:00Z</dcterms:created>
  <dcterms:modified xsi:type="dcterms:W3CDTF">2020-11-20T00:53:00Z</dcterms:modified>
</cp:coreProperties>
</file>