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2C7" w:rsidRPr="00B067F4" w:rsidRDefault="000C72C7" w:rsidP="000C72C7">
      <w:pPr>
        <w:jc w:val="both"/>
        <w:rPr>
          <w:rFonts w:ascii="Arial Narrow" w:hAnsi="Arial Narrow"/>
          <w:b/>
          <w:color w:val="000080"/>
          <w:sz w:val="40"/>
          <w:szCs w:val="22"/>
        </w:rPr>
      </w:pPr>
      <w:r w:rsidRPr="00B067F4">
        <w:rPr>
          <w:rFonts w:ascii="Arial Narrow" w:hAnsi="Arial Narrow"/>
          <w:b/>
          <w:color w:val="000080"/>
          <w:sz w:val="40"/>
          <w:szCs w:val="22"/>
        </w:rPr>
        <w:t>ΟΙΚΟΝΟΜΙΚΕΣ ΕΞΕΛΙΞΕΙΣ</w:t>
      </w:r>
    </w:p>
    <w:p w:rsidR="000C72C7" w:rsidRPr="00B067F4" w:rsidRDefault="000C72C7" w:rsidP="000C72C7">
      <w:pPr>
        <w:jc w:val="both"/>
        <w:rPr>
          <w:rFonts w:ascii="Arial Narrow" w:hAnsi="Arial Narrow"/>
          <w:b/>
          <w:color w:val="000080"/>
          <w:sz w:val="40"/>
          <w:szCs w:val="22"/>
        </w:rPr>
      </w:pPr>
      <w:r w:rsidRPr="00B067F4">
        <w:rPr>
          <w:rFonts w:ascii="Arial Narrow" w:hAnsi="Arial Narrow"/>
          <w:b/>
          <w:color w:val="000080"/>
          <w:sz w:val="40"/>
          <w:szCs w:val="22"/>
        </w:rPr>
        <w:t>ΚΑΙ ΠΡΟΟΠΤΙΚΕΣ</w:t>
      </w:r>
    </w:p>
    <w:p w:rsidR="004D4D87" w:rsidRPr="00CE4984" w:rsidRDefault="004D4D87" w:rsidP="000C72C7">
      <w:pPr>
        <w:jc w:val="both"/>
        <w:rPr>
          <w:sz w:val="40"/>
          <w:szCs w:val="40"/>
        </w:rPr>
      </w:pPr>
    </w:p>
    <w:p w:rsidR="0063518B" w:rsidRPr="00472EC7" w:rsidRDefault="0063518B" w:rsidP="0063518B">
      <w:pPr>
        <w:shd w:val="clear" w:color="auto" w:fill="595959"/>
        <w:jc w:val="both"/>
        <w:rPr>
          <w:rFonts w:ascii="Arial Narrow" w:hAnsi="Arial Narrow"/>
          <w:b/>
          <w:color w:val="FFFFFF"/>
          <w:sz w:val="26"/>
          <w:szCs w:val="26"/>
        </w:rPr>
      </w:pPr>
      <w:r w:rsidRPr="00472EC7">
        <w:rPr>
          <w:rFonts w:ascii="Arial Narrow" w:hAnsi="Arial Narrow"/>
          <w:b/>
          <w:color w:val="FFFFFF"/>
          <w:sz w:val="26"/>
          <w:szCs w:val="26"/>
        </w:rPr>
        <w:t>1.</w:t>
      </w:r>
      <w:r w:rsidRPr="00472EC7">
        <w:rPr>
          <w:rFonts w:ascii="Arial Narrow" w:hAnsi="Arial Narrow"/>
          <w:b/>
          <w:color w:val="FFFFFF"/>
          <w:sz w:val="26"/>
          <w:szCs w:val="26"/>
        </w:rPr>
        <w:tab/>
        <w:t>Διεθνείς οικονομικές εξελίξεις</w:t>
      </w:r>
    </w:p>
    <w:p w:rsidR="003600C3" w:rsidRDefault="003600C3" w:rsidP="000C72C7">
      <w:pPr>
        <w:jc w:val="both"/>
        <w:rPr>
          <w:szCs w:val="22"/>
        </w:rPr>
      </w:pPr>
    </w:p>
    <w:p w:rsidR="006B6335" w:rsidRPr="0063518B" w:rsidRDefault="006B6335" w:rsidP="006B6335">
      <w:pPr>
        <w:pStyle w:val="a9"/>
        <w:jc w:val="both"/>
        <w:rPr>
          <w:rFonts w:ascii="Times New Roman" w:hAnsi="Times New Roman"/>
          <w:sz w:val="22"/>
          <w:szCs w:val="22"/>
        </w:rPr>
      </w:pPr>
      <w:bookmarkStart w:id="0" w:name="OLE_LINK1"/>
      <w:r w:rsidRPr="0063518B">
        <w:rPr>
          <w:rFonts w:ascii="Times New Roman" w:hAnsi="Times New Roman"/>
          <w:sz w:val="22"/>
          <w:szCs w:val="22"/>
        </w:rPr>
        <w:t>Οι προοπτικές της παγκόσμιας οικονομίας μετά την έξαρση του δεύτερου κύματος της πανδημίας το φθινόπωρο του 2020 και την επιβολή περιοριστικών μέτρων αντιμετώπισής της, καθώς και της αν</w:t>
      </w:r>
      <w:r w:rsidRPr="0063518B">
        <w:rPr>
          <w:rFonts w:ascii="Times New Roman" w:hAnsi="Times New Roman"/>
          <w:sz w:val="22"/>
          <w:szCs w:val="22"/>
        </w:rPr>
        <w:t>α</w:t>
      </w:r>
      <w:r w:rsidRPr="0063518B">
        <w:rPr>
          <w:rFonts w:ascii="Times New Roman" w:hAnsi="Times New Roman"/>
          <w:sz w:val="22"/>
          <w:szCs w:val="22"/>
        </w:rPr>
        <w:t>στολής της οικονομικής δραστηριότητας σε πολλές χώρες</w:t>
      </w:r>
      <w:r w:rsidR="009D77A7" w:rsidRPr="0063518B">
        <w:rPr>
          <w:rFonts w:ascii="Times New Roman" w:hAnsi="Times New Roman"/>
          <w:sz w:val="22"/>
          <w:szCs w:val="22"/>
        </w:rPr>
        <w:t>,</w:t>
      </w:r>
      <w:r w:rsidRPr="0063518B">
        <w:rPr>
          <w:rFonts w:ascii="Times New Roman" w:hAnsi="Times New Roman"/>
          <w:sz w:val="22"/>
          <w:szCs w:val="22"/>
        </w:rPr>
        <w:t xml:space="preserve"> προδιαγράφονται αβέβαιες. Το δεύτερο κύμα της πανδημίας, κυρίως στο τέταρτο τρίμηνο του 2020 αναμένεται να έχει σημαντική αρνητική επίπτωση στις προοπτικές της παγκόσμιας οικονομικής δραστηριότητας. Οι ευρωπαϊκοί και διεθνείς οργανισμοί</w:t>
      </w:r>
      <w:r w:rsidR="009D77A7" w:rsidRPr="0063518B">
        <w:rPr>
          <w:rFonts w:ascii="Times New Roman" w:hAnsi="Times New Roman"/>
          <w:sz w:val="22"/>
          <w:szCs w:val="22"/>
        </w:rPr>
        <w:t>,</w:t>
      </w:r>
      <w:r w:rsidRPr="0063518B">
        <w:rPr>
          <w:rFonts w:ascii="Times New Roman" w:hAnsi="Times New Roman"/>
          <w:sz w:val="22"/>
          <w:szCs w:val="22"/>
        </w:rPr>
        <w:t xml:space="preserve"> αναμένεται να ενσωματώσουν τον οικονομικό αντίκτυπο της έξαρσης της πανδημίας για τις προοπτικές του παγκόσμιου ΑΕΠ στις επόμενες εκθέσεις για τις οικονομικές προβλέψεις.</w:t>
      </w:r>
    </w:p>
    <w:p w:rsidR="006B6335" w:rsidRPr="0063518B" w:rsidRDefault="006B6335" w:rsidP="006B6335">
      <w:pPr>
        <w:jc w:val="both"/>
        <w:rPr>
          <w:sz w:val="22"/>
          <w:szCs w:val="22"/>
        </w:rPr>
      </w:pPr>
    </w:p>
    <w:p w:rsidR="006B6335" w:rsidRPr="0063518B" w:rsidRDefault="006B6335" w:rsidP="006B6335">
      <w:pPr>
        <w:jc w:val="both"/>
        <w:rPr>
          <w:sz w:val="22"/>
          <w:szCs w:val="22"/>
        </w:rPr>
      </w:pPr>
      <w:r w:rsidRPr="0063518B">
        <w:rPr>
          <w:sz w:val="22"/>
          <w:szCs w:val="22"/>
        </w:rPr>
        <w:t>Η Ευρωπαϊκή Επιτροπή (ΕΕ)</w:t>
      </w:r>
      <w:r w:rsidRPr="0063518B">
        <w:rPr>
          <w:sz w:val="22"/>
          <w:szCs w:val="22"/>
          <w:vertAlign w:val="superscript"/>
        </w:rPr>
        <w:footnoteReference w:id="1"/>
      </w:r>
      <w:r w:rsidRPr="0063518B">
        <w:rPr>
          <w:sz w:val="22"/>
          <w:szCs w:val="22"/>
        </w:rPr>
        <w:t>, στην τελευταία έκθεση των οικονομικών προβλέψεων εκτιμά για την οικονομία της Ευρωζώνης ύφεση 7,8% για το 2020 και ανάκαμψη 4,2%</w:t>
      </w:r>
      <w:r w:rsidRPr="0063518B">
        <w:rPr>
          <w:sz w:val="22"/>
          <w:szCs w:val="22"/>
          <w:vertAlign w:val="superscript"/>
        </w:rPr>
        <w:footnoteReference w:id="2"/>
      </w:r>
      <w:r w:rsidRPr="0063518B">
        <w:rPr>
          <w:sz w:val="22"/>
          <w:szCs w:val="22"/>
        </w:rPr>
        <w:t xml:space="preserve"> για το 2021, από ύφεση 8,7% και ανάπτυξη 6,1% αντίστοιχα, σε σύγκριση με την προηγούμενη έκθεση του Ιουλίου του 2020, χωρίς ωστόσο να </w:t>
      </w:r>
      <w:r w:rsidR="001B0811" w:rsidRPr="0063518B">
        <w:rPr>
          <w:sz w:val="22"/>
          <w:szCs w:val="22"/>
        </w:rPr>
        <w:t xml:space="preserve">έχει </w:t>
      </w:r>
      <w:r w:rsidRPr="0063518B">
        <w:rPr>
          <w:sz w:val="22"/>
          <w:szCs w:val="22"/>
        </w:rPr>
        <w:t>ενσωματώσει τις εξελίξεις του δεύτερου κύματος της πανδημίας. Σύμφωνα με την έκθεση</w:t>
      </w:r>
      <w:r w:rsidR="009D77A7" w:rsidRPr="0063518B">
        <w:rPr>
          <w:sz w:val="22"/>
          <w:szCs w:val="22"/>
        </w:rPr>
        <w:t>,</w:t>
      </w:r>
      <w:r w:rsidRPr="0063518B">
        <w:rPr>
          <w:sz w:val="22"/>
          <w:szCs w:val="22"/>
        </w:rPr>
        <w:t xml:space="preserve"> ο οικονομικός αντίκτυπος της πανδημίας χαρακτηρίζεται από ασύμμετρες επιπτώσεις μ</w:t>
      </w:r>
      <w:r w:rsidRPr="0063518B">
        <w:rPr>
          <w:sz w:val="22"/>
          <w:szCs w:val="22"/>
        </w:rPr>
        <w:t>ε</w:t>
      </w:r>
      <w:r w:rsidRPr="0063518B">
        <w:rPr>
          <w:sz w:val="22"/>
          <w:szCs w:val="22"/>
        </w:rPr>
        <w:t>ταξύ των χωρών της Ευρωζώνης και εν γένει της ΕΕ και το ίδιο ισχύει και για τις προοπτικές αν</w:t>
      </w:r>
      <w:r w:rsidRPr="0063518B">
        <w:rPr>
          <w:sz w:val="22"/>
          <w:szCs w:val="22"/>
        </w:rPr>
        <w:t>ά</w:t>
      </w:r>
      <w:r w:rsidRPr="0063518B">
        <w:rPr>
          <w:sz w:val="22"/>
          <w:szCs w:val="22"/>
        </w:rPr>
        <w:t>καμψης. O διαφορετικός βαθμός επίδρασης της πανδημίας στις οικονομίες των χωρών αντανακλά το βαθμό εξάπλωσης του ιού, την αυστηρότητα των μέτρων δημόσιας υγείας που λαμβάνονται για την αντιμετώπισή του, τη διάρθρωση των οικονομικών τομέων των εθνικών οικονομιών και την ένταση της δημοσιονομικής αντίδρασης των εθνικών κυβερνήσεων. Ωστόσο, ο προσωρινός και όχι διαρθρ</w:t>
      </w:r>
      <w:r w:rsidRPr="0063518B">
        <w:rPr>
          <w:sz w:val="22"/>
          <w:szCs w:val="22"/>
        </w:rPr>
        <w:t>ω</w:t>
      </w:r>
      <w:r w:rsidRPr="0063518B">
        <w:rPr>
          <w:sz w:val="22"/>
          <w:szCs w:val="22"/>
        </w:rPr>
        <w:t xml:space="preserve">τικός χαρακτήρας της κρίσης, καθώς και η άμεση, εκτεταμένη και διεθνώς συντονισμένη </w:t>
      </w:r>
      <w:r w:rsidR="00A5025F">
        <w:rPr>
          <w:sz w:val="22"/>
          <w:szCs w:val="22"/>
        </w:rPr>
        <w:t>δημοσιον</w:t>
      </w:r>
      <w:r w:rsidR="00A5025F">
        <w:rPr>
          <w:sz w:val="22"/>
          <w:szCs w:val="22"/>
        </w:rPr>
        <w:t>ο</w:t>
      </w:r>
      <w:r w:rsidR="00A5025F">
        <w:rPr>
          <w:sz w:val="22"/>
          <w:szCs w:val="22"/>
        </w:rPr>
        <w:t>μική</w:t>
      </w:r>
      <w:r w:rsidR="00A5025F" w:rsidRPr="0063518B">
        <w:rPr>
          <w:sz w:val="22"/>
          <w:szCs w:val="22"/>
        </w:rPr>
        <w:t xml:space="preserve"> </w:t>
      </w:r>
      <w:r w:rsidR="00BC5591">
        <w:rPr>
          <w:sz w:val="22"/>
          <w:szCs w:val="22"/>
        </w:rPr>
        <w:t xml:space="preserve">και νομισματική </w:t>
      </w:r>
      <w:r w:rsidRPr="0063518B">
        <w:rPr>
          <w:sz w:val="22"/>
          <w:szCs w:val="22"/>
        </w:rPr>
        <w:t>αντίδραση</w:t>
      </w:r>
      <w:r w:rsidR="009D77A7" w:rsidRPr="0063518B">
        <w:rPr>
          <w:sz w:val="22"/>
          <w:szCs w:val="22"/>
        </w:rPr>
        <w:t>,</w:t>
      </w:r>
      <w:r w:rsidRPr="0063518B">
        <w:rPr>
          <w:sz w:val="22"/>
          <w:szCs w:val="22"/>
        </w:rPr>
        <w:t xml:space="preserve"> η οποία παρατηρήθηκε, </w:t>
      </w:r>
      <w:r w:rsidR="00BC5591">
        <w:rPr>
          <w:sz w:val="22"/>
          <w:szCs w:val="22"/>
        </w:rPr>
        <w:t>καθώς και η διαφαινόμενη ανακάλυψη απ</w:t>
      </w:r>
      <w:r w:rsidR="00BC5591">
        <w:rPr>
          <w:sz w:val="22"/>
          <w:szCs w:val="22"/>
        </w:rPr>
        <w:t>ο</w:t>
      </w:r>
      <w:r w:rsidR="00BC5591">
        <w:rPr>
          <w:sz w:val="22"/>
          <w:szCs w:val="22"/>
        </w:rPr>
        <w:t xml:space="preserve">τελεσματικών εμβολίων κατά της πανδημίας, </w:t>
      </w:r>
      <w:r w:rsidRPr="0063518B">
        <w:rPr>
          <w:sz w:val="22"/>
          <w:szCs w:val="22"/>
        </w:rPr>
        <w:t xml:space="preserve">εκτιμάται ότι θα </w:t>
      </w:r>
      <w:r w:rsidR="00BC5591" w:rsidRPr="0063518B">
        <w:rPr>
          <w:sz w:val="22"/>
          <w:szCs w:val="22"/>
        </w:rPr>
        <w:t>συμβάλ</w:t>
      </w:r>
      <w:r w:rsidR="00BC5591">
        <w:rPr>
          <w:sz w:val="22"/>
          <w:szCs w:val="22"/>
        </w:rPr>
        <w:t>ουν</w:t>
      </w:r>
      <w:r w:rsidR="00BC5591" w:rsidRPr="0063518B">
        <w:rPr>
          <w:sz w:val="22"/>
          <w:szCs w:val="22"/>
        </w:rPr>
        <w:t xml:space="preserve"> </w:t>
      </w:r>
      <w:r w:rsidRPr="0063518B">
        <w:rPr>
          <w:sz w:val="22"/>
          <w:szCs w:val="22"/>
        </w:rPr>
        <w:t>στην ταχεία οικονομική ανάκ</w:t>
      </w:r>
      <w:r w:rsidR="00A76ED1" w:rsidRPr="0063518B">
        <w:rPr>
          <w:sz w:val="22"/>
          <w:szCs w:val="22"/>
        </w:rPr>
        <w:t>αμψη της παγκόσμιας οικονομίας.</w:t>
      </w:r>
    </w:p>
    <w:p w:rsidR="006B6335" w:rsidRPr="0063518B" w:rsidRDefault="006B6335" w:rsidP="006B6335">
      <w:pPr>
        <w:jc w:val="both"/>
        <w:rPr>
          <w:sz w:val="22"/>
          <w:szCs w:val="22"/>
        </w:rPr>
      </w:pPr>
    </w:p>
    <w:p w:rsidR="006B6335" w:rsidRPr="0063518B" w:rsidRDefault="006B6335" w:rsidP="006B6335">
      <w:pPr>
        <w:jc w:val="both"/>
        <w:rPr>
          <w:sz w:val="22"/>
          <w:szCs w:val="22"/>
        </w:rPr>
      </w:pPr>
      <w:r w:rsidRPr="0063518B">
        <w:rPr>
          <w:sz w:val="22"/>
          <w:szCs w:val="22"/>
        </w:rPr>
        <w:t>Το Διεθνές Νομισματικό Ταμείο (ΔΝΤ) για την Ευρωζώνη, στις αρχές του φθινοπώρου και  σύμφωνα με τα στοιχεία της τελευταίας έκθεσης</w:t>
      </w:r>
      <w:r w:rsidRPr="0063518B">
        <w:rPr>
          <w:sz w:val="22"/>
          <w:szCs w:val="22"/>
          <w:vertAlign w:val="superscript"/>
        </w:rPr>
        <w:footnoteReference w:id="3"/>
      </w:r>
      <w:r w:rsidR="009A26AD">
        <w:rPr>
          <w:sz w:val="22"/>
          <w:szCs w:val="22"/>
        </w:rPr>
        <w:t>,</w:t>
      </w:r>
      <w:r w:rsidRPr="0063518B">
        <w:rPr>
          <w:sz w:val="22"/>
          <w:szCs w:val="22"/>
        </w:rPr>
        <w:t xml:space="preserve"> προέβλεπε ότι το πραγματικό ΑΕΠ θα υποχωρήσει κατά 8,3% για το 2020, ενώ για το 2021 προέβλεπε να ανακάμψει κατά 5,2%, ωστόσο με ασύμμετρες επ</w:t>
      </w:r>
      <w:r w:rsidRPr="0063518B">
        <w:rPr>
          <w:sz w:val="22"/>
          <w:szCs w:val="22"/>
        </w:rPr>
        <w:t>ι</w:t>
      </w:r>
      <w:r w:rsidRPr="0063518B">
        <w:rPr>
          <w:sz w:val="22"/>
          <w:szCs w:val="22"/>
        </w:rPr>
        <w:t>πτώσεις μεταξύ των χωρών, τόσο από οικονομικής, όσο και από υγειονομικής πλευ</w:t>
      </w:r>
      <w:r w:rsidR="00A76ED1" w:rsidRPr="0063518B">
        <w:rPr>
          <w:sz w:val="22"/>
          <w:szCs w:val="22"/>
        </w:rPr>
        <w:t>ράς.</w:t>
      </w:r>
    </w:p>
    <w:p w:rsidR="006B6335" w:rsidRPr="0063518B" w:rsidRDefault="006B6335" w:rsidP="006B6335">
      <w:pPr>
        <w:jc w:val="both"/>
        <w:rPr>
          <w:sz w:val="22"/>
          <w:szCs w:val="22"/>
        </w:rPr>
      </w:pPr>
    </w:p>
    <w:p w:rsidR="006B6335" w:rsidRPr="0063518B" w:rsidRDefault="006B6335" w:rsidP="006B6335">
      <w:pPr>
        <w:jc w:val="both"/>
        <w:rPr>
          <w:sz w:val="22"/>
          <w:szCs w:val="22"/>
        </w:rPr>
      </w:pPr>
      <w:r w:rsidRPr="0063518B">
        <w:rPr>
          <w:sz w:val="22"/>
          <w:szCs w:val="22"/>
        </w:rPr>
        <w:t>Οι προοπτικές της παγκόσμιας οικονομίας, σύμφωνα με την έκθεση του ΔΝΤ, χωρίς την ενσωμάτωση των επιπτώσεων του δεύτερου κύματος, προέβλεπαν βελτίωση για το 2020 με ύφεση μικρότερη κατά 0,5 ποσοστιαίες μονάδες, και μικρότερη ανάκαμψη κατά 0,2 ποσοστιαίες μονάδες για το 2021, σ</w:t>
      </w:r>
      <w:r w:rsidRPr="0063518B">
        <w:rPr>
          <w:sz w:val="22"/>
          <w:szCs w:val="22"/>
        </w:rPr>
        <w:t>υ</w:t>
      </w:r>
      <w:r w:rsidRPr="0063518B">
        <w:rPr>
          <w:sz w:val="22"/>
          <w:szCs w:val="22"/>
        </w:rPr>
        <w:t>γκριτικά με την προηγούμενη έκθεση του Ιουνίου του ιδίου έτους. Η βελτίωση των προβλέψεων για το 2020 αντανακλά τα καλύτερα από τα αναμενόμενα αποτελέσματα των οικονομικών δεικτών του δευτέρου τριμήνου, κυρίως στις προηγμένες οικονομίες, ενώ η επιδείνωση για το 2021 αντανακλά κ</w:t>
      </w:r>
      <w:r w:rsidRPr="0063518B">
        <w:rPr>
          <w:sz w:val="22"/>
          <w:szCs w:val="22"/>
        </w:rPr>
        <w:t>υ</w:t>
      </w:r>
      <w:r w:rsidRPr="0063518B">
        <w:rPr>
          <w:sz w:val="22"/>
          <w:szCs w:val="22"/>
        </w:rPr>
        <w:t xml:space="preserve">ρίως τις εκτιμήσεις, μετά την έξαρση της πανδημίας, για τη συνέχιση επιβολής μέτρων περιορισμού </w:t>
      </w:r>
      <w:r w:rsidR="00A5025F">
        <w:rPr>
          <w:sz w:val="22"/>
          <w:szCs w:val="22"/>
        </w:rPr>
        <w:t>αυ</w:t>
      </w:r>
      <w:r w:rsidRPr="0063518B">
        <w:rPr>
          <w:sz w:val="22"/>
          <w:szCs w:val="22"/>
        </w:rPr>
        <w:t>τ</w:t>
      </w:r>
      <w:r w:rsidR="00A5025F">
        <w:rPr>
          <w:sz w:val="22"/>
          <w:szCs w:val="22"/>
        </w:rPr>
        <w:t>ή</w:t>
      </w:r>
      <w:r w:rsidRPr="0063518B">
        <w:rPr>
          <w:sz w:val="22"/>
          <w:szCs w:val="22"/>
        </w:rPr>
        <w:t>ς.</w:t>
      </w:r>
    </w:p>
    <w:p w:rsidR="006B6335" w:rsidRPr="0063518B" w:rsidRDefault="006B6335" w:rsidP="006B6335">
      <w:pPr>
        <w:jc w:val="both"/>
        <w:rPr>
          <w:sz w:val="22"/>
          <w:szCs w:val="22"/>
        </w:rPr>
      </w:pPr>
    </w:p>
    <w:p w:rsidR="006B6335" w:rsidRPr="0063518B" w:rsidRDefault="006B6335" w:rsidP="006B6335">
      <w:pPr>
        <w:jc w:val="both"/>
        <w:rPr>
          <w:sz w:val="22"/>
          <w:szCs w:val="22"/>
        </w:rPr>
      </w:pPr>
      <w:r w:rsidRPr="0063518B">
        <w:rPr>
          <w:sz w:val="22"/>
          <w:szCs w:val="22"/>
        </w:rPr>
        <w:t>Ωστόσο, όπως ήδη έχει αναφερθεί, οι προοπτικές περιβάλλονται από μεγάλη αβεβαιότητα, καθώς οι συνέπειες του δεύτερου κύματος της πανδημίας θα υπολογισθούν</w:t>
      </w:r>
      <w:r w:rsidR="00DB05CA">
        <w:rPr>
          <w:sz w:val="22"/>
          <w:szCs w:val="22"/>
        </w:rPr>
        <w:t xml:space="preserve"> και </w:t>
      </w:r>
      <w:r w:rsidR="00C71141">
        <w:rPr>
          <w:sz w:val="22"/>
          <w:szCs w:val="22"/>
        </w:rPr>
        <w:t>αποτυπωθούν</w:t>
      </w:r>
      <w:r w:rsidRPr="0063518B">
        <w:rPr>
          <w:sz w:val="22"/>
          <w:szCs w:val="22"/>
        </w:rPr>
        <w:t xml:space="preserve"> στις επόμενες ε</w:t>
      </w:r>
      <w:r w:rsidRPr="0063518B">
        <w:rPr>
          <w:sz w:val="22"/>
          <w:szCs w:val="22"/>
        </w:rPr>
        <w:t>κ</w:t>
      </w:r>
      <w:r w:rsidRPr="0063518B">
        <w:rPr>
          <w:sz w:val="22"/>
          <w:szCs w:val="22"/>
        </w:rPr>
        <w:t>θέσεις των οικονομικών προβλέψεων. Οι περισσότερες χώρες προχώρησαν σε τοπικά ή ολικά lockdown για την αντιμετώπιση του δεύτερου κύματος εντός του Νοεμβρίου, γεγονός που θα προκ</w:t>
      </w:r>
      <w:r w:rsidRPr="0063518B">
        <w:rPr>
          <w:sz w:val="22"/>
          <w:szCs w:val="22"/>
        </w:rPr>
        <w:t>α</w:t>
      </w:r>
      <w:r w:rsidRPr="0063518B">
        <w:rPr>
          <w:sz w:val="22"/>
          <w:szCs w:val="22"/>
        </w:rPr>
        <w:t>λέσει την επιδείνωση του τέταρτου τριμήνου του έτους. Συνεπώς</w:t>
      </w:r>
      <w:r w:rsidR="001B0811" w:rsidRPr="0063518B">
        <w:rPr>
          <w:sz w:val="22"/>
          <w:szCs w:val="22"/>
        </w:rPr>
        <w:t>,</w:t>
      </w:r>
      <w:r w:rsidRPr="0063518B">
        <w:rPr>
          <w:sz w:val="22"/>
          <w:szCs w:val="22"/>
        </w:rPr>
        <w:t xml:space="preserve"> η μεγαλύτερη της αρχικώς εκτιμ</w:t>
      </w:r>
      <w:r w:rsidRPr="0063518B">
        <w:rPr>
          <w:sz w:val="22"/>
          <w:szCs w:val="22"/>
        </w:rPr>
        <w:t>ώ</w:t>
      </w:r>
      <w:r w:rsidRPr="0063518B">
        <w:rPr>
          <w:sz w:val="22"/>
          <w:szCs w:val="22"/>
        </w:rPr>
        <w:t xml:space="preserve">μενης ένταση της πανδημίας στην Ευρώπη το φθινόπωρο του 2020 και η περαιτέρω όξυνσή της εντός </w:t>
      </w:r>
      <w:r w:rsidRPr="0063518B">
        <w:rPr>
          <w:sz w:val="22"/>
          <w:szCs w:val="22"/>
        </w:rPr>
        <w:lastRenderedPageBreak/>
        <w:t>του τέταρτου τριμήνου δημιουργεί μία αρνητική συγκυρία (επίδραση μεταφοράς) για τις οικονομικές προοπτικές στην αρχή του 2021. Αντίστοιχα</w:t>
      </w:r>
      <w:r w:rsidR="009D77A7" w:rsidRPr="0063518B">
        <w:rPr>
          <w:sz w:val="22"/>
          <w:szCs w:val="22"/>
        </w:rPr>
        <w:t>,</w:t>
      </w:r>
      <w:r w:rsidRPr="0063518B">
        <w:rPr>
          <w:sz w:val="22"/>
          <w:szCs w:val="22"/>
        </w:rPr>
        <w:t xml:space="preserve"> η εκδήλωση εύρωστων ρυθμών ανάκαμψης αναμένεται να καθυστερήσει να αποτυπωθεί στους ετήσιους ρυθμούς ανάπτυξης των χωρών το 2021. Ήδη πριν τη συμπερίληψη των χειμερινών μέτρων καθολικού </w:t>
      </w:r>
      <w:r w:rsidRPr="0063518B">
        <w:rPr>
          <w:sz w:val="22"/>
          <w:szCs w:val="22"/>
          <w:lang w:val="en-US"/>
        </w:rPr>
        <w:t>lockdown</w:t>
      </w:r>
      <w:r w:rsidRPr="0063518B">
        <w:rPr>
          <w:sz w:val="22"/>
          <w:szCs w:val="22"/>
        </w:rPr>
        <w:t xml:space="preserve"> σε ορισμένες ευρωπαϊκές οικονομίες, οι προβλέψεις της Ευρωπαϊκής Επιτροπής (Νοέμβριος 2020) σκιαγραφούν μία εικόνα μερικής ανάκα</w:t>
      </w:r>
      <w:r w:rsidRPr="0063518B">
        <w:rPr>
          <w:sz w:val="22"/>
          <w:szCs w:val="22"/>
        </w:rPr>
        <w:t>μ</w:t>
      </w:r>
      <w:r w:rsidRPr="0063518B">
        <w:rPr>
          <w:sz w:val="22"/>
          <w:szCs w:val="22"/>
        </w:rPr>
        <w:t>ψης για την Ευρωζώνη το 2021, με ανάκτηση μέρους των απωλειών του 2020 σε όρους πραγματικού εγχώριου προϊόντος.</w:t>
      </w:r>
    </w:p>
    <w:p w:rsidR="006B6335" w:rsidRPr="0063518B" w:rsidRDefault="006B6335" w:rsidP="006B6335">
      <w:pPr>
        <w:jc w:val="both"/>
        <w:rPr>
          <w:sz w:val="22"/>
          <w:szCs w:val="22"/>
        </w:rPr>
      </w:pPr>
    </w:p>
    <w:p w:rsidR="006B6335" w:rsidRPr="0063518B" w:rsidRDefault="00F5272C" w:rsidP="006B6335">
      <w:pPr>
        <w:jc w:val="both"/>
        <w:rPr>
          <w:sz w:val="22"/>
          <w:szCs w:val="22"/>
        </w:rPr>
      </w:pPr>
      <w:r>
        <w:rPr>
          <w:sz w:val="22"/>
          <w:szCs w:val="22"/>
        </w:rPr>
        <w:t>Σ</w:t>
      </w:r>
      <w:r w:rsidR="006B6335" w:rsidRPr="0063518B">
        <w:rPr>
          <w:sz w:val="22"/>
          <w:szCs w:val="22"/>
        </w:rPr>
        <w:t xml:space="preserve">ύμφωνα με την </w:t>
      </w:r>
      <w:r>
        <w:rPr>
          <w:sz w:val="22"/>
          <w:szCs w:val="22"/>
        </w:rPr>
        <w:t xml:space="preserve">τελευταία </w:t>
      </w:r>
      <w:r w:rsidR="006B6335" w:rsidRPr="0063518B">
        <w:rPr>
          <w:sz w:val="22"/>
          <w:szCs w:val="22"/>
        </w:rPr>
        <w:t xml:space="preserve">έκθεση του ΔΝΤ, </w:t>
      </w:r>
      <w:r>
        <w:rPr>
          <w:sz w:val="22"/>
          <w:szCs w:val="22"/>
        </w:rPr>
        <w:t xml:space="preserve">στις </w:t>
      </w:r>
      <w:r w:rsidR="00746908">
        <w:rPr>
          <w:sz w:val="22"/>
          <w:szCs w:val="22"/>
        </w:rPr>
        <w:t>ανα</w:t>
      </w:r>
      <w:r>
        <w:rPr>
          <w:sz w:val="22"/>
          <w:szCs w:val="22"/>
        </w:rPr>
        <w:t xml:space="preserve">πτυγμένες χώρες </w:t>
      </w:r>
      <w:r w:rsidR="006B6335" w:rsidRPr="0063518B">
        <w:rPr>
          <w:sz w:val="22"/>
          <w:szCs w:val="22"/>
        </w:rPr>
        <w:t>το ΑΕΠ εκτιμάται ότι θα υπ</w:t>
      </w:r>
      <w:r w:rsidR="006B6335" w:rsidRPr="0063518B">
        <w:rPr>
          <w:sz w:val="22"/>
          <w:szCs w:val="22"/>
        </w:rPr>
        <w:t>ο</w:t>
      </w:r>
      <w:r w:rsidR="006B6335" w:rsidRPr="0063518B">
        <w:rPr>
          <w:sz w:val="22"/>
          <w:szCs w:val="22"/>
        </w:rPr>
        <w:t xml:space="preserve">χωρήσει κατά 5,8% για το 2020, ενώ το 2021 αναμένεται να διαμορφωθεί σε 3,9% έναντι </w:t>
      </w:r>
      <w:r w:rsidR="001B0811" w:rsidRPr="0063518B">
        <w:rPr>
          <w:sz w:val="22"/>
          <w:szCs w:val="22"/>
        </w:rPr>
        <w:t xml:space="preserve">εκτιμήσεων για </w:t>
      </w:r>
      <w:r w:rsidR="006B6335" w:rsidRPr="0063518B">
        <w:rPr>
          <w:sz w:val="22"/>
          <w:szCs w:val="22"/>
        </w:rPr>
        <w:t xml:space="preserve">ύφεση 8,0% και ανάκαμψη 4,8% αντίστοιχα, </w:t>
      </w:r>
      <w:r w:rsidR="001B0811" w:rsidRPr="0063518B">
        <w:rPr>
          <w:sz w:val="22"/>
          <w:szCs w:val="22"/>
        </w:rPr>
        <w:t>με βάση</w:t>
      </w:r>
      <w:r w:rsidR="006B6335" w:rsidRPr="0063518B">
        <w:rPr>
          <w:sz w:val="22"/>
          <w:szCs w:val="22"/>
        </w:rPr>
        <w:t xml:space="preserve"> τα στοιχεία της προηγούμενης έκθεσης του ΔΝΤ (Ιούνιος 2020). Ειδικότερα για τις ΗΠΑ το ΔΝΤ, σύμφωνα με την έκθεση του Οκτωβρίου 2020, προβλέπει ύφεση 4,3% και ανάπτυξη 3,1% για το 2020 και 2021 αντίστοιχα, δηλαδή </w:t>
      </w:r>
      <w:r w:rsidR="001B0811" w:rsidRPr="0063518B">
        <w:rPr>
          <w:sz w:val="22"/>
          <w:szCs w:val="22"/>
        </w:rPr>
        <w:t xml:space="preserve">μικρότερη </w:t>
      </w:r>
      <w:r w:rsidR="006B6335" w:rsidRPr="0063518B">
        <w:rPr>
          <w:sz w:val="22"/>
          <w:szCs w:val="22"/>
        </w:rPr>
        <w:t>ύφεση κατά 3,7% για το 2020 και μικρότερη ανάπτυξη κατά 1,4% για το 2021, συγκριτικά με την έκθεση του Ιουνίου του ιδίου έτους.</w:t>
      </w:r>
    </w:p>
    <w:p w:rsidR="006B6335" w:rsidRPr="0063518B" w:rsidRDefault="006B6335" w:rsidP="006B6335">
      <w:pPr>
        <w:jc w:val="both"/>
        <w:rPr>
          <w:sz w:val="22"/>
          <w:szCs w:val="22"/>
        </w:rPr>
      </w:pPr>
    </w:p>
    <w:p w:rsidR="006B6335" w:rsidRPr="0063518B" w:rsidRDefault="006B6335" w:rsidP="006B6335">
      <w:pPr>
        <w:jc w:val="both"/>
        <w:rPr>
          <w:sz w:val="22"/>
          <w:szCs w:val="22"/>
        </w:rPr>
      </w:pPr>
      <w:r w:rsidRPr="0063518B">
        <w:rPr>
          <w:sz w:val="22"/>
          <w:szCs w:val="22"/>
        </w:rPr>
        <w:t xml:space="preserve">Στις αναδυόμενες και αναπτυσσόμενες οικονομίες, σύμφωνα με τα στοιχεία της </w:t>
      </w:r>
      <w:r w:rsidR="00746908">
        <w:rPr>
          <w:sz w:val="22"/>
          <w:szCs w:val="22"/>
        </w:rPr>
        <w:t xml:space="preserve">ίδιας </w:t>
      </w:r>
      <w:r w:rsidRPr="0063518B">
        <w:rPr>
          <w:sz w:val="22"/>
          <w:szCs w:val="22"/>
        </w:rPr>
        <w:t xml:space="preserve">έκθεσης του ΔΝΤ, προβλέπεται ρυθμός ύφεσης 3,3% για το 2020 και ρυθμός ανάκαμψης 6,0% για το 2021. Η </w:t>
      </w:r>
      <w:r w:rsidRPr="0063518B">
        <w:rPr>
          <w:sz w:val="22"/>
          <w:szCs w:val="22"/>
        </w:rPr>
        <w:t>ε</w:t>
      </w:r>
      <w:r w:rsidRPr="0063518B">
        <w:rPr>
          <w:sz w:val="22"/>
          <w:szCs w:val="22"/>
        </w:rPr>
        <w:t>κτίμηση αυτή αντανακλά κυρίως μια αναμενόμενη λιγότερο δυναμική ανάκαμψη στις αναπτυγμένες οικονομίες από ό,τι στις αναδυόμενες οικονομίες.</w:t>
      </w:r>
    </w:p>
    <w:p w:rsidR="006B6335" w:rsidRPr="0063518B" w:rsidRDefault="006B6335" w:rsidP="006B6335">
      <w:pPr>
        <w:jc w:val="both"/>
        <w:rPr>
          <w:sz w:val="22"/>
          <w:szCs w:val="22"/>
        </w:rPr>
      </w:pPr>
    </w:p>
    <w:p w:rsidR="006B6335" w:rsidRPr="0063518B" w:rsidRDefault="006B6335" w:rsidP="006B6335">
      <w:pPr>
        <w:jc w:val="both"/>
        <w:rPr>
          <w:sz w:val="22"/>
          <w:szCs w:val="22"/>
        </w:rPr>
      </w:pPr>
      <w:r w:rsidRPr="0063518B">
        <w:rPr>
          <w:sz w:val="22"/>
          <w:szCs w:val="22"/>
        </w:rPr>
        <w:t>Η ανάπτυξη της Κίνας αναμένεται να διαμορφωθεί σε 1,9% το 2020 και 8,2% το 2021, έναντι 6,1% το 2019. Η οικονομική δραστηριότητα της Κίνας, η οποία είναι η πρώτη χώρα που επλήγη από την πα</w:t>
      </w:r>
      <w:r w:rsidRPr="0063518B">
        <w:rPr>
          <w:sz w:val="22"/>
          <w:szCs w:val="22"/>
        </w:rPr>
        <w:t>ν</w:t>
      </w:r>
      <w:r w:rsidRPr="0063518B">
        <w:rPr>
          <w:sz w:val="22"/>
          <w:szCs w:val="22"/>
        </w:rPr>
        <w:t>δημία, επανήλθε στην κανονικότητα πολύ νωρίς (από το πρώτο τρίμηνο του 2020). Η οικονομία της Κίνας είναι η μοναδική οικονομία που προβλέπεται να παραμείνει σε θετικό έδαφος το 2020, καθώς και η δεύτερη, η οποία αναμένεται να επιτύχει το μεγαλύτερο ρυθμό ανάκαμψης μεταξύ των αναδυ</w:t>
      </w:r>
      <w:r w:rsidRPr="0063518B">
        <w:rPr>
          <w:sz w:val="22"/>
          <w:szCs w:val="22"/>
        </w:rPr>
        <w:t>ό</w:t>
      </w:r>
      <w:r w:rsidRPr="0063518B">
        <w:rPr>
          <w:sz w:val="22"/>
          <w:szCs w:val="22"/>
        </w:rPr>
        <w:t>μενων και αναπτυσσόμενων οικονομιών το 2021, μετά την Ινδία για την οποία εκτιμάται ρυθμός μ</w:t>
      </w:r>
      <w:r w:rsidRPr="0063518B">
        <w:rPr>
          <w:sz w:val="22"/>
          <w:szCs w:val="22"/>
        </w:rPr>
        <w:t>ε</w:t>
      </w:r>
      <w:r w:rsidRPr="0063518B">
        <w:rPr>
          <w:sz w:val="22"/>
          <w:szCs w:val="22"/>
        </w:rPr>
        <w:t>γέθυνσης 8,8%.</w:t>
      </w:r>
    </w:p>
    <w:p w:rsidR="006B6335" w:rsidRPr="0063518B" w:rsidRDefault="006B6335" w:rsidP="006B6335">
      <w:pPr>
        <w:jc w:val="both"/>
        <w:rPr>
          <w:sz w:val="22"/>
          <w:szCs w:val="22"/>
        </w:rPr>
      </w:pPr>
    </w:p>
    <w:p w:rsidR="006B6335" w:rsidRPr="0063518B" w:rsidRDefault="006B6335" w:rsidP="006B6335">
      <w:pPr>
        <w:jc w:val="both"/>
        <w:rPr>
          <w:sz w:val="22"/>
          <w:szCs w:val="22"/>
        </w:rPr>
      </w:pPr>
      <w:r w:rsidRPr="0063518B">
        <w:rPr>
          <w:sz w:val="22"/>
          <w:szCs w:val="22"/>
        </w:rPr>
        <w:t>Ο πληθωρισμός στις αναπτυγμένες οικονομίες αναμένεται να διαμορφωθεί σε 0,8% και 1,6% για το 2020 και 2021 αντίστοιχα, έναντι 1,4% το 2019. Για τις αναδυόμενες αγορές και τις αναπτυσσόμενες οικονομίες εκτιμάται σε 5,0% και 4,7% για τα έτη 2020 και 2021 αντίστοιχα, έναντι 5,1% το 2019. Σύμφωνα με την Ευρωπαϊκή Επιτροπή η μέση τιμή του αργού πετρελαίου ανήλθε στα 64,1 δολάρια το βαρέλι το 2019. Για το 2020 προβλέπεται μέση τιμή του αργού πετρελαίου στα 42,6 δολάρια το βαρ</w:t>
      </w:r>
      <w:r w:rsidRPr="0063518B">
        <w:rPr>
          <w:sz w:val="22"/>
          <w:szCs w:val="22"/>
        </w:rPr>
        <w:t>έ</w:t>
      </w:r>
      <w:r w:rsidRPr="0063518B">
        <w:rPr>
          <w:sz w:val="22"/>
          <w:szCs w:val="22"/>
        </w:rPr>
        <w:t>λι και για το 2021 στα 44,6 δολάρια το βαρέλι. Η απότομη πτώση της τιμής πετρελαίου το 2020, π</w:t>
      </w:r>
      <w:r w:rsidRPr="0063518B">
        <w:rPr>
          <w:sz w:val="22"/>
          <w:szCs w:val="22"/>
        </w:rPr>
        <w:t>έ</w:t>
      </w:r>
      <w:r w:rsidRPr="0063518B">
        <w:rPr>
          <w:sz w:val="22"/>
          <w:szCs w:val="22"/>
        </w:rPr>
        <w:t>ραν από τα ιδιαίτερα χαρακτηριστικά της αγοράς πετρελαίου, αποδίδεται κυρίως σε παράγοντες τόσο από την πλευρά της προσφοράς (διακοπή αλυσίδων παραγωγής) όσο και της ζήτησης (απαγόρευση μετακινήσεων).</w:t>
      </w:r>
    </w:p>
    <w:p w:rsidR="006B6335" w:rsidRPr="0063518B" w:rsidRDefault="006B6335" w:rsidP="006B6335">
      <w:pPr>
        <w:jc w:val="both"/>
        <w:rPr>
          <w:sz w:val="22"/>
          <w:szCs w:val="22"/>
        </w:rPr>
      </w:pPr>
    </w:p>
    <w:p w:rsidR="006B6335" w:rsidRPr="0063518B" w:rsidRDefault="006B6335" w:rsidP="006B6335">
      <w:pPr>
        <w:jc w:val="both"/>
        <w:rPr>
          <w:sz w:val="22"/>
          <w:szCs w:val="22"/>
        </w:rPr>
      </w:pPr>
      <w:r w:rsidRPr="0063518B">
        <w:rPr>
          <w:sz w:val="22"/>
          <w:szCs w:val="22"/>
        </w:rPr>
        <w:t>Ο όγκος του παγκόσμιου εμπορίου αναμένεται να μειωθεί κατά 10,4% το 2020 και να ανακάμψει κ</w:t>
      </w:r>
      <w:r w:rsidRPr="0063518B">
        <w:rPr>
          <w:sz w:val="22"/>
          <w:szCs w:val="22"/>
        </w:rPr>
        <w:t>α</w:t>
      </w:r>
      <w:r w:rsidRPr="0063518B">
        <w:rPr>
          <w:sz w:val="22"/>
          <w:szCs w:val="22"/>
        </w:rPr>
        <w:t>τά 8,3% το 2021, ωστόσο με ρυθμό μεγαλύτερο από την παγκόσμια οικονομική δραστηριότητα, σύ</w:t>
      </w:r>
      <w:r w:rsidRPr="0063518B">
        <w:rPr>
          <w:sz w:val="22"/>
          <w:szCs w:val="22"/>
        </w:rPr>
        <w:t>μ</w:t>
      </w:r>
      <w:r w:rsidRPr="0063518B">
        <w:rPr>
          <w:sz w:val="22"/>
          <w:szCs w:val="22"/>
        </w:rPr>
        <w:t>φωνα με τα στοιχεία της έκθεσης Οκτωβρίου 2020 του ΔΝΤ. Οι διαταράξεις στις παγκόσμιες αλυσ</w:t>
      </w:r>
      <w:r w:rsidRPr="0063518B">
        <w:rPr>
          <w:sz w:val="22"/>
          <w:szCs w:val="22"/>
        </w:rPr>
        <w:t>ί</w:t>
      </w:r>
      <w:r w:rsidRPr="0063518B">
        <w:rPr>
          <w:sz w:val="22"/>
          <w:szCs w:val="22"/>
        </w:rPr>
        <w:t>δες παραγωγής και το αυξημένο κόστος των διεθνών εμπορικών συναλλαγών στο πλαίσιο των περι</w:t>
      </w:r>
      <w:r w:rsidRPr="0063518B">
        <w:rPr>
          <w:sz w:val="22"/>
          <w:szCs w:val="22"/>
        </w:rPr>
        <w:t>ο</w:t>
      </w:r>
      <w:r w:rsidRPr="0063518B">
        <w:rPr>
          <w:sz w:val="22"/>
          <w:szCs w:val="22"/>
        </w:rPr>
        <w:t xml:space="preserve">ριστικών μέτρων λόγω της πανδημίας έπληξαν το παγκόσμιο εμπόριο το 2020. Ειδικότερα, για τις προηγμένες οικονομίες προβλέπεται ότι ο ρυθμός μεταβολής των εισαγωγών θα υποχωρήσει κατά 11,5% και θα ανακάμψει κατά 7,3% για το 2020 και 2021 αντίστοιχα, έναντι </w:t>
      </w:r>
      <w:r w:rsidR="001B0811" w:rsidRPr="0063518B">
        <w:rPr>
          <w:sz w:val="22"/>
          <w:szCs w:val="22"/>
        </w:rPr>
        <w:t xml:space="preserve">αύξησης κατά </w:t>
      </w:r>
      <w:r w:rsidRPr="0063518B">
        <w:rPr>
          <w:sz w:val="22"/>
          <w:szCs w:val="22"/>
        </w:rPr>
        <w:t>1,7% το 2019 και για τις αναδυόμενες αγορές και αναπτυσσόμενες οικονομίες εκτιμάται ότι ρυθμός μεταβολής των εισαγωγών θα μειωθεί κατά 9,4% και θα αυξηθεί κατά 11,0% το 2020 και 2021 αντίστοιχα, έν</w:t>
      </w:r>
      <w:r w:rsidRPr="0063518B">
        <w:rPr>
          <w:sz w:val="22"/>
          <w:szCs w:val="22"/>
        </w:rPr>
        <w:t>α</w:t>
      </w:r>
      <w:r w:rsidRPr="0063518B">
        <w:rPr>
          <w:sz w:val="22"/>
          <w:szCs w:val="22"/>
        </w:rPr>
        <w:t xml:space="preserve">ντι οριακής μείωσης </w:t>
      </w:r>
      <w:r w:rsidR="001B0811" w:rsidRPr="0063518B">
        <w:rPr>
          <w:sz w:val="22"/>
          <w:szCs w:val="22"/>
        </w:rPr>
        <w:t xml:space="preserve">κατά </w:t>
      </w:r>
      <w:r w:rsidRPr="0063518B">
        <w:rPr>
          <w:sz w:val="22"/>
          <w:szCs w:val="22"/>
        </w:rPr>
        <w:t>0,6% το 2019. Ο ρυθμός μεταβολής των εξαγωγών στις αναπτυγμένες ο</w:t>
      </w:r>
      <w:r w:rsidRPr="0063518B">
        <w:rPr>
          <w:sz w:val="22"/>
          <w:szCs w:val="22"/>
        </w:rPr>
        <w:t>ι</w:t>
      </w:r>
      <w:r w:rsidRPr="0063518B">
        <w:rPr>
          <w:sz w:val="22"/>
          <w:szCs w:val="22"/>
        </w:rPr>
        <w:t xml:space="preserve">κονομίες αναμένεται να κινηθεί σε πτωτική τροχιά και να διαμορφωθεί σε </w:t>
      </w:r>
      <w:r w:rsidR="001665DC">
        <w:rPr>
          <w:sz w:val="22"/>
          <w:szCs w:val="22"/>
        </w:rPr>
        <w:t>-</w:t>
      </w:r>
      <w:r w:rsidRPr="0063518B">
        <w:rPr>
          <w:sz w:val="22"/>
          <w:szCs w:val="22"/>
        </w:rPr>
        <w:t>11,6% το 2020 και να α</w:t>
      </w:r>
      <w:r w:rsidRPr="0063518B">
        <w:rPr>
          <w:sz w:val="22"/>
          <w:szCs w:val="22"/>
        </w:rPr>
        <w:t>υ</w:t>
      </w:r>
      <w:r w:rsidRPr="0063518B">
        <w:rPr>
          <w:sz w:val="22"/>
          <w:szCs w:val="22"/>
        </w:rPr>
        <w:t xml:space="preserve">ξηθεί κατά 7,0% το 2021, αντίστοιχα, έναντι </w:t>
      </w:r>
      <w:r w:rsidR="001B0811" w:rsidRPr="0063518B">
        <w:rPr>
          <w:sz w:val="22"/>
          <w:szCs w:val="22"/>
        </w:rPr>
        <w:t xml:space="preserve">αύξησης κατά </w:t>
      </w:r>
      <w:r w:rsidRPr="0063518B">
        <w:rPr>
          <w:sz w:val="22"/>
          <w:szCs w:val="22"/>
        </w:rPr>
        <w:t xml:space="preserve">1,3% το 2019. Στις αναδυόμενες αγορές και αναπτυσσόμενες οικονομίες ο ρυθμός μεταβολής των εξαγωγών εκτιμάται ότι θα μειωθεί κατά 7,7% για το 2020 και θα ανακάμψει κατά 9,5% το 2021, </w:t>
      </w:r>
      <w:r w:rsidR="001B0811" w:rsidRPr="0063518B">
        <w:rPr>
          <w:sz w:val="22"/>
          <w:szCs w:val="22"/>
        </w:rPr>
        <w:t>ενώ είχε αυξηθεί κατά</w:t>
      </w:r>
      <w:r w:rsidRPr="0063518B">
        <w:rPr>
          <w:sz w:val="22"/>
          <w:szCs w:val="22"/>
        </w:rPr>
        <w:t xml:space="preserve"> 0,9% το 2019. </w:t>
      </w:r>
    </w:p>
    <w:p w:rsidR="006B6335" w:rsidRDefault="006B6335" w:rsidP="006B6335">
      <w:pPr>
        <w:jc w:val="both"/>
        <w:rPr>
          <w:szCs w:val="22"/>
        </w:rPr>
      </w:pPr>
    </w:p>
    <w:tbl>
      <w:tblPr>
        <w:tblStyle w:val="ac"/>
        <w:tblW w:w="5000" w:type="pct"/>
        <w:tblLook w:val="04A0"/>
      </w:tblPr>
      <w:tblGrid>
        <w:gridCol w:w="5125"/>
        <w:gridCol w:w="1417"/>
        <w:gridCol w:w="1417"/>
        <w:gridCol w:w="1328"/>
      </w:tblGrid>
      <w:tr w:rsidR="006B6335" w:rsidTr="006B6335">
        <w:tc>
          <w:tcPr>
            <w:tcW w:w="5000" w:type="pct"/>
            <w:gridSpan w:val="4"/>
            <w:tcBorders>
              <w:top w:val="single" w:sz="4" w:space="0" w:color="auto"/>
              <w:left w:val="single" w:sz="4" w:space="0" w:color="auto"/>
              <w:bottom w:val="single" w:sz="4" w:space="0" w:color="auto"/>
              <w:right w:val="single" w:sz="4" w:space="0" w:color="auto"/>
            </w:tcBorders>
            <w:shd w:val="clear" w:color="auto" w:fill="595959" w:themeFill="text1" w:themeFillTint="A6"/>
            <w:hideMark/>
          </w:tcPr>
          <w:p w:rsidR="006B6335" w:rsidRDefault="006B6335">
            <w:pPr>
              <w:pStyle w:val="13"/>
              <w:spacing w:before="120"/>
              <w:jc w:val="center"/>
            </w:pPr>
            <w:r>
              <w:rPr>
                <w:rFonts w:ascii="Arial Narrow" w:eastAsia="Arial Narrow" w:hAnsi="Arial Narrow" w:cs="Arial Narrow"/>
                <w:b/>
                <w:color w:val="FFFFFF"/>
              </w:rPr>
              <w:lastRenderedPageBreak/>
              <w:t>Πίνακας 1.1 Βασικά μεγέθη της παγκόσμιας οικονομίας</w:t>
            </w:r>
          </w:p>
          <w:p w:rsidR="006B6335" w:rsidRDefault="006B6335">
            <w:pPr>
              <w:spacing w:after="120"/>
              <w:jc w:val="center"/>
              <w:rPr>
                <w:b/>
                <w:lang w:val="en-US"/>
              </w:rPr>
            </w:pPr>
            <w:r>
              <w:rPr>
                <w:rFonts w:ascii="Arial Narrow" w:eastAsia="Arial Narrow" w:hAnsi="Arial Narrow" w:cs="Arial Narrow"/>
                <w:b/>
                <w:color w:val="FFFFFF"/>
              </w:rPr>
              <w:t>(% ετήσιες μεταβολές, σταθερές τιμές)</w:t>
            </w:r>
          </w:p>
        </w:tc>
      </w:tr>
      <w:tr w:rsidR="006B6335" w:rsidTr="006B6335">
        <w:trPr>
          <w:trHeight w:val="227"/>
        </w:trPr>
        <w:tc>
          <w:tcPr>
            <w:tcW w:w="5000" w:type="pct"/>
            <w:gridSpan w:val="4"/>
            <w:tcBorders>
              <w:top w:val="single" w:sz="4" w:space="0" w:color="auto"/>
              <w:left w:val="single" w:sz="4" w:space="0" w:color="auto"/>
              <w:bottom w:val="single" w:sz="4" w:space="0" w:color="auto"/>
              <w:right w:val="single" w:sz="4" w:space="0" w:color="auto"/>
            </w:tcBorders>
          </w:tcPr>
          <w:p w:rsidR="006B6335" w:rsidRDefault="006B6335">
            <w:pPr>
              <w:pStyle w:val="13"/>
              <w:jc w:val="center"/>
              <w:rPr>
                <w:rFonts w:ascii="Arial Narrow" w:eastAsia="Arial Narrow" w:hAnsi="Arial Narrow" w:cs="Arial Narrow"/>
                <w:b/>
                <w:color w:val="FFFFFF"/>
              </w:rPr>
            </w:pPr>
          </w:p>
        </w:tc>
      </w:tr>
      <w:tr w:rsidR="006B6335" w:rsidTr="006B6335">
        <w:tc>
          <w:tcPr>
            <w:tcW w:w="2759" w:type="pct"/>
            <w:tcBorders>
              <w:top w:val="single" w:sz="4" w:space="0" w:color="auto"/>
              <w:left w:val="single" w:sz="4" w:space="0" w:color="auto"/>
              <w:bottom w:val="single" w:sz="4" w:space="0" w:color="auto"/>
              <w:right w:val="single" w:sz="4" w:space="0" w:color="auto"/>
            </w:tcBorders>
          </w:tcPr>
          <w:p w:rsidR="006B6335" w:rsidRDefault="006B6335">
            <w:pPr>
              <w:spacing w:before="80" w:after="80"/>
              <w:jc w:val="center"/>
              <w:rPr>
                <w:rFonts w:ascii="Arial Narrow" w:hAnsi="Arial Narrow"/>
                <w:b/>
                <w:sz w:val="16"/>
                <w:szCs w:val="16"/>
              </w:rPr>
            </w:pPr>
          </w:p>
        </w:tc>
        <w:tc>
          <w:tcPr>
            <w:tcW w:w="763" w:type="pct"/>
            <w:tcBorders>
              <w:top w:val="single" w:sz="4" w:space="0" w:color="auto"/>
              <w:left w:val="single" w:sz="4" w:space="0" w:color="auto"/>
              <w:bottom w:val="single" w:sz="4" w:space="0" w:color="auto"/>
              <w:right w:val="single" w:sz="4" w:space="0" w:color="auto"/>
            </w:tcBorders>
            <w:hideMark/>
          </w:tcPr>
          <w:p w:rsidR="006B6335" w:rsidRDefault="006B6335">
            <w:pPr>
              <w:spacing w:before="80" w:after="80"/>
              <w:jc w:val="center"/>
              <w:rPr>
                <w:rFonts w:ascii="Arial Narrow" w:hAnsi="Arial Narrow"/>
                <w:b/>
                <w:sz w:val="16"/>
                <w:szCs w:val="16"/>
              </w:rPr>
            </w:pPr>
            <w:r>
              <w:rPr>
                <w:rFonts w:ascii="Arial Narrow" w:hAnsi="Arial Narrow"/>
                <w:b/>
                <w:sz w:val="16"/>
                <w:szCs w:val="16"/>
              </w:rPr>
              <w:t>2019</w:t>
            </w:r>
          </w:p>
        </w:tc>
        <w:tc>
          <w:tcPr>
            <w:tcW w:w="763" w:type="pct"/>
            <w:tcBorders>
              <w:top w:val="single" w:sz="4" w:space="0" w:color="auto"/>
              <w:left w:val="single" w:sz="4" w:space="0" w:color="auto"/>
              <w:bottom w:val="single" w:sz="4" w:space="0" w:color="auto"/>
              <w:right w:val="single" w:sz="4" w:space="0" w:color="auto"/>
            </w:tcBorders>
            <w:hideMark/>
          </w:tcPr>
          <w:p w:rsidR="006B6335" w:rsidRDefault="006B6335">
            <w:pPr>
              <w:spacing w:before="80" w:after="80"/>
              <w:jc w:val="center"/>
              <w:rPr>
                <w:rFonts w:ascii="Arial Narrow" w:hAnsi="Arial Narrow"/>
                <w:b/>
                <w:sz w:val="16"/>
                <w:szCs w:val="16"/>
              </w:rPr>
            </w:pPr>
            <w:r>
              <w:rPr>
                <w:rFonts w:ascii="Arial Narrow" w:hAnsi="Arial Narrow"/>
                <w:b/>
                <w:sz w:val="16"/>
                <w:szCs w:val="16"/>
              </w:rPr>
              <w:t>2020*</w:t>
            </w:r>
          </w:p>
        </w:tc>
        <w:tc>
          <w:tcPr>
            <w:tcW w:w="714" w:type="pct"/>
            <w:tcBorders>
              <w:top w:val="single" w:sz="4" w:space="0" w:color="auto"/>
              <w:left w:val="single" w:sz="4" w:space="0" w:color="auto"/>
              <w:bottom w:val="single" w:sz="4" w:space="0" w:color="auto"/>
              <w:right w:val="single" w:sz="4" w:space="0" w:color="auto"/>
            </w:tcBorders>
            <w:hideMark/>
          </w:tcPr>
          <w:p w:rsidR="006B6335" w:rsidRDefault="006B6335">
            <w:pPr>
              <w:spacing w:before="80" w:after="80"/>
              <w:jc w:val="center"/>
              <w:rPr>
                <w:rFonts w:ascii="Arial Narrow" w:hAnsi="Arial Narrow"/>
                <w:b/>
                <w:sz w:val="16"/>
                <w:szCs w:val="16"/>
              </w:rPr>
            </w:pPr>
            <w:r>
              <w:rPr>
                <w:rFonts w:ascii="Arial Narrow" w:hAnsi="Arial Narrow"/>
                <w:b/>
                <w:sz w:val="16"/>
                <w:szCs w:val="16"/>
              </w:rPr>
              <w:t>2021*</w:t>
            </w:r>
          </w:p>
        </w:tc>
      </w:tr>
      <w:tr w:rsidR="006B6335" w:rsidTr="006B6335">
        <w:tc>
          <w:tcPr>
            <w:tcW w:w="2759" w:type="pct"/>
            <w:tcBorders>
              <w:top w:val="single" w:sz="4" w:space="0" w:color="auto"/>
              <w:left w:val="single" w:sz="4" w:space="0" w:color="auto"/>
              <w:bottom w:val="nil"/>
              <w:right w:val="nil"/>
            </w:tcBorders>
            <w:shd w:val="clear" w:color="auto" w:fill="D9D9D9" w:themeFill="background1" w:themeFillShade="D9"/>
            <w:hideMark/>
          </w:tcPr>
          <w:p w:rsidR="006B6335" w:rsidRDefault="006B6335">
            <w:pPr>
              <w:jc w:val="both"/>
              <w:rPr>
                <w:rFonts w:ascii="Arial Narrow" w:hAnsi="Arial Narrow"/>
                <w:sz w:val="16"/>
                <w:szCs w:val="16"/>
              </w:rPr>
            </w:pPr>
            <w:r>
              <w:rPr>
                <w:rFonts w:ascii="Arial Narrow" w:hAnsi="Arial Narrow"/>
                <w:sz w:val="16"/>
                <w:szCs w:val="16"/>
              </w:rPr>
              <w:t>Παγκόσμιο ΑΕΠ</w:t>
            </w:r>
          </w:p>
        </w:tc>
        <w:tc>
          <w:tcPr>
            <w:tcW w:w="763" w:type="pct"/>
            <w:tcBorders>
              <w:top w:val="single" w:sz="4" w:space="0" w:color="auto"/>
              <w:left w:val="nil"/>
              <w:bottom w:val="nil"/>
              <w:right w:val="nil"/>
            </w:tcBorders>
            <w:shd w:val="clear" w:color="auto" w:fill="D9D9D9" w:themeFill="background1" w:themeFillShade="D9"/>
            <w:hideMark/>
          </w:tcPr>
          <w:p w:rsidR="006B6335" w:rsidRDefault="006B6335">
            <w:pPr>
              <w:tabs>
                <w:tab w:val="decimal" w:pos="573"/>
              </w:tabs>
              <w:jc w:val="both"/>
              <w:rPr>
                <w:rFonts w:ascii="Arial Narrow" w:hAnsi="Arial Narrow"/>
                <w:sz w:val="16"/>
                <w:szCs w:val="16"/>
              </w:rPr>
            </w:pPr>
            <w:r>
              <w:rPr>
                <w:rFonts w:ascii="Arial Narrow" w:hAnsi="Arial Narrow"/>
                <w:sz w:val="16"/>
                <w:szCs w:val="16"/>
              </w:rPr>
              <w:t>2,8</w:t>
            </w:r>
          </w:p>
        </w:tc>
        <w:tc>
          <w:tcPr>
            <w:tcW w:w="763" w:type="pct"/>
            <w:tcBorders>
              <w:top w:val="single" w:sz="4" w:space="0" w:color="auto"/>
              <w:left w:val="nil"/>
              <w:bottom w:val="nil"/>
              <w:right w:val="nil"/>
            </w:tcBorders>
            <w:shd w:val="clear" w:color="auto" w:fill="D9D9D9" w:themeFill="background1" w:themeFillShade="D9"/>
            <w:hideMark/>
          </w:tcPr>
          <w:p w:rsidR="006B6335" w:rsidRDefault="006B6335">
            <w:pPr>
              <w:tabs>
                <w:tab w:val="decimal" w:pos="559"/>
              </w:tabs>
              <w:jc w:val="both"/>
              <w:rPr>
                <w:rFonts w:ascii="Arial Narrow" w:hAnsi="Arial Narrow"/>
                <w:sz w:val="16"/>
                <w:szCs w:val="16"/>
              </w:rPr>
            </w:pPr>
            <w:r>
              <w:rPr>
                <w:rFonts w:ascii="Arial Narrow" w:hAnsi="Arial Narrow"/>
                <w:sz w:val="16"/>
                <w:szCs w:val="16"/>
              </w:rPr>
              <w:t>-4,4</w:t>
            </w:r>
          </w:p>
        </w:tc>
        <w:tc>
          <w:tcPr>
            <w:tcW w:w="714" w:type="pct"/>
            <w:tcBorders>
              <w:top w:val="single" w:sz="4" w:space="0" w:color="auto"/>
              <w:left w:val="nil"/>
              <w:bottom w:val="nil"/>
              <w:right w:val="single" w:sz="4" w:space="0" w:color="auto"/>
            </w:tcBorders>
            <w:shd w:val="clear" w:color="auto" w:fill="D9D9D9" w:themeFill="background1" w:themeFillShade="D9"/>
            <w:hideMark/>
          </w:tcPr>
          <w:p w:rsidR="006B6335" w:rsidRDefault="006B6335">
            <w:pPr>
              <w:tabs>
                <w:tab w:val="decimal" w:pos="505"/>
              </w:tabs>
              <w:jc w:val="both"/>
              <w:rPr>
                <w:rFonts w:ascii="Arial Narrow" w:hAnsi="Arial Narrow"/>
                <w:sz w:val="16"/>
                <w:szCs w:val="16"/>
              </w:rPr>
            </w:pPr>
            <w:r>
              <w:rPr>
                <w:rFonts w:ascii="Arial Narrow" w:hAnsi="Arial Narrow"/>
                <w:sz w:val="16"/>
                <w:szCs w:val="16"/>
              </w:rPr>
              <w:t>5,2</w:t>
            </w:r>
          </w:p>
        </w:tc>
      </w:tr>
      <w:tr w:rsidR="006B6335" w:rsidTr="006B6335">
        <w:tc>
          <w:tcPr>
            <w:tcW w:w="2759" w:type="pct"/>
            <w:tcBorders>
              <w:top w:val="nil"/>
              <w:left w:val="single" w:sz="4" w:space="0" w:color="auto"/>
              <w:bottom w:val="nil"/>
              <w:right w:val="nil"/>
            </w:tcBorders>
            <w:hideMark/>
          </w:tcPr>
          <w:p w:rsidR="006B6335" w:rsidRDefault="006B6335">
            <w:pPr>
              <w:jc w:val="both"/>
              <w:rPr>
                <w:rFonts w:ascii="Arial Narrow" w:hAnsi="Arial Narrow"/>
                <w:sz w:val="16"/>
                <w:szCs w:val="16"/>
              </w:rPr>
            </w:pPr>
            <w:r>
              <w:rPr>
                <w:rFonts w:ascii="Arial Narrow" w:hAnsi="Arial Narrow"/>
                <w:sz w:val="16"/>
                <w:szCs w:val="16"/>
              </w:rPr>
              <w:t>ΑΕΠ ΕΕ**</w:t>
            </w:r>
          </w:p>
        </w:tc>
        <w:tc>
          <w:tcPr>
            <w:tcW w:w="763" w:type="pct"/>
            <w:tcBorders>
              <w:top w:val="nil"/>
              <w:left w:val="nil"/>
              <w:bottom w:val="nil"/>
              <w:right w:val="nil"/>
            </w:tcBorders>
            <w:hideMark/>
          </w:tcPr>
          <w:p w:rsidR="006B6335" w:rsidRDefault="006B6335">
            <w:pPr>
              <w:tabs>
                <w:tab w:val="decimal" w:pos="573"/>
              </w:tabs>
              <w:jc w:val="both"/>
              <w:rPr>
                <w:rFonts w:ascii="Arial Narrow" w:hAnsi="Arial Narrow"/>
                <w:sz w:val="16"/>
                <w:szCs w:val="16"/>
              </w:rPr>
            </w:pPr>
            <w:r>
              <w:rPr>
                <w:rFonts w:ascii="Arial Narrow" w:hAnsi="Arial Narrow"/>
                <w:sz w:val="16"/>
                <w:szCs w:val="16"/>
              </w:rPr>
              <w:t>1,5</w:t>
            </w:r>
          </w:p>
        </w:tc>
        <w:tc>
          <w:tcPr>
            <w:tcW w:w="763" w:type="pct"/>
            <w:tcBorders>
              <w:top w:val="nil"/>
              <w:left w:val="nil"/>
              <w:bottom w:val="nil"/>
              <w:right w:val="nil"/>
            </w:tcBorders>
            <w:hideMark/>
          </w:tcPr>
          <w:p w:rsidR="006B6335" w:rsidRDefault="006B6335">
            <w:pPr>
              <w:tabs>
                <w:tab w:val="decimal" w:pos="559"/>
              </w:tabs>
              <w:jc w:val="both"/>
              <w:rPr>
                <w:rFonts w:ascii="Arial Narrow" w:hAnsi="Arial Narrow"/>
                <w:sz w:val="16"/>
                <w:szCs w:val="16"/>
              </w:rPr>
            </w:pPr>
            <w:r>
              <w:rPr>
                <w:rFonts w:ascii="Arial Narrow" w:hAnsi="Arial Narrow"/>
                <w:sz w:val="16"/>
                <w:szCs w:val="16"/>
              </w:rPr>
              <w:t>-7,4</w:t>
            </w:r>
          </w:p>
        </w:tc>
        <w:tc>
          <w:tcPr>
            <w:tcW w:w="714" w:type="pct"/>
            <w:tcBorders>
              <w:top w:val="nil"/>
              <w:left w:val="nil"/>
              <w:bottom w:val="nil"/>
              <w:right w:val="single" w:sz="4" w:space="0" w:color="auto"/>
            </w:tcBorders>
            <w:hideMark/>
          </w:tcPr>
          <w:p w:rsidR="006B6335" w:rsidRDefault="006B6335">
            <w:pPr>
              <w:tabs>
                <w:tab w:val="decimal" w:pos="505"/>
              </w:tabs>
              <w:jc w:val="both"/>
              <w:rPr>
                <w:rFonts w:ascii="Arial Narrow" w:hAnsi="Arial Narrow"/>
                <w:sz w:val="16"/>
                <w:szCs w:val="16"/>
              </w:rPr>
            </w:pPr>
            <w:r>
              <w:rPr>
                <w:rFonts w:ascii="Arial Narrow" w:hAnsi="Arial Narrow"/>
                <w:sz w:val="16"/>
                <w:szCs w:val="16"/>
              </w:rPr>
              <w:t>4,1</w:t>
            </w:r>
          </w:p>
        </w:tc>
      </w:tr>
      <w:tr w:rsidR="006B6335" w:rsidTr="006B6335">
        <w:tc>
          <w:tcPr>
            <w:tcW w:w="2759" w:type="pct"/>
            <w:tcBorders>
              <w:top w:val="nil"/>
              <w:left w:val="single" w:sz="4" w:space="0" w:color="auto"/>
              <w:bottom w:val="nil"/>
              <w:right w:val="nil"/>
            </w:tcBorders>
            <w:shd w:val="clear" w:color="auto" w:fill="D9D9D9" w:themeFill="background1" w:themeFillShade="D9"/>
            <w:hideMark/>
          </w:tcPr>
          <w:p w:rsidR="006B6335" w:rsidRDefault="006B6335">
            <w:pPr>
              <w:jc w:val="both"/>
              <w:rPr>
                <w:rFonts w:ascii="Arial Narrow" w:hAnsi="Arial Narrow"/>
                <w:sz w:val="16"/>
                <w:szCs w:val="16"/>
                <w:lang w:val="en-US"/>
              </w:rPr>
            </w:pPr>
            <w:r>
              <w:rPr>
                <w:rFonts w:ascii="Arial Narrow" w:hAnsi="Arial Narrow"/>
                <w:sz w:val="16"/>
                <w:szCs w:val="16"/>
              </w:rPr>
              <w:t>ΑΕΠ Ευρωζώνης</w:t>
            </w:r>
            <w:r>
              <w:rPr>
                <w:rFonts w:ascii="Arial Narrow" w:hAnsi="Arial Narrow"/>
                <w:sz w:val="16"/>
                <w:szCs w:val="16"/>
                <w:lang w:val="en-US"/>
              </w:rPr>
              <w:t>**</w:t>
            </w:r>
          </w:p>
        </w:tc>
        <w:tc>
          <w:tcPr>
            <w:tcW w:w="763" w:type="pct"/>
            <w:tcBorders>
              <w:top w:val="nil"/>
              <w:left w:val="nil"/>
              <w:bottom w:val="nil"/>
              <w:right w:val="nil"/>
            </w:tcBorders>
            <w:shd w:val="clear" w:color="auto" w:fill="D9D9D9" w:themeFill="background1" w:themeFillShade="D9"/>
            <w:hideMark/>
          </w:tcPr>
          <w:p w:rsidR="006B6335" w:rsidRDefault="006B6335">
            <w:pPr>
              <w:tabs>
                <w:tab w:val="decimal" w:pos="573"/>
              </w:tabs>
              <w:jc w:val="both"/>
              <w:rPr>
                <w:rFonts w:ascii="Arial Narrow" w:hAnsi="Arial Narrow"/>
                <w:sz w:val="16"/>
                <w:szCs w:val="16"/>
              </w:rPr>
            </w:pPr>
            <w:r>
              <w:rPr>
                <w:rFonts w:ascii="Arial Narrow" w:hAnsi="Arial Narrow"/>
                <w:sz w:val="16"/>
                <w:szCs w:val="16"/>
              </w:rPr>
              <w:t>1,3</w:t>
            </w:r>
          </w:p>
        </w:tc>
        <w:tc>
          <w:tcPr>
            <w:tcW w:w="763" w:type="pct"/>
            <w:tcBorders>
              <w:top w:val="nil"/>
              <w:left w:val="nil"/>
              <w:bottom w:val="nil"/>
              <w:right w:val="nil"/>
            </w:tcBorders>
            <w:shd w:val="clear" w:color="auto" w:fill="D9D9D9" w:themeFill="background1" w:themeFillShade="D9"/>
            <w:hideMark/>
          </w:tcPr>
          <w:p w:rsidR="006B6335" w:rsidRDefault="006B6335">
            <w:pPr>
              <w:tabs>
                <w:tab w:val="decimal" w:pos="559"/>
              </w:tabs>
              <w:jc w:val="both"/>
              <w:rPr>
                <w:rFonts w:ascii="Arial Narrow" w:hAnsi="Arial Narrow"/>
                <w:sz w:val="16"/>
                <w:szCs w:val="16"/>
              </w:rPr>
            </w:pPr>
            <w:r>
              <w:rPr>
                <w:rFonts w:ascii="Arial Narrow" w:hAnsi="Arial Narrow"/>
                <w:sz w:val="16"/>
                <w:szCs w:val="16"/>
              </w:rPr>
              <w:t>-7,8</w:t>
            </w:r>
          </w:p>
        </w:tc>
        <w:tc>
          <w:tcPr>
            <w:tcW w:w="714" w:type="pct"/>
            <w:tcBorders>
              <w:top w:val="nil"/>
              <w:left w:val="nil"/>
              <w:bottom w:val="nil"/>
              <w:right w:val="single" w:sz="4" w:space="0" w:color="auto"/>
            </w:tcBorders>
            <w:shd w:val="clear" w:color="auto" w:fill="D9D9D9" w:themeFill="background1" w:themeFillShade="D9"/>
            <w:hideMark/>
          </w:tcPr>
          <w:p w:rsidR="006B6335" w:rsidRDefault="006B6335">
            <w:pPr>
              <w:tabs>
                <w:tab w:val="decimal" w:pos="505"/>
              </w:tabs>
              <w:jc w:val="both"/>
              <w:rPr>
                <w:rFonts w:ascii="Arial Narrow" w:hAnsi="Arial Narrow"/>
                <w:sz w:val="16"/>
                <w:szCs w:val="16"/>
                <w:lang w:val="en-US"/>
              </w:rPr>
            </w:pPr>
            <w:r>
              <w:rPr>
                <w:rFonts w:ascii="Arial Narrow" w:hAnsi="Arial Narrow"/>
                <w:sz w:val="16"/>
                <w:szCs w:val="16"/>
              </w:rPr>
              <w:t>4,2</w:t>
            </w:r>
          </w:p>
        </w:tc>
      </w:tr>
      <w:tr w:rsidR="006B6335" w:rsidTr="006B6335">
        <w:tc>
          <w:tcPr>
            <w:tcW w:w="2759" w:type="pct"/>
            <w:tcBorders>
              <w:top w:val="nil"/>
              <w:left w:val="single" w:sz="4" w:space="0" w:color="auto"/>
              <w:bottom w:val="nil"/>
              <w:right w:val="nil"/>
            </w:tcBorders>
            <w:hideMark/>
          </w:tcPr>
          <w:p w:rsidR="006B6335" w:rsidRDefault="006B6335">
            <w:pPr>
              <w:jc w:val="both"/>
              <w:rPr>
                <w:rFonts w:ascii="Arial Narrow" w:hAnsi="Arial Narrow"/>
                <w:sz w:val="16"/>
                <w:szCs w:val="16"/>
              </w:rPr>
            </w:pPr>
            <w:r>
              <w:rPr>
                <w:rFonts w:ascii="Arial Narrow" w:hAnsi="Arial Narrow"/>
                <w:sz w:val="16"/>
                <w:szCs w:val="16"/>
              </w:rPr>
              <w:t>ΑΕΠ ΗΠΑ</w:t>
            </w:r>
          </w:p>
        </w:tc>
        <w:tc>
          <w:tcPr>
            <w:tcW w:w="763" w:type="pct"/>
            <w:tcBorders>
              <w:top w:val="nil"/>
              <w:left w:val="nil"/>
              <w:bottom w:val="nil"/>
              <w:right w:val="nil"/>
            </w:tcBorders>
            <w:hideMark/>
          </w:tcPr>
          <w:p w:rsidR="006B6335" w:rsidRDefault="006B6335">
            <w:pPr>
              <w:tabs>
                <w:tab w:val="decimal" w:pos="573"/>
              </w:tabs>
              <w:jc w:val="both"/>
              <w:rPr>
                <w:rFonts w:ascii="Arial Narrow" w:hAnsi="Arial Narrow"/>
                <w:sz w:val="16"/>
                <w:szCs w:val="16"/>
              </w:rPr>
            </w:pPr>
            <w:r>
              <w:rPr>
                <w:rFonts w:ascii="Arial Narrow" w:hAnsi="Arial Narrow"/>
                <w:sz w:val="16"/>
                <w:szCs w:val="16"/>
              </w:rPr>
              <w:t>2,2</w:t>
            </w:r>
          </w:p>
        </w:tc>
        <w:tc>
          <w:tcPr>
            <w:tcW w:w="763" w:type="pct"/>
            <w:tcBorders>
              <w:top w:val="nil"/>
              <w:left w:val="nil"/>
              <w:bottom w:val="nil"/>
              <w:right w:val="nil"/>
            </w:tcBorders>
            <w:hideMark/>
          </w:tcPr>
          <w:p w:rsidR="006B6335" w:rsidRDefault="006B6335">
            <w:pPr>
              <w:tabs>
                <w:tab w:val="decimal" w:pos="559"/>
              </w:tabs>
              <w:jc w:val="both"/>
              <w:rPr>
                <w:rFonts w:ascii="Arial Narrow" w:hAnsi="Arial Narrow"/>
                <w:sz w:val="16"/>
                <w:szCs w:val="16"/>
              </w:rPr>
            </w:pPr>
            <w:r>
              <w:rPr>
                <w:rFonts w:ascii="Arial Narrow" w:hAnsi="Arial Narrow"/>
                <w:sz w:val="16"/>
                <w:szCs w:val="16"/>
              </w:rPr>
              <w:t>-4,3</w:t>
            </w:r>
          </w:p>
        </w:tc>
        <w:tc>
          <w:tcPr>
            <w:tcW w:w="714" w:type="pct"/>
            <w:tcBorders>
              <w:top w:val="nil"/>
              <w:left w:val="nil"/>
              <w:bottom w:val="nil"/>
              <w:right w:val="single" w:sz="4" w:space="0" w:color="auto"/>
            </w:tcBorders>
            <w:hideMark/>
          </w:tcPr>
          <w:p w:rsidR="006B6335" w:rsidRDefault="006B6335">
            <w:pPr>
              <w:tabs>
                <w:tab w:val="decimal" w:pos="505"/>
              </w:tabs>
              <w:jc w:val="both"/>
              <w:rPr>
                <w:rFonts w:ascii="Arial Narrow" w:hAnsi="Arial Narrow"/>
                <w:sz w:val="16"/>
                <w:szCs w:val="16"/>
              </w:rPr>
            </w:pPr>
            <w:r>
              <w:rPr>
                <w:rFonts w:ascii="Arial Narrow" w:hAnsi="Arial Narrow"/>
                <w:sz w:val="16"/>
                <w:szCs w:val="16"/>
              </w:rPr>
              <w:t>3,1</w:t>
            </w:r>
          </w:p>
        </w:tc>
      </w:tr>
      <w:tr w:rsidR="006B6335" w:rsidTr="006B6335">
        <w:tc>
          <w:tcPr>
            <w:tcW w:w="2759" w:type="pct"/>
            <w:tcBorders>
              <w:top w:val="nil"/>
              <w:left w:val="single" w:sz="4" w:space="0" w:color="auto"/>
              <w:bottom w:val="nil"/>
              <w:right w:val="nil"/>
            </w:tcBorders>
            <w:shd w:val="clear" w:color="auto" w:fill="D9D9D9" w:themeFill="background1" w:themeFillShade="D9"/>
            <w:hideMark/>
          </w:tcPr>
          <w:p w:rsidR="006B6335" w:rsidRDefault="006B6335">
            <w:pPr>
              <w:jc w:val="both"/>
              <w:rPr>
                <w:rFonts w:ascii="Arial Narrow" w:hAnsi="Arial Narrow"/>
                <w:sz w:val="16"/>
                <w:szCs w:val="16"/>
              </w:rPr>
            </w:pPr>
            <w:r>
              <w:rPr>
                <w:rFonts w:ascii="Arial Narrow" w:hAnsi="Arial Narrow"/>
                <w:sz w:val="16"/>
                <w:szCs w:val="16"/>
              </w:rPr>
              <w:t>Παγκόσμιο Εμπόριο (αγαθά και υπηρεσίες)</w:t>
            </w:r>
          </w:p>
        </w:tc>
        <w:tc>
          <w:tcPr>
            <w:tcW w:w="763" w:type="pct"/>
            <w:tcBorders>
              <w:top w:val="nil"/>
              <w:left w:val="nil"/>
              <w:bottom w:val="nil"/>
              <w:right w:val="nil"/>
            </w:tcBorders>
            <w:shd w:val="clear" w:color="auto" w:fill="D9D9D9" w:themeFill="background1" w:themeFillShade="D9"/>
            <w:hideMark/>
          </w:tcPr>
          <w:p w:rsidR="006B6335" w:rsidRDefault="006B6335">
            <w:pPr>
              <w:tabs>
                <w:tab w:val="decimal" w:pos="573"/>
              </w:tabs>
              <w:jc w:val="both"/>
              <w:rPr>
                <w:rFonts w:ascii="Arial Narrow" w:hAnsi="Arial Narrow"/>
                <w:sz w:val="16"/>
                <w:szCs w:val="16"/>
              </w:rPr>
            </w:pPr>
            <w:r>
              <w:rPr>
                <w:rFonts w:ascii="Arial Narrow" w:hAnsi="Arial Narrow"/>
                <w:sz w:val="16"/>
                <w:szCs w:val="16"/>
              </w:rPr>
              <w:t>1,0</w:t>
            </w:r>
          </w:p>
        </w:tc>
        <w:tc>
          <w:tcPr>
            <w:tcW w:w="763" w:type="pct"/>
            <w:tcBorders>
              <w:top w:val="nil"/>
              <w:left w:val="nil"/>
              <w:bottom w:val="nil"/>
              <w:right w:val="nil"/>
            </w:tcBorders>
            <w:shd w:val="clear" w:color="auto" w:fill="D9D9D9" w:themeFill="background1" w:themeFillShade="D9"/>
            <w:hideMark/>
          </w:tcPr>
          <w:p w:rsidR="006B6335" w:rsidRDefault="006B6335">
            <w:pPr>
              <w:tabs>
                <w:tab w:val="decimal" w:pos="559"/>
              </w:tabs>
              <w:jc w:val="both"/>
              <w:rPr>
                <w:rFonts w:ascii="Arial Narrow" w:hAnsi="Arial Narrow"/>
                <w:sz w:val="16"/>
                <w:szCs w:val="16"/>
              </w:rPr>
            </w:pPr>
            <w:r>
              <w:rPr>
                <w:rFonts w:ascii="Arial Narrow" w:hAnsi="Arial Narrow"/>
                <w:sz w:val="16"/>
                <w:szCs w:val="16"/>
              </w:rPr>
              <w:t>-10,4</w:t>
            </w:r>
          </w:p>
        </w:tc>
        <w:tc>
          <w:tcPr>
            <w:tcW w:w="714" w:type="pct"/>
            <w:tcBorders>
              <w:top w:val="nil"/>
              <w:left w:val="nil"/>
              <w:bottom w:val="nil"/>
              <w:right w:val="single" w:sz="4" w:space="0" w:color="auto"/>
            </w:tcBorders>
            <w:shd w:val="clear" w:color="auto" w:fill="D9D9D9" w:themeFill="background1" w:themeFillShade="D9"/>
            <w:hideMark/>
          </w:tcPr>
          <w:p w:rsidR="006B6335" w:rsidRDefault="006B6335">
            <w:pPr>
              <w:tabs>
                <w:tab w:val="decimal" w:pos="505"/>
              </w:tabs>
              <w:jc w:val="both"/>
              <w:rPr>
                <w:rFonts w:ascii="Arial Narrow" w:hAnsi="Arial Narrow"/>
                <w:sz w:val="16"/>
                <w:szCs w:val="16"/>
              </w:rPr>
            </w:pPr>
            <w:r>
              <w:rPr>
                <w:rFonts w:ascii="Arial Narrow" w:hAnsi="Arial Narrow"/>
                <w:sz w:val="16"/>
                <w:szCs w:val="16"/>
              </w:rPr>
              <w:t>8,3</w:t>
            </w:r>
          </w:p>
        </w:tc>
      </w:tr>
      <w:tr w:rsidR="006B6335" w:rsidTr="006B6335">
        <w:tc>
          <w:tcPr>
            <w:tcW w:w="2759" w:type="pct"/>
            <w:tcBorders>
              <w:top w:val="nil"/>
              <w:left w:val="single" w:sz="4" w:space="0" w:color="auto"/>
              <w:bottom w:val="nil"/>
              <w:right w:val="nil"/>
            </w:tcBorders>
            <w:hideMark/>
          </w:tcPr>
          <w:p w:rsidR="006B6335" w:rsidRDefault="006B6335">
            <w:pPr>
              <w:jc w:val="both"/>
              <w:rPr>
                <w:rFonts w:ascii="Arial Narrow" w:hAnsi="Arial Narrow"/>
                <w:sz w:val="16"/>
                <w:szCs w:val="16"/>
              </w:rPr>
            </w:pPr>
            <w:r>
              <w:rPr>
                <w:rFonts w:ascii="Arial Narrow" w:hAnsi="Arial Narrow"/>
                <w:sz w:val="16"/>
                <w:szCs w:val="16"/>
              </w:rPr>
              <w:t>Πληθωρισμός</w:t>
            </w:r>
          </w:p>
        </w:tc>
        <w:tc>
          <w:tcPr>
            <w:tcW w:w="763" w:type="pct"/>
            <w:tcBorders>
              <w:top w:val="nil"/>
              <w:left w:val="nil"/>
              <w:bottom w:val="nil"/>
              <w:right w:val="nil"/>
            </w:tcBorders>
          </w:tcPr>
          <w:p w:rsidR="006B6335" w:rsidRDefault="006B6335">
            <w:pPr>
              <w:tabs>
                <w:tab w:val="decimal" w:pos="573"/>
              </w:tabs>
              <w:jc w:val="both"/>
              <w:rPr>
                <w:rFonts w:ascii="Arial Narrow" w:hAnsi="Arial Narrow"/>
                <w:sz w:val="16"/>
                <w:szCs w:val="16"/>
              </w:rPr>
            </w:pPr>
          </w:p>
        </w:tc>
        <w:tc>
          <w:tcPr>
            <w:tcW w:w="763" w:type="pct"/>
            <w:tcBorders>
              <w:top w:val="nil"/>
              <w:left w:val="nil"/>
              <w:bottom w:val="nil"/>
              <w:right w:val="nil"/>
            </w:tcBorders>
          </w:tcPr>
          <w:p w:rsidR="006B6335" w:rsidRDefault="006B6335">
            <w:pPr>
              <w:tabs>
                <w:tab w:val="decimal" w:pos="559"/>
              </w:tabs>
              <w:jc w:val="both"/>
              <w:rPr>
                <w:rFonts w:ascii="Arial Narrow" w:hAnsi="Arial Narrow"/>
                <w:sz w:val="16"/>
                <w:szCs w:val="16"/>
              </w:rPr>
            </w:pPr>
          </w:p>
        </w:tc>
        <w:tc>
          <w:tcPr>
            <w:tcW w:w="714" w:type="pct"/>
            <w:tcBorders>
              <w:top w:val="nil"/>
              <w:left w:val="nil"/>
              <w:bottom w:val="nil"/>
              <w:right w:val="single" w:sz="4" w:space="0" w:color="auto"/>
            </w:tcBorders>
          </w:tcPr>
          <w:p w:rsidR="006B6335" w:rsidRDefault="006B6335">
            <w:pPr>
              <w:tabs>
                <w:tab w:val="decimal" w:pos="505"/>
              </w:tabs>
              <w:jc w:val="both"/>
              <w:rPr>
                <w:rFonts w:ascii="Arial Narrow" w:hAnsi="Arial Narrow"/>
                <w:sz w:val="16"/>
                <w:szCs w:val="16"/>
              </w:rPr>
            </w:pPr>
          </w:p>
        </w:tc>
      </w:tr>
      <w:tr w:rsidR="006B6335" w:rsidTr="006B6335">
        <w:tc>
          <w:tcPr>
            <w:tcW w:w="2759" w:type="pct"/>
            <w:tcBorders>
              <w:top w:val="nil"/>
              <w:left w:val="single" w:sz="4" w:space="0" w:color="auto"/>
              <w:bottom w:val="nil"/>
              <w:right w:val="nil"/>
            </w:tcBorders>
            <w:hideMark/>
          </w:tcPr>
          <w:p w:rsidR="006B6335" w:rsidRDefault="006B6335">
            <w:pPr>
              <w:jc w:val="both"/>
              <w:rPr>
                <w:rFonts w:ascii="Arial Narrow" w:hAnsi="Arial Narrow"/>
                <w:sz w:val="16"/>
                <w:szCs w:val="16"/>
              </w:rPr>
            </w:pPr>
            <w:r>
              <w:rPr>
                <w:rFonts w:ascii="Arial Narrow" w:hAnsi="Arial Narrow"/>
                <w:sz w:val="16"/>
                <w:szCs w:val="16"/>
              </w:rPr>
              <w:t>α. Προηγμένες οικονομίες</w:t>
            </w:r>
          </w:p>
        </w:tc>
        <w:tc>
          <w:tcPr>
            <w:tcW w:w="763" w:type="pct"/>
            <w:tcBorders>
              <w:top w:val="nil"/>
              <w:left w:val="nil"/>
              <w:bottom w:val="nil"/>
              <w:right w:val="nil"/>
            </w:tcBorders>
            <w:hideMark/>
          </w:tcPr>
          <w:p w:rsidR="006B6335" w:rsidRDefault="006B6335">
            <w:pPr>
              <w:tabs>
                <w:tab w:val="decimal" w:pos="573"/>
              </w:tabs>
              <w:jc w:val="both"/>
              <w:rPr>
                <w:rFonts w:ascii="Arial Narrow" w:hAnsi="Arial Narrow"/>
                <w:sz w:val="16"/>
                <w:szCs w:val="16"/>
              </w:rPr>
            </w:pPr>
            <w:r>
              <w:rPr>
                <w:rFonts w:ascii="Arial Narrow" w:hAnsi="Arial Narrow"/>
                <w:sz w:val="16"/>
                <w:szCs w:val="16"/>
              </w:rPr>
              <w:t>1,4</w:t>
            </w:r>
          </w:p>
        </w:tc>
        <w:tc>
          <w:tcPr>
            <w:tcW w:w="763" w:type="pct"/>
            <w:tcBorders>
              <w:top w:val="nil"/>
              <w:left w:val="nil"/>
              <w:bottom w:val="nil"/>
              <w:right w:val="nil"/>
            </w:tcBorders>
            <w:hideMark/>
          </w:tcPr>
          <w:p w:rsidR="006B6335" w:rsidRDefault="006B6335">
            <w:pPr>
              <w:tabs>
                <w:tab w:val="decimal" w:pos="559"/>
              </w:tabs>
              <w:jc w:val="both"/>
              <w:rPr>
                <w:rFonts w:ascii="Arial Narrow" w:hAnsi="Arial Narrow"/>
                <w:sz w:val="16"/>
                <w:szCs w:val="16"/>
              </w:rPr>
            </w:pPr>
            <w:r>
              <w:rPr>
                <w:rFonts w:ascii="Arial Narrow" w:hAnsi="Arial Narrow"/>
                <w:sz w:val="16"/>
                <w:szCs w:val="16"/>
              </w:rPr>
              <w:t>0,8</w:t>
            </w:r>
          </w:p>
        </w:tc>
        <w:tc>
          <w:tcPr>
            <w:tcW w:w="714" w:type="pct"/>
            <w:tcBorders>
              <w:top w:val="nil"/>
              <w:left w:val="nil"/>
              <w:bottom w:val="nil"/>
              <w:right w:val="single" w:sz="4" w:space="0" w:color="auto"/>
            </w:tcBorders>
            <w:hideMark/>
          </w:tcPr>
          <w:p w:rsidR="006B6335" w:rsidRDefault="006B6335">
            <w:pPr>
              <w:tabs>
                <w:tab w:val="decimal" w:pos="505"/>
              </w:tabs>
              <w:jc w:val="both"/>
              <w:rPr>
                <w:rFonts w:ascii="Arial Narrow" w:hAnsi="Arial Narrow"/>
                <w:sz w:val="16"/>
                <w:szCs w:val="16"/>
              </w:rPr>
            </w:pPr>
            <w:r>
              <w:rPr>
                <w:rFonts w:ascii="Arial Narrow" w:hAnsi="Arial Narrow"/>
                <w:sz w:val="16"/>
                <w:szCs w:val="16"/>
              </w:rPr>
              <w:t>1,6</w:t>
            </w:r>
          </w:p>
        </w:tc>
      </w:tr>
      <w:tr w:rsidR="006B6335" w:rsidTr="006B6335">
        <w:tc>
          <w:tcPr>
            <w:tcW w:w="2759" w:type="pct"/>
            <w:tcBorders>
              <w:top w:val="nil"/>
              <w:left w:val="single" w:sz="4" w:space="0" w:color="auto"/>
              <w:bottom w:val="nil"/>
              <w:right w:val="nil"/>
            </w:tcBorders>
            <w:hideMark/>
          </w:tcPr>
          <w:p w:rsidR="006B6335" w:rsidRDefault="006B6335">
            <w:pPr>
              <w:jc w:val="both"/>
              <w:rPr>
                <w:rFonts w:ascii="Arial Narrow" w:hAnsi="Arial Narrow"/>
                <w:sz w:val="16"/>
                <w:szCs w:val="16"/>
              </w:rPr>
            </w:pPr>
            <w:r>
              <w:rPr>
                <w:rFonts w:ascii="Arial Narrow" w:hAnsi="Arial Narrow"/>
                <w:sz w:val="16"/>
                <w:szCs w:val="16"/>
              </w:rPr>
              <w:t>β. Αναδυόμενες αγορές και αναπτυσσόμενες οικονομίες</w:t>
            </w:r>
          </w:p>
        </w:tc>
        <w:tc>
          <w:tcPr>
            <w:tcW w:w="763" w:type="pct"/>
            <w:tcBorders>
              <w:top w:val="nil"/>
              <w:left w:val="nil"/>
              <w:bottom w:val="nil"/>
              <w:right w:val="nil"/>
            </w:tcBorders>
            <w:hideMark/>
          </w:tcPr>
          <w:p w:rsidR="006B6335" w:rsidRDefault="006B6335">
            <w:pPr>
              <w:tabs>
                <w:tab w:val="decimal" w:pos="573"/>
              </w:tabs>
              <w:jc w:val="both"/>
              <w:rPr>
                <w:rFonts w:ascii="Arial Narrow" w:hAnsi="Arial Narrow"/>
                <w:sz w:val="16"/>
                <w:szCs w:val="16"/>
              </w:rPr>
            </w:pPr>
            <w:r>
              <w:rPr>
                <w:rFonts w:ascii="Arial Narrow" w:hAnsi="Arial Narrow"/>
                <w:sz w:val="16"/>
                <w:szCs w:val="16"/>
              </w:rPr>
              <w:t>5,1</w:t>
            </w:r>
          </w:p>
        </w:tc>
        <w:tc>
          <w:tcPr>
            <w:tcW w:w="763" w:type="pct"/>
            <w:tcBorders>
              <w:top w:val="nil"/>
              <w:left w:val="nil"/>
              <w:bottom w:val="nil"/>
              <w:right w:val="nil"/>
            </w:tcBorders>
            <w:hideMark/>
          </w:tcPr>
          <w:p w:rsidR="006B6335" w:rsidRDefault="006B6335">
            <w:pPr>
              <w:tabs>
                <w:tab w:val="decimal" w:pos="559"/>
              </w:tabs>
              <w:jc w:val="both"/>
              <w:rPr>
                <w:rFonts w:ascii="Arial Narrow" w:hAnsi="Arial Narrow"/>
                <w:sz w:val="16"/>
                <w:szCs w:val="16"/>
              </w:rPr>
            </w:pPr>
            <w:r>
              <w:rPr>
                <w:rFonts w:ascii="Arial Narrow" w:hAnsi="Arial Narrow"/>
                <w:sz w:val="16"/>
                <w:szCs w:val="16"/>
              </w:rPr>
              <w:t>5,0</w:t>
            </w:r>
          </w:p>
        </w:tc>
        <w:tc>
          <w:tcPr>
            <w:tcW w:w="714" w:type="pct"/>
            <w:tcBorders>
              <w:top w:val="nil"/>
              <w:left w:val="nil"/>
              <w:bottom w:val="nil"/>
              <w:right w:val="single" w:sz="4" w:space="0" w:color="auto"/>
            </w:tcBorders>
            <w:hideMark/>
          </w:tcPr>
          <w:p w:rsidR="006B6335" w:rsidRDefault="006B6335">
            <w:pPr>
              <w:tabs>
                <w:tab w:val="decimal" w:pos="505"/>
              </w:tabs>
              <w:jc w:val="both"/>
              <w:rPr>
                <w:rFonts w:ascii="Arial Narrow" w:hAnsi="Arial Narrow"/>
                <w:sz w:val="16"/>
                <w:szCs w:val="16"/>
                <w:lang w:val="en-US"/>
              </w:rPr>
            </w:pPr>
            <w:r>
              <w:rPr>
                <w:rFonts w:ascii="Arial Narrow" w:hAnsi="Arial Narrow"/>
                <w:sz w:val="16"/>
                <w:szCs w:val="16"/>
              </w:rPr>
              <w:t>4,7</w:t>
            </w:r>
          </w:p>
        </w:tc>
      </w:tr>
      <w:tr w:rsidR="006B6335" w:rsidTr="006B6335">
        <w:tc>
          <w:tcPr>
            <w:tcW w:w="2759" w:type="pct"/>
            <w:tcBorders>
              <w:top w:val="nil"/>
              <w:left w:val="single" w:sz="4" w:space="0" w:color="auto"/>
              <w:bottom w:val="single" w:sz="4" w:space="0" w:color="auto"/>
              <w:right w:val="nil"/>
            </w:tcBorders>
            <w:shd w:val="clear" w:color="auto" w:fill="D9D9D9" w:themeFill="background1" w:themeFillShade="D9"/>
            <w:hideMark/>
          </w:tcPr>
          <w:p w:rsidR="006B6335" w:rsidRDefault="006B6335">
            <w:pPr>
              <w:jc w:val="both"/>
              <w:rPr>
                <w:rFonts w:ascii="Arial Narrow" w:hAnsi="Arial Narrow"/>
                <w:sz w:val="16"/>
                <w:szCs w:val="16"/>
              </w:rPr>
            </w:pPr>
            <w:r>
              <w:rPr>
                <w:rFonts w:ascii="Arial Narrow" w:hAnsi="Arial Narrow"/>
                <w:sz w:val="16"/>
                <w:szCs w:val="16"/>
              </w:rPr>
              <w:t>Τιμή πετρελαίου (Brent, USD/barrel)**</w:t>
            </w:r>
          </w:p>
        </w:tc>
        <w:tc>
          <w:tcPr>
            <w:tcW w:w="763" w:type="pct"/>
            <w:tcBorders>
              <w:top w:val="nil"/>
              <w:left w:val="nil"/>
              <w:bottom w:val="single" w:sz="4" w:space="0" w:color="auto"/>
              <w:right w:val="nil"/>
            </w:tcBorders>
            <w:shd w:val="clear" w:color="auto" w:fill="D9D9D9" w:themeFill="background1" w:themeFillShade="D9"/>
            <w:hideMark/>
          </w:tcPr>
          <w:p w:rsidR="006B6335" w:rsidRDefault="006B6335">
            <w:pPr>
              <w:tabs>
                <w:tab w:val="decimal" w:pos="573"/>
              </w:tabs>
              <w:jc w:val="both"/>
              <w:rPr>
                <w:rFonts w:ascii="Arial Narrow" w:hAnsi="Arial Narrow"/>
                <w:sz w:val="16"/>
                <w:szCs w:val="16"/>
                <w:lang w:val="en-US"/>
              </w:rPr>
            </w:pPr>
            <w:r>
              <w:rPr>
                <w:rFonts w:ascii="Arial Narrow" w:hAnsi="Arial Narrow"/>
                <w:sz w:val="16"/>
                <w:szCs w:val="16"/>
                <w:lang w:val="en-US"/>
              </w:rPr>
              <w:t>64</w:t>
            </w:r>
            <w:r>
              <w:rPr>
                <w:rFonts w:ascii="Arial Narrow" w:hAnsi="Arial Narrow"/>
                <w:sz w:val="16"/>
                <w:szCs w:val="16"/>
              </w:rPr>
              <w:t>,</w:t>
            </w:r>
            <w:r>
              <w:rPr>
                <w:rFonts w:ascii="Arial Narrow" w:hAnsi="Arial Narrow"/>
                <w:sz w:val="16"/>
                <w:szCs w:val="16"/>
                <w:lang w:val="en-US"/>
              </w:rPr>
              <w:t>1</w:t>
            </w:r>
          </w:p>
        </w:tc>
        <w:tc>
          <w:tcPr>
            <w:tcW w:w="763" w:type="pct"/>
            <w:tcBorders>
              <w:top w:val="nil"/>
              <w:left w:val="nil"/>
              <w:bottom w:val="single" w:sz="4" w:space="0" w:color="auto"/>
              <w:right w:val="nil"/>
            </w:tcBorders>
            <w:shd w:val="clear" w:color="auto" w:fill="D9D9D9" w:themeFill="background1" w:themeFillShade="D9"/>
            <w:hideMark/>
          </w:tcPr>
          <w:p w:rsidR="006B6335" w:rsidRDefault="006B6335">
            <w:pPr>
              <w:tabs>
                <w:tab w:val="decimal" w:pos="559"/>
              </w:tabs>
              <w:jc w:val="both"/>
              <w:rPr>
                <w:rFonts w:ascii="Arial Narrow" w:hAnsi="Arial Narrow"/>
                <w:sz w:val="16"/>
                <w:szCs w:val="16"/>
                <w:lang w:val="en-US"/>
              </w:rPr>
            </w:pPr>
            <w:r>
              <w:rPr>
                <w:rFonts w:ascii="Arial Narrow" w:hAnsi="Arial Narrow"/>
                <w:sz w:val="16"/>
                <w:szCs w:val="16"/>
                <w:lang w:val="en-US"/>
              </w:rPr>
              <w:t>42</w:t>
            </w:r>
            <w:r>
              <w:rPr>
                <w:rFonts w:ascii="Arial Narrow" w:hAnsi="Arial Narrow"/>
                <w:sz w:val="16"/>
                <w:szCs w:val="16"/>
              </w:rPr>
              <w:t>,</w:t>
            </w:r>
            <w:r>
              <w:rPr>
                <w:rFonts w:ascii="Arial Narrow" w:hAnsi="Arial Narrow"/>
                <w:sz w:val="16"/>
                <w:szCs w:val="16"/>
                <w:lang w:val="en-US"/>
              </w:rPr>
              <w:t>6</w:t>
            </w:r>
          </w:p>
        </w:tc>
        <w:tc>
          <w:tcPr>
            <w:tcW w:w="714" w:type="pct"/>
            <w:tcBorders>
              <w:top w:val="nil"/>
              <w:left w:val="nil"/>
              <w:bottom w:val="single" w:sz="4" w:space="0" w:color="auto"/>
              <w:right w:val="single" w:sz="4" w:space="0" w:color="auto"/>
            </w:tcBorders>
            <w:shd w:val="clear" w:color="auto" w:fill="D9D9D9" w:themeFill="background1" w:themeFillShade="D9"/>
            <w:hideMark/>
          </w:tcPr>
          <w:p w:rsidR="006B6335" w:rsidRDefault="006B6335">
            <w:pPr>
              <w:tabs>
                <w:tab w:val="decimal" w:pos="505"/>
              </w:tabs>
              <w:jc w:val="both"/>
              <w:rPr>
                <w:rFonts w:ascii="Arial Narrow" w:hAnsi="Arial Narrow"/>
                <w:sz w:val="16"/>
                <w:szCs w:val="16"/>
                <w:lang w:val="en-US"/>
              </w:rPr>
            </w:pPr>
            <w:r>
              <w:rPr>
                <w:rFonts w:ascii="Arial Narrow" w:hAnsi="Arial Narrow"/>
                <w:sz w:val="16"/>
                <w:szCs w:val="16"/>
                <w:lang w:val="en-US"/>
              </w:rPr>
              <w:t>44</w:t>
            </w:r>
            <w:r>
              <w:rPr>
                <w:rFonts w:ascii="Arial Narrow" w:hAnsi="Arial Narrow"/>
                <w:sz w:val="16"/>
                <w:szCs w:val="16"/>
              </w:rPr>
              <w:t>,</w:t>
            </w:r>
            <w:r>
              <w:rPr>
                <w:rFonts w:ascii="Arial Narrow" w:hAnsi="Arial Narrow"/>
                <w:sz w:val="16"/>
                <w:szCs w:val="16"/>
                <w:lang w:val="en-US"/>
              </w:rPr>
              <w:t>6</w:t>
            </w:r>
          </w:p>
        </w:tc>
      </w:tr>
    </w:tbl>
    <w:p w:rsidR="006B6335" w:rsidRDefault="006B6335" w:rsidP="006B6335">
      <w:pPr>
        <w:pStyle w:val="13"/>
        <w:jc w:val="both"/>
        <w:rPr>
          <w:rFonts w:ascii="Arial Narrow" w:hAnsi="Arial Narrow"/>
          <w:sz w:val="16"/>
          <w:szCs w:val="16"/>
        </w:rPr>
      </w:pPr>
      <w:r>
        <w:rPr>
          <w:rFonts w:ascii="Arial Narrow" w:hAnsi="Arial Narrow"/>
          <w:sz w:val="16"/>
          <w:szCs w:val="16"/>
        </w:rPr>
        <w:t xml:space="preserve">Πηγές: </w:t>
      </w:r>
      <w:r>
        <w:rPr>
          <w:rFonts w:ascii="Arial Narrow" w:hAnsi="Arial Narrow"/>
          <w:sz w:val="16"/>
          <w:szCs w:val="16"/>
          <w:lang w:val="en-US"/>
        </w:rPr>
        <w:t>IMF</w:t>
      </w:r>
      <w:r>
        <w:rPr>
          <w:rFonts w:ascii="Arial Narrow" w:hAnsi="Arial Narrow"/>
          <w:sz w:val="16"/>
          <w:szCs w:val="16"/>
        </w:rPr>
        <w:t xml:space="preserve">, </w:t>
      </w:r>
      <w:r>
        <w:rPr>
          <w:rFonts w:ascii="Arial Narrow" w:hAnsi="Arial Narrow"/>
          <w:sz w:val="16"/>
          <w:szCs w:val="16"/>
          <w:lang w:val="en-US"/>
        </w:rPr>
        <w:t>World</w:t>
      </w:r>
      <w:r>
        <w:rPr>
          <w:rFonts w:ascii="Arial Narrow" w:hAnsi="Arial Narrow"/>
          <w:sz w:val="16"/>
          <w:szCs w:val="16"/>
        </w:rPr>
        <w:t xml:space="preserve"> Ε</w:t>
      </w:r>
      <w:r>
        <w:rPr>
          <w:rFonts w:ascii="Arial Narrow" w:hAnsi="Arial Narrow"/>
          <w:sz w:val="16"/>
          <w:szCs w:val="16"/>
          <w:lang w:val="en-US"/>
        </w:rPr>
        <w:t>conomic</w:t>
      </w:r>
      <w:r>
        <w:rPr>
          <w:rFonts w:ascii="Arial Narrow" w:hAnsi="Arial Narrow"/>
          <w:sz w:val="16"/>
          <w:szCs w:val="16"/>
        </w:rPr>
        <w:t xml:space="preserve"> Ο</w:t>
      </w:r>
      <w:r>
        <w:rPr>
          <w:rFonts w:ascii="Arial Narrow" w:hAnsi="Arial Narrow"/>
          <w:sz w:val="16"/>
          <w:szCs w:val="16"/>
          <w:lang w:val="en-US"/>
        </w:rPr>
        <w:t>utlook</w:t>
      </w:r>
      <w:r>
        <w:rPr>
          <w:rFonts w:ascii="Arial Narrow" w:hAnsi="Arial Narrow"/>
          <w:sz w:val="16"/>
          <w:szCs w:val="16"/>
        </w:rPr>
        <w:t xml:space="preserve">, </w:t>
      </w:r>
      <w:r>
        <w:rPr>
          <w:rFonts w:ascii="Arial Narrow" w:hAnsi="Arial Narrow"/>
          <w:sz w:val="16"/>
          <w:szCs w:val="16"/>
          <w:lang w:val="en-US"/>
        </w:rPr>
        <w:t>Update</w:t>
      </w:r>
      <w:r>
        <w:rPr>
          <w:rFonts w:ascii="Arial Narrow" w:hAnsi="Arial Narrow"/>
          <w:sz w:val="16"/>
          <w:szCs w:val="16"/>
        </w:rPr>
        <w:t xml:space="preserve"> (Οκτώβριος 2020)</w:t>
      </w:r>
    </w:p>
    <w:p w:rsidR="006B6335" w:rsidRDefault="006B6335" w:rsidP="006B6335">
      <w:pPr>
        <w:pStyle w:val="13"/>
        <w:tabs>
          <w:tab w:val="left" w:pos="142"/>
        </w:tabs>
        <w:ind w:left="142" w:hanging="142"/>
        <w:jc w:val="both"/>
        <w:rPr>
          <w:rFonts w:ascii="Arial Narrow" w:hAnsi="Arial Narrow"/>
          <w:sz w:val="16"/>
          <w:szCs w:val="16"/>
        </w:rPr>
      </w:pPr>
      <w:r>
        <w:rPr>
          <w:rFonts w:ascii="Arial Narrow" w:hAnsi="Arial Narrow"/>
          <w:sz w:val="16"/>
          <w:szCs w:val="16"/>
        </w:rPr>
        <w:t>*</w:t>
      </w:r>
      <w:r>
        <w:rPr>
          <w:rFonts w:ascii="Arial Narrow" w:hAnsi="Arial Narrow"/>
          <w:sz w:val="16"/>
          <w:szCs w:val="16"/>
        </w:rPr>
        <w:tab/>
        <w:t>Εκτιμήσεις/Προβλέψεις</w:t>
      </w:r>
    </w:p>
    <w:p w:rsidR="006B6335" w:rsidRDefault="006B6335" w:rsidP="006B6335">
      <w:pPr>
        <w:pStyle w:val="13"/>
        <w:tabs>
          <w:tab w:val="left" w:pos="142"/>
        </w:tabs>
        <w:ind w:left="142" w:hanging="142"/>
        <w:jc w:val="both"/>
        <w:rPr>
          <w:rFonts w:ascii="Arial Narrow" w:hAnsi="Arial Narrow"/>
          <w:sz w:val="16"/>
          <w:szCs w:val="16"/>
        </w:rPr>
      </w:pPr>
      <w:r>
        <w:rPr>
          <w:rFonts w:ascii="Arial Narrow" w:hAnsi="Arial Narrow"/>
          <w:sz w:val="16"/>
          <w:szCs w:val="16"/>
        </w:rPr>
        <w:t>**</w:t>
      </w:r>
      <w:r>
        <w:rPr>
          <w:rFonts w:ascii="Arial Narrow" w:hAnsi="Arial Narrow"/>
          <w:sz w:val="16"/>
          <w:szCs w:val="16"/>
        </w:rPr>
        <w:tab/>
        <w:t>Φθινοπωρινές Οικονομικές Προβλέψεις Ευρωπαϊκής Επιτροπής, Νοέμβριος 2020</w:t>
      </w:r>
    </w:p>
    <w:p w:rsidR="00FF20BF" w:rsidRDefault="00FF20BF" w:rsidP="006B6335">
      <w:pPr>
        <w:pStyle w:val="13"/>
        <w:tabs>
          <w:tab w:val="left" w:pos="142"/>
        </w:tabs>
        <w:ind w:left="142" w:hanging="142"/>
        <w:jc w:val="both"/>
        <w:rPr>
          <w:rFonts w:ascii="Arial Narrow" w:hAnsi="Arial Narrow"/>
          <w:sz w:val="16"/>
          <w:szCs w:val="16"/>
        </w:rPr>
      </w:pPr>
      <w:r>
        <w:rPr>
          <w:rFonts w:ascii="Arial Narrow" w:hAnsi="Arial Narrow"/>
          <w:sz w:val="16"/>
          <w:szCs w:val="16"/>
        </w:rPr>
        <w:t xml:space="preserve">Οι </w:t>
      </w:r>
      <w:r w:rsidR="005C0D9B">
        <w:rPr>
          <w:rFonts w:ascii="Arial Narrow" w:hAnsi="Arial Narrow"/>
          <w:sz w:val="16"/>
          <w:szCs w:val="16"/>
        </w:rPr>
        <w:t xml:space="preserve">ανωτέρω </w:t>
      </w:r>
      <w:r>
        <w:rPr>
          <w:rFonts w:ascii="Arial Narrow" w:hAnsi="Arial Narrow"/>
          <w:sz w:val="16"/>
          <w:szCs w:val="16"/>
        </w:rPr>
        <w:t xml:space="preserve">προβλέψεις δεν ενσωματώνουν τις οικονομικές </w:t>
      </w:r>
      <w:r w:rsidR="009838FB">
        <w:rPr>
          <w:rFonts w:ascii="Arial Narrow" w:hAnsi="Arial Narrow"/>
          <w:sz w:val="16"/>
          <w:szCs w:val="16"/>
        </w:rPr>
        <w:t>επιπτώσεις</w:t>
      </w:r>
      <w:r>
        <w:rPr>
          <w:rFonts w:ascii="Arial Narrow" w:hAnsi="Arial Narrow"/>
          <w:sz w:val="16"/>
          <w:szCs w:val="16"/>
        </w:rPr>
        <w:t xml:space="preserve"> σε Ευρωπαϊκό επίπεδο από το δεύτερο κύμα της πανδημίας</w:t>
      </w:r>
    </w:p>
    <w:p w:rsidR="006B6335" w:rsidRDefault="006B6335" w:rsidP="006B6335">
      <w:pPr>
        <w:jc w:val="both"/>
        <w:rPr>
          <w:szCs w:val="22"/>
        </w:rPr>
      </w:pPr>
    </w:p>
    <w:p w:rsidR="006B6335" w:rsidRPr="0063518B" w:rsidRDefault="006B6335" w:rsidP="006B6335">
      <w:pPr>
        <w:jc w:val="both"/>
        <w:rPr>
          <w:sz w:val="22"/>
          <w:szCs w:val="22"/>
        </w:rPr>
      </w:pPr>
      <w:r w:rsidRPr="0063518B">
        <w:rPr>
          <w:sz w:val="22"/>
          <w:szCs w:val="22"/>
        </w:rPr>
        <w:t>Σύμφωνα με τις εκτιμήσεις της Ευρωπαϊκής Κεντρικής Τράπεζας</w:t>
      </w:r>
      <w:r w:rsidRPr="0063518B">
        <w:rPr>
          <w:sz w:val="22"/>
          <w:szCs w:val="22"/>
          <w:vertAlign w:val="superscript"/>
        </w:rPr>
        <w:footnoteReference w:id="4"/>
      </w:r>
      <w:r w:rsidR="001665DC">
        <w:rPr>
          <w:sz w:val="22"/>
          <w:szCs w:val="22"/>
        </w:rPr>
        <w:t>,</w:t>
      </w:r>
      <w:r w:rsidRPr="0063518B">
        <w:rPr>
          <w:sz w:val="22"/>
          <w:szCs w:val="22"/>
        </w:rPr>
        <w:t xml:space="preserve"> η εξωτερική ζήτηση προϊόντων και υπηρεσιών της ζώνης του ευρώ αναμένεται να μειωθεί κατά 12,5% το 2020 και να αυξηθεί κατά 6,9% το 2021 και κατά 3,7% το 2022, έναντι 7,8% και 4,2% το 2021 και 2022 αντίστοιχα, συγκριτικά με τα στοιχεία της προηγούμενης έκθεσης (Ιούνιος 2020).</w:t>
      </w:r>
    </w:p>
    <w:p w:rsidR="006B6335" w:rsidRPr="0063518B" w:rsidRDefault="006B6335" w:rsidP="006B6335">
      <w:pPr>
        <w:jc w:val="both"/>
        <w:rPr>
          <w:sz w:val="22"/>
          <w:szCs w:val="22"/>
        </w:rPr>
      </w:pPr>
    </w:p>
    <w:p w:rsidR="006B6335" w:rsidRPr="0063518B" w:rsidRDefault="006B6335" w:rsidP="006B6335">
      <w:pPr>
        <w:jc w:val="both"/>
        <w:rPr>
          <w:sz w:val="22"/>
          <w:szCs w:val="22"/>
        </w:rPr>
      </w:pPr>
      <w:r w:rsidRPr="0063518B">
        <w:rPr>
          <w:sz w:val="22"/>
          <w:szCs w:val="22"/>
        </w:rPr>
        <w:t>Σύμφωνα με την ανάλυση της ΕΚΤ (</w:t>
      </w:r>
      <w:r w:rsidR="00DE3CA5" w:rsidRPr="0063518B">
        <w:rPr>
          <w:sz w:val="22"/>
          <w:szCs w:val="22"/>
        </w:rPr>
        <w:t>Σεπτέ</w:t>
      </w:r>
      <w:r w:rsidRPr="0063518B">
        <w:rPr>
          <w:sz w:val="22"/>
          <w:szCs w:val="22"/>
        </w:rPr>
        <w:t>μβριος 2020), τα σημαντικά μέτρα δημοσιονομικής και ν</w:t>
      </w:r>
      <w:r w:rsidRPr="0063518B">
        <w:rPr>
          <w:sz w:val="22"/>
          <w:szCs w:val="22"/>
        </w:rPr>
        <w:t>ο</w:t>
      </w:r>
      <w:r w:rsidRPr="0063518B">
        <w:rPr>
          <w:sz w:val="22"/>
          <w:szCs w:val="22"/>
        </w:rPr>
        <w:t>μισματικής πολιτικής, καθώς και τα μέτρα πολιτικής για την αγορά εργασίας που έχουν ληφθεί, θα συμβάλουν στη στήριξη των εισοδημάτων, στη μείωση της απώλειας θέσεων εργασίας, στη συγκρ</w:t>
      </w:r>
      <w:r w:rsidRPr="0063518B">
        <w:rPr>
          <w:sz w:val="22"/>
          <w:szCs w:val="22"/>
        </w:rPr>
        <w:t>ά</w:t>
      </w:r>
      <w:r w:rsidRPr="0063518B">
        <w:rPr>
          <w:sz w:val="22"/>
          <w:szCs w:val="22"/>
        </w:rPr>
        <w:t>τηση περιπτώσεων χρεοκοπίας και θα επιτύχουν σε μεγάλο βαθμό να συγκρατήσουν βραχυπρόθεσμα τις αρνητικές επιδράσεις ανατροφοδότησης μεταξύ πραγματικής οικονομίας και χρηματοπιστωτικού τομέα. Ωστόσο, οι συνθήκες στην αγορά εργασίας στη ζώνη του ευρώ γίνονται λιγότερο ευνοϊκές για τα επόμενα δύο έτη. Το ποσοστό ανεργίας εκτιμάται ότι θα διαμορφωθεί σε 9,4% και 8,9% το 2021 και 2022 αντίστοιχα, έναντι 8,3% το 2020.</w:t>
      </w:r>
    </w:p>
    <w:p w:rsidR="006B6335" w:rsidRPr="0063518B" w:rsidRDefault="006B6335" w:rsidP="006B6335">
      <w:pPr>
        <w:jc w:val="both"/>
        <w:rPr>
          <w:sz w:val="22"/>
          <w:szCs w:val="22"/>
        </w:rPr>
      </w:pPr>
    </w:p>
    <w:p w:rsidR="006B6335" w:rsidRPr="0063518B" w:rsidRDefault="006B6335" w:rsidP="006B6335">
      <w:pPr>
        <w:jc w:val="both"/>
        <w:rPr>
          <w:sz w:val="22"/>
          <w:szCs w:val="22"/>
        </w:rPr>
      </w:pPr>
      <w:r w:rsidRPr="0063518B">
        <w:rPr>
          <w:sz w:val="22"/>
          <w:szCs w:val="22"/>
        </w:rPr>
        <w:t>Εν κατακλείδι, μετά την προβλεπόμενη συρρίκνωση της παγκόσμιας οικονομίας το 2020, αναμένεται ανάκαμψη της οικονομικής δραστηριότητας το 2021. Οι προοπτικές ανάκαμψης, τόσο της ευρωπα</w:t>
      </w:r>
      <w:r w:rsidRPr="0063518B">
        <w:rPr>
          <w:sz w:val="22"/>
          <w:szCs w:val="22"/>
        </w:rPr>
        <w:t>ϊ</w:t>
      </w:r>
      <w:r w:rsidRPr="0063518B">
        <w:rPr>
          <w:sz w:val="22"/>
          <w:szCs w:val="22"/>
        </w:rPr>
        <w:t>κής όσο και της παγκόσμιας οικονομίας, εξαρτώνται αφενός από τη</w:t>
      </w:r>
      <w:r w:rsidR="00341B1F">
        <w:rPr>
          <w:sz w:val="22"/>
          <w:szCs w:val="22"/>
        </w:rPr>
        <w:t xml:space="preserve"> (διαφαινόμενη) </w:t>
      </w:r>
      <w:r w:rsidRPr="0063518B">
        <w:rPr>
          <w:sz w:val="22"/>
          <w:szCs w:val="22"/>
        </w:rPr>
        <w:t xml:space="preserve"> </w:t>
      </w:r>
      <w:r w:rsidR="00341B1F">
        <w:rPr>
          <w:sz w:val="22"/>
          <w:szCs w:val="22"/>
        </w:rPr>
        <w:t>αποτελεσματικ</w:t>
      </w:r>
      <w:r w:rsidR="00341B1F">
        <w:rPr>
          <w:sz w:val="22"/>
          <w:szCs w:val="22"/>
        </w:rPr>
        <w:t>ό</w:t>
      </w:r>
      <w:r w:rsidR="00341B1F">
        <w:rPr>
          <w:sz w:val="22"/>
          <w:szCs w:val="22"/>
        </w:rPr>
        <w:t>τητα των εμβολίων που αναπτύσσονται</w:t>
      </w:r>
      <w:r w:rsidRPr="0063518B">
        <w:rPr>
          <w:sz w:val="22"/>
          <w:szCs w:val="22"/>
        </w:rPr>
        <w:t xml:space="preserve"> για την αντιμετώπιση του κορωνοϊού, προκειμένου να τεθεί υπό έλεγχο η πανδημία και αφετέρου από την ένταση των υποστηρικτικών μέτρων πολιτικής που λαμβάνονται σε εθνικό και ευρωπαϊκό ή διεθνές επίπεδο, αλλά και από τη συνέχιση της διευκολυντ</w:t>
      </w:r>
      <w:r w:rsidRPr="0063518B">
        <w:rPr>
          <w:sz w:val="22"/>
          <w:szCs w:val="22"/>
        </w:rPr>
        <w:t>ι</w:t>
      </w:r>
      <w:r w:rsidRPr="0063518B">
        <w:rPr>
          <w:sz w:val="22"/>
          <w:szCs w:val="22"/>
        </w:rPr>
        <w:t>κής νομισματικής πολιτικής, η οποία συμβάλλει στην ανάκαμψη τόσο της εγχώριας όσο και της εξ</w:t>
      </w:r>
      <w:r w:rsidRPr="0063518B">
        <w:rPr>
          <w:sz w:val="22"/>
          <w:szCs w:val="22"/>
        </w:rPr>
        <w:t>ω</w:t>
      </w:r>
      <w:r w:rsidRPr="0063518B">
        <w:rPr>
          <w:sz w:val="22"/>
          <w:szCs w:val="22"/>
        </w:rPr>
        <w:t>τερικής ζήτησης.</w:t>
      </w:r>
    </w:p>
    <w:p w:rsidR="006B6335" w:rsidRPr="0063518B" w:rsidRDefault="006B6335" w:rsidP="006B6335">
      <w:pPr>
        <w:jc w:val="both"/>
        <w:rPr>
          <w:sz w:val="22"/>
          <w:szCs w:val="22"/>
        </w:rPr>
      </w:pPr>
    </w:p>
    <w:p w:rsidR="006B6335" w:rsidRDefault="006B6335" w:rsidP="006B6335">
      <w:pPr>
        <w:jc w:val="both"/>
        <w:rPr>
          <w:sz w:val="22"/>
          <w:szCs w:val="22"/>
        </w:rPr>
      </w:pPr>
      <w:r w:rsidRPr="0063518B">
        <w:rPr>
          <w:sz w:val="22"/>
          <w:szCs w:val="22"/>
        </w:rPr>
        <w:t>Ωστόσο, πέραν της πανδημίας, τροχοπέδη στην πορεία της παγκόσμιας οικονομίας αποτελεί η αναζ</w:t>
      </w:r>
      <w:r w:rsidRPr="0063518B">
        <w:rPr>
          <w:sz w:val="22"/>
          <w:szCs w:val="22"/>
        </w:rPr>
        <w:t>ω</w:t>
      </w:r>
      <w:r w:rsidRPr="0063518B">
        <w:rPr>
          <w:sz w:val="22"/>
          <w:szCs w:val="22"/>
        </w:rPr>
        <w:t xml:space="preserve">πύρωση υφιστάμενων κινδύνων, όπως η περαιτέρω κλιμάκωση των γεωπολιτικών και πολιτικών </w:t>
      </w:r>
      <w:r w:rsidRPr="0063518B">
        <w:rPr>
          <w:sz w:val="22"/>
          <w:szCs w:val="22"/>
        </w:rPr>
        <w:t>ε</w:t>
      </w:r>
      <w:r w:rsidRPr="0063518B">
        <w:rPr>
          <w:sz w:val="22"/>
          <w:szCs w:val="22"/>
        </w:rPr>
        <w:t xml:space="preserve">ντάσεων, οι πιέσεις των μεταναστευτικών ροών, η </w:t>
      </w:r>
      <w:r w:rsidR="001665DC">
        <w:rPr>
          <w:sz w:val="22"/>
          <w:szCs w:val="22"/>
        </w:rPr>
        <w:t xml:space="preserve">ενίσχυση </w:t>
      </w:r>
      <w:r w:rsidRPr="0063518B">
        <w:rPr>
          <w:sz w:val="22"/>
          <w:szCs w:val="22"/>
        </w:rPr>
        <w:t>των εμπορικών εντάσεων μεταξύ των μ</w:t>
      </w:r>
      <w:r w:rsidRPr="0063518B">
        <w:rPr>
          <w:sz w:val="22"/>
          <w:szCs w:val="22"/>
        </w:rPr>
        <w:t>ε</w:t>
      </w:r>
      <w:r w:rsidRPr="0063518B">
        <w:rPr>
          <w:sz w:val="22"/>
          <w:szCs w:val="22"/>
        </w:rPr>
        <w:t>γάλων οικονομιών, η μη-συμφωνία του Ηνωμένου Βασιλείου και των χωρών της Ευρωζώνης για τις διμερείς εμπορικές συναλλαγές. Επιπλέον, στις προκλήσεις που αντιμετωπίζει η διεθνής οικονομία, τόσο σε βραχυπρόθεσμο, όσο και σε μακροπρόθεσμο επίπεδο, προστίθενται η αύξηση των μακροο</w:t>
      </w:r>
      <w:r w:rsidRPr="0063518B">
        <w:rPr>
          <w:sz w:val="22"/>
          <w:szCs w:val="22"/>
        </w:rPr>
        <w:t>ι</w:t>
      </w:r>
      <w:r w:rsidRPr="0063518B">
        <w:rPr>
          <w:sz w:val="22"/>
          <w:szCs w:val="22"/>
        </w:rPr>
        <w:t>κονομικών ανισορροπιών, η χαμηλή συνολική παραγωγικότητα, η κλιματική αλλαγή, η ψηφιοποίηση, η καινοτομία, ο αυξανόμενος βαθμός συγκέντρωσης της αγοράς και η αύξηση των κοινωνικών ανισ</w:t>
      </w:r>
      <w:r w:rsidRPr="0063518B">
        <w:rPr>
          <w:sz w:val="22"/>
          <w:szCs w:val="22"/>
        </w:rPr>
        <w:t>ο</w:t>
      </w:r>
      <w:r w:rsidRPr="0063518B">
        <w:rPr>
          <w:sz w:val="22"/>
          <w:szCs w:val="22"/>
        </w:rPr>
        <w:t>τήτων. Στις αντίξοες συνθήκες της παγκόσμιας υγειονομικής κρίσης</w:t>
      </w:r>
      <w:r w:rsidR="009D77A7" w:rsidRPr="0063518B">
        <w:rPr>
          <w:sz w:val="22"/>
          <w:szCs w:val="22"/>
        </w:rPr>
        <w:t>,</w:t>
      </w:r>
      <w:r w:rsidRPr="0063518B">
        <w:rPr>
          <w:sz w:val="22"/>
          <w:szCs w:val="22"/>
        </w:rPr>
        <w:t xml:space="preserve"> οι προοπτικές ανάκαμψης για την παγκόσμια οικονομία και ειδικότερα για τη ζώνη του ευρώ περιβάλλονται </w:t>
      </w:r>
      <w:r w:rsidR="00341B1F">
        <w:rPr>
          <w:sz w:val="22"/>
          <w:szCs w:val="22"/>
        </w:rPr>
        <w:t xml:space="preserve">ακόμα </w:t>
      </w:r>
      <w:r w:rsidRPr="0063518B">
        <w:rPr>
          <w:sz w:val="22"/>
          <w:szCs w:val="22"/>
        </w:rPr>
        <w:t>από υψηλή αβ</w:t>
      </w:r>
      <w:r w:rsidRPr="0063518B">
        <w:rPr>
          <w:sz w:val="22"/>
          <w:szCs w:val="22"/>
        </w:rPr>
        <w:t>ε</w:t>
      </w:r>
      <w:r w:rsidRPr="0063518B">
        <w:rPr>
          <w:sz w:val="22"/>
          <w:szCs w:val="22"/>
        </w:rPr>
        <w:t>βαιότητα και σημαντικούς κινδύνους.</w:t>
      </w:r>
    </w:p>
    <w:p w:rsidR="0063518B" w:rsidRDefault="0063518B" w:rsidP="006B6335">
      <w:pPr>
        <w:jc w:val="both"/>
        <w:rPr>
          <w:sz w:val="22"/>
          <w:szCs w:val="22"/>
        </w:rPr>
      </w:pPr>
    </w:p>
    <w:p w:rsidR="0063518B" w:rsidRDefault="0063518B" w:rsidP="006B6335">
      <w:pPr>
        <w:jc w:val="both"/>
        <w:rPr>
          <w:sz w:val="22"/>
          <w:szCs w:val="22"/>
        </w:rPr>
      </w:pPr>
    </w:p>
    <w:p w:rsidR="0063518B" w:rsidRPr="0063518B" w:rsidRDefault="0063518B" w:rsidP="006B6335">
      <w:pPr>
        <w:jc w:val="both"/>
        <w:rPr>
          <w:sz w:val="22"/>
          <w:szCs w:val="22"/>
        </w:rPr>
      </w:pPr>
    </w:p>
    <w:p w:rsidR="008771D5" w:rsidRPr="008771D5" w:rsidRDefault="008771D5" w:rsidP="008771D5">
      <w:pPr>
        <w:jc w:val="both"/>
        <w:rPr>
          <w:b/>
          <w:color w:val="000080"/>
        </w:rPr>
      </w:pPr>
      <w:r w:rsidRPr="008771D5">
        <w:rPr>
          <w:b/>
          <w:color w:val="000080"/>
        </w:rPr>
        <w:lastRenderedPageBreak/>
        <w:t>Η ενιαία νομισματική πολιτική στη ζώνη του ευρώ</w:t>
      </w:r>
    </w:p>
    <w:p w:rsidR="008771D5" w:rsidRPr="008771D5" w:rsidRDefault="008771D5" w:rsidP="008771D5">
      <w:pPr>
        <w:pStyle w:val="13"/>
        <w:jc w:val="both"/>
      </w:pPr>
    </w:p>
    <w:p w:rsidR="008771D5" w:rsidRPr="0063518B" w:rsidRDefault="008771D5" w:rsidP="008771D5">
      <w:pPr>
        <w:jc w:val="both"/>
        <w:rPr>
          <w:sz w:val="22"/>
        </w:rPr>
      </w:pPr>
      <w:r w:rsidRPr="0063518B">
        <w:rPr>
          <w:sz w:val="22"/>
        </w:rPr>
        <w:t xml:space="preserve">Ο ρυθμός ανόδου της οικονομικής δραστηριότητας στη ζώνη του ευρώ παρουσίασε το 2018 και το 2019 ενδείξεις επιβράδυνσης υπό την επίδραση γεωπολιτικών κινδύνων, της υιοθέτησης μέτρων </w:t>
      </w:r>
      <w:r w:rsidRPr="0063518B">
        <w:rPr>
          <w:sz w:val="22"/>
        </w:rPr>
        <w:t>ε</w:t>
      </w:r>
      <w:r w:rsidRPr="0063518B">
        <w:rPr>
          <w:sz w:val="22"/>
        </w:rPr>
        <w:t>μπορικού προστατευτισμού στην παγκόσμια οικονομία και δυσμενών εξελίξεων σε ορισμένες αν</w:t>
      </w:r>
      <w:r w:rsidRPr="0063518B">
        <w:rPr>
          <w:sz w:val="22"/>
        </w:rPr>
        <w:t>α</w:t>
      </w:r>
      <w:r w:rsidRPr="0063518B">
        <w:rPr>
          <w:sz w:val="22"/>
        </w:rPr>
        <w:t xml:space="preserve">δυόμενες αγορές. Συγκεκριμένα, ο ετήσιος ρυθμός ανόδου του πραγματικού ΑΕΠ στη ζώνη </w:t>
      </w:r>
      <w:r w:rsidR="001665DC">
        <w:rPr>
          <w:sz w:val="22"/>
        </w:rPr>
        <w:t>του ευρώ είχε διαμορφωθεί σε 1,3</w:t>
      </w:r>
      <w:r w:rsidRPr="0063518B">
        <w:rPr>
          <w:sz w:val="22"/>
        </w:rPr>
        <w:t>% το 2019 έναντι 1,</w:t>
      </w:r>
      <w:r w:rsidR="001665DC">
        <w:rPr>
          <w:sz w:val="22"/>
        </w:rPr>
        <w:t>9</w:t>
      </w:r>
      <w:r w:rsidRPr="0063518B">
        <w:rPr>
          <w:sz w:val="22"/>
        </w:rPr>
        <w:t xml:space="preserve">% το 2018. </w:t>
      </w:r>
    </w:p>
    <w:p w:rsidR="008771D5" w:rsidRPr="0063518B" w:rsidRDefault="008771D5" w:rsidP="008771D5">
      <w:pPr>
        <w:jc w:val="both"/>
        <w:rPr>
          <w:sz w:val="22"/>
        </w:rPr>
      </w:pPr>
    </w:p>
    <w:p w:rsidR="008771D5" w:rsidRPr="0063518B" w:rsidRDefault="008771D5" w:rsidP="008771D5">
      <w:pPr>
        <w:jc w:val="both"/>
        <w:rPr>
          <w:sz w:val="22"/>
        </w:rPr>
      </w:pPr>
      <w:r w:rsidRPr="0063518B">
        <w:rPr>
          <w:sz w:val="22"/>
        </w:rPr>
        <w:t>Η εξάπλωση της πανδημίας του κορωνοϊού στις αρχές του 2020 και τα επακόλουθα μέτρα κοινωνικής αποστασιοποίησης που ελήφθησαν για τον περιορισμό της</w:t>
      </w:r>
      <w:r w:rsidR="009D77A7" w:rsidRPr="0063518B">
        <w:rPr>
          <w:sz w:val="22"/>
        </w:rPr>
        <w:t>,</w:t>
      </w:r>
      <w:r w:rsidRPr="0063518B">
        <w:rPr>
          <w:sz w:val="22"/>
        </w:rPr>
        <w:t xml:space="preserve"> επέφεραν σοβαρή επιδείνωση στις προ</w:t>
      </w:r>
      <w:r w:rsidRPr="0063518B">
        <w:rPr>
          <w:sz w:val="22"/>
        </w:rPr>
        <w:t>ο</w:t>
      </w:r>
      <w:r w:rsidRPr="0063518B">
        <w:rPr>
          <w:sz w:val="22"/>
        </w:rPr>
        <w:t>πτικές της παγκόσμιας οικονομίας και δημιούργησαν συνθήκες έντονης αβεβαιότητας. Στη ζώνη του ευρώ καταγράφηκε πρωτοφανής συρρίκνωση της οικονομικής δραστηριότητας και ουσιαστική επιδε</w:t>
      </w:r>
      <w:r w:rsidRPr="0063518B">
        <w:rPr>
          <w:sz w:val="22"/>
        </w:rPr>
        <w:t>ί</w:t>
      </w:r>
      <w:r w:rsidRPr="0063518B">
        <w:rPr>
          <w:sz w:val="22"/>
        </w:rPr>
        <w:t>νωση των συνθηκών στην αγορά εργασίας. Ειδικότερα, το πραγματικό ΑΕΠ στη ζώνη του ευρώ συ</w:t>
      </w:r>
      <w:r w:rsidRPr="0063518B">
        <w:rPr>
          <w:sz w:val="22"/>
        </w:rPr>
        <w:t>ρ</w:t>
      </w:r>
      <w:r w:rsidRPr="0063518B">
        <w:rPr>
          <w:sz w:val="22"/>
        </w:rPr>
        <w:t xml:space="preserve">ρικνώθηκε </w:t>
      </w:r>
      <w:r w:rsidR="00A874B2">
        <w:rPr>
          <w:sz w:val="22"/>
        </w:rPr>
        <w:t>σε όρους ετήσιων μεταβολών</w:t>
      </w:r>
      <w:r w:rsidRPr="0063518B">
        <w:rPr>
          <w:sz w:val="22"/>
        </w:rPr>
        <w:t xml:space="preserve"> κατά 3,3% το α’ τρίμηνο του 2020, κατά 14,8% τ</w:t>
      </w:r>
      <w:r w:rsidR="00E37306">
        <w:rPr>
          <w:sz w:val="22"/>
        </w:rPr>
        <w:t>ο β’ τρίμ</w:t>
      </w:r>
      <w:r w:rsidR="00E37306">
        <w:rPr>
          <w:sz w:val="22"/>
        </w:rPr>
        <w:t>η</w:t>
      </w:r>
      <w:r w:rsidR="00E37306">
        <w:rPr>
          <w:sz w:val="22"/>
        </w:rPr>
        <w:t>νο και κατά 4,4</w:t>
      </w:r>
      <w:r w:rsidRPr="0063518B">
        <w:rPr>
          <w:sz w:val="22"/>
        </w:rPr>
        <w:t>% το γ’ τρίμηνο του έτους. Η πανδημία και τα μέτρα περιορισμού της</w:t>
      </w:r>
      <w:r w:rsidR="009D77A7" w:rsidRPr="0063518B">
        <w:rPr>
          <w:sz w:val="22"/>
        </w:rPr>
        <w:t>,</w:t>
      </w:r>
      <w:r w:rsidRPr="0063518B">
        <w:rPr>
          <w:sz w:val="22"/>
        </w:rPr>
        <w:t xml:space="preserve"> είχαν αρνητικό αντίκτυπο στην παραγωγική δυναμικότητα της οικονομίας και την εγχώρια ζήτηση</w:t>
      </w:r>
      <w:r w:rsidR="009D77A7" w:rsidRPr="0063518B">
        <w:rPr>
          <w:sz w:val="22"/>
        </w:rPr>
        <w:t>,</w:t>
      </w:r>
      <w:r w:rsidRPr="0063518B">
        <w:rPr>
          <w:sz w:val="22"/>
        </w:rPr>
        <w:t xml:space="preserve"> κυρίως όσον </w:t>
      </w:r>
      <w:r w:rsidRPr="0063518B">
        <w:rPr>
          <w:sz w:val="22"/>
        </w:rPr>
        <w:t>α</w:t>
      </w:r>
      <w:r w:rsidRPr="0063518B">
        <w:rPr>
          <w:sz w:val="22"/>
        </w:rPr>
        <w:t>φορά τον κλάδο των υπηρεσιών - που επηρεάζεται κατεξοχήν από τα εν λόγω μέτρα - και της μετ</w:t>
      </w:r>
      <w:r w:rsidRPr="0063518B">
        <w:rPr>
          <w:sz w:val="22"/>
        </w:rPr>
        <w:t>α</w:t>
      </w:r>
      <w:r w:rsidRPr="0063518B">
        <w:rPr>
          <w:sz w:val="22"/>
        </w:rPr>
        <w:t>ποίησης. Στη συνέχεια, παράλληλα με την προοδευτική χαλάρωση των μέτρων αντιμετώπισης της πανδημίας</w:t>
      </w:r>
      <w:r w:rsidR="009D77A7" w:rsidRPr="0063518B">
        <w:rPr>
          <w:sz w:val="22"/>
        </w:rPr>
        <w:t>,</w:t>
      </w:r>
      <w:r w:rsidRPr="0063518B">
        <w:rPr>
          <w:sz w:val="22"/>
        </w:rPr>
        <w:t xml:space="preserve"> υπήρχαν ενδείξεις ισχυρής ανάκαμψης της εγχώριας ζήτησης και της οικονομικής δρ</w:t>
      </w:r>
      <w:r w:rsidRPr="0063518B">
        <w:rPr>
          <w:sz w:val="22"/>
        </w:rPr>
        <w:t>α</w:t>
      </w:r>
      <w:r w:rsidRPr="0063518B">
        <w:rPr>
          <w:sz w:val="22"/>
        </w:rPr>
        <w:t>στηριότητας στη διάρκεια του γ’ τριμήνου. Ωστόσο, το επίπεδο της οικονομικής δραστηριότητας π</w:t>
      </w:r>
      <w:r w:rsidRPr="0063518B">
        <w:rPr>
          <w:sz w:val="22"/>
        </w:rPr>
        <w:t>α</w:t>
      </w:r>
      <w:r w:rsidRPr="0063518B">
        <w:rPr>
          <w:sz w:val="22"/>
        </w:rPr>
        <w:t>ραμένει αισθητά χαμηλότερο σε σχέση με την περίοδο πριν από την πανδημία, ενώ η αναζωπύρωση της μετάδοσης του ιού</w:t>
      </w:r>
      <w:r w:rsidR="009D77A7" w:rsidRPr="0063518B">
        <w:rPr>
          <w:sz w:val="22"/>
        </w:rPr>
        <w:t>,</w:t>
      </w:r>
      <w:r w:rsidRPr="0063518B">
        <w:rPr>
          <w:sz w:val="22"/>
        </w:rPr>
        <w:t xml:space="preserve"> μετά την καλοκαιρινή περίοδο</w:t>
      </w:r>
      <w:r w:rsidR="009D77A7" w:rsidRPr="0063518B">
        <w:rPr>
          <w:sz w:val="22"/>
        </w:rPr>
        <w:t>,</w:t>
      </w:r>
      <w:r w:rsidRPr="0063518B">
        <w:rPr>
          <w:sz w:val="22"/>
        </w:rPr>
        <w:t xml:space="preserve"> επηρεάζει δυσμενώς τις βραχυπρόθεσμες πρ</w:t>
      </w:r>
      <w:r w:rsidRPr="0063518B">
        <w:rPr>
          <w:sz w:val="22"/>
        </w:rPr>
        <w:t>ο</w:t>
      </w:r>
      <w:r w:rsidRPr="0063518B">
        <w:rPr>
          <w:sz w:val="22"/>
        </w:rPr>
        <w:t xml:space="preserve">οπτικές για την ανάκαμψη. </w:t>
      </w:r>
    </w:p>
    <w:p w:rsidR="008771D5" w:rsidRPr="0063518B" w:rsidRDefault="008771D5" w:rsidP="008771D5">
      <w:pPr>
        <w:jc w:val="both"/>
        <w:rPr>
          <w:sz w:val="22"/>
        </w:rPr>
      </w:pPr>
    </w:p>
    <w:p w:rsidR="008771D5" w:rsidRPr="0063518B" w:rsidRDefault="008771D5" w:rsidP="008771D5">
      <w:pPr>
        <w:jc w:val="both"/>
        <w:rPr>
          <w:sz w:val="22"/>
        </w:rPr>
      </w:pPr>
      <w:r w:rsidRPr="0063518B">
        <w:rPr>
          <w:sz w:val="22"/>
        </w:rPr>
        <w:t xml:space="preserve">Οι κίνδυνοι για τις προοπτικές της οικονομικής δραστηριότητας στη ζώνη του ευρώ θεωρούνται </w:t>
      </w:r>
      <w:r w:rsidR="00A874B2">
        <w:rPr>
          <w:sz w:val="22"/>
        </w:rPr>
        <w:t>άμ</w:t>
      </w:r>
      <w:r w:rsidR="00A874B2">
        <w:rPr>
          <w:sz w:val="22"/>
        </w:rPr>
        <w:t>ε</w:t>
      </w:r>
      <w:r w:rsidR="00A874B2">
        <w:rPr>
          <w:sz w:val="22"/>
        </w:rPr>
        <w:t>σα</w:t>
      </w:r>
      <w:r w:rsidR="00A874B2" w:rsidRPr="0063518B">
        <w:rPr>
          <w:sz w:val="22"/>
        </w:rPr>
        <w:t xml:space="preserve"> </w:t>
      </w:r>
      <w:r w:rsidRPr="0063518B">
        <w:rPr>
          <w:sz w:val="22"/>
        </w:rPr>
        <w:t>συνδεόμενοι με την πρόσφατη αναζωπύρωση των κρουσμάτων, την ενίσχυση των μέτρων περιορ</w:t>
      </w:r>
      <w:r w:rsidRPr="0063518B">
        <w:rPr>
          <w:sz w:val="22"/>
        </w:rPr>
        <w:t>ι</w:t>
      </w:r>
      <w:r w:rsidRPr="0063518B">
        <w:rPr>
          <w:sz w:val="22"/>
        </w:rPr>
        <w:t>σμού της πανδημίας και την υψηλή αβεβαιότητα για τη διάρκειά της και τις επιπτώσεις της στις οικ</w:t>
      </w:r>
      <w:r w:rsidRPr="0063518B">
        <w:rPr>
          <w:sz w:val="22"/>
        </w:rPr>
        <w:t>ο</w:t>
      </w:r>
      <w:r w:rsidRPr="0063518B">
        <w:rPr>
          <w:sz w:val="22"/>
        </w:rPr>
        <w:t>νομικές και χρηματοπιστωτικές συνθήκες. Ο βαθμός και η ένταση της οικονομικής ανάκαμψης περ</w:t>
      </w:r>
      <w:r w:rsidRPr="0063518B">
        <w:rPr>
          <w:sz w:val="22"/>
        </w:rPr>
        <w:t>ι</w:t>
      </w:r>
      <w:r w:rsidRPr="0063518B">
        <w:rPr>
          <w:sz w:val="22"/>
        </w:rPr>
        <w:t xml:space="preserve">βάλλονται από εξαιρετικά υψηλή αβεβαιότητα και συναρτώνται άμεσα από την εξέλιξη της πανδημίας και την επιτυχία των μέτρων περιορισμού </w:t>
      </w:r>
      <w:r w:rsidR="007A3B88">
        <w:rPr>
          <w:sz w:val="22"/>
        </w:rPr>
        <w:t>της, πρωτίστως από τη (διαφαινόμενη) αποτελεσματικότητα των εμβολίων</w:t>
      </w:r>
      <w:r w:rsidRPr="0063518B">
        <w:rPr>
          <w:sz w:val="22"/>
        </w:rPr>
        <w:t>.</w:t>
      </w:r>
    </w:p>
    <w:p w:rsidR="008771D5" w:rsidRPr="0063518B" w:rsidRDefault="008771D5" w:rsidP="008771D5">
      <w:pPr>
        <w:jc w:val="both"/>
        <w:rPr>
          <w:sz w:val="22"/>
        </w:rPr>
      </w:pPr>
    </w:p>
    <w:p w:rsidR="008771D5" w:rsidRPr="0063518B" w:rsidRDefault="008771D5" w:rsidP="008771D5">
      <w:pPr>
        <w:jc w:val="both"/>
        <w:rPr>
          <w:sz w:val="22"/>
        </w:rPr>
      </w:pPr>
      <w:r w:rsidRPr="0063518B">
        <w:rPr>
          <w:sz w:val="22"/>
        </w:rPr>
        <w:t xml:space="preserve">Ο ρυθμός πληθωρισμού στη ζώνη του ευρώ παρουσίασε κατά τη διάρκεια της πανδημίας σημαντική επιβράδυνση, κυρίως λόγω υποχώρησης των τιμών της ενέργειας και γενικότερα λόγω της υποτονικής ζήτησης και σημαντικής επιδείνωσης στην αγορά εργασίας (Οκτώβριος 2020: -0,3%, Δεκέμβριος 2019: 1,3%). Ο πυρήνας του πληθωρισμού (δηλαδή ο ρυθμός μεταβολής των τιμών εκτός ενέργειας και ειδών διατροφής) υποχώρησε σημαντικά από τον Αύγουστο και μετά (Οκτώβριος 2020: 0,2%, Δεκέμβριος 2019: 1,3%), ενώ και οι πληθωριστικές προσδοκίες διατηρούνται σε πολύ χαμηλά επίπεδα ανάλογα με εκείνα προ της πανδημίας. </w:t>
      </w:r>
    </w:p>
    <w:p w:rsidR="008771D5" w:rsidRPr="0063518B" w:rsidRDefault="008771D5" w:rsidP="008771D5">
      <w:pPr>
        <w:jc w:val="both"/>
        <w:rPr>
          <w:sz w:val="22"/>
        </w:rPr>
      </w:pPr>
    </w:p>
    <w:p w:rsidR="008771D5" w:rsidRPr="0063518B" w:rsidRDefault="008771D5" w:rsidP="008771D5">
      <w:pPr>
        <w:jc w:val="both"/>
        <w:rPr>
          <w:sz w:val="22"/>
        </w:rPr>
      </w:pPr>
      <w:r w:rsidRPr="0063518B">
        <w:rPr>
          <w:sz w:val="22"/>
        </w:rPr>
        <w:t xml:space="preserve">Σύμφωνα με τις πλέον πρόσφατες μακροοικονομικές προβολές της Ευρωπαϊκής Κεντρικής Τράπεζας (ΕΚΤ) (Σεπτέμβριος 2020), ο ετήσιος ρυθμός πληθωρισμού αναμένεται να διαμορφωθεί κατά μέσο όρο στα κράτη-μέλη της ζώνης του ευρώ σε 0,3% για το 2020, σε 1,0% το 2021 και σε 1,3% το 2022. Ο πυρήνας του πληθωρισμού αναμένεται να ενισχυθεί μεσοπρόθεσμα, ως αποτέλεσμα των μέτρων νομισματικής και δημοσιονομικής πολιτικής. </w:t>
      </w:r>
    </w:p>
    <w:p w:rsidR="009D77A7" w:rsidRPr="0063518B" w:rsidRDefault="009D77A7" w:rsidP="008771D5">
      <w:pPr>
        <w:jc w:val="both"/>
        <w:rPr>
          <w:sz w:val="22"/>
        </w:rPr>
      </w:pPr>
    </w:p>
    <w:p w:rsidR="008771D5" w:rsidRPr="0063518B" w:rsidRDefault="008771D5" w:rsidP="008771D5">
      <w:pPr>
        <w:jc w:val="both"/>
        <w:rPr>
          <w:sz w:val="22"/>
        </w:rPr>
      </w:pPr>
      <w:r w:rsidRPr="0063518B">
        <w:rPr>
          <w:sz w:val="22"/>
        </w:rPr>
        <w:t>Στη διάρκεια του 2020, το ΔΣ της ΕΚΤ δεν προέβη σε προσαρμογή των επιτοκίων πολιτικής, τα οποία κυμαίνονταν ήδη σε ιστορικά χαμηλά επίπεδα.</w:t>
      </w:r>
      <w:r w:rsidRPr="0063518B">
        <w:rPr>
          <w:sz w:val="22"/>
          <w:vertAlign w:val="superscript"/>
        </w:rPr>
        <w:footnoteReference w:id="5"/>
      </w:r>
      <w:r w:rsidRPr="0063518B">
        <w:rPr>
          <w:sz w:val="22"/>
        </w:rPr>
        <w:t xml:space="preserve"> Ωστόσο, για την άμβλυνση των συνεπειών της πα</w:t>
      </w:r>
      <w:r w:rsidRPr="0063518B">
        <w:rPr>
          <w:sz w:val="22"/>
        </w:rPr>
        <w:t>ν</w:t>
      </w:r>
      <w:r w:rsidRPr="0063518B">
        <w:rPr>
          <w:sz w:val="22"/>
        </w:rPr>
        <w:t xml:space="preserve">δημίας, το Ευρωσύστημα θέσπισε δέσμη μέτρων νομισματικής πολιτικής, η αποτελεσματικότητα των οποίων ενισχύεται από τα δημοσιονομικά και εποπτικά μέτρα που ελήφθησαν για τον ίδιο σκοπό. </w:t>
      </w:r>
    </w:p>
    <w:p w:rsidR="008771D5" w:rsidRPr="0063518B" w:rsidRDefault="008771D5" w:rsidP="008771D5">
      <w:pPr>
        <w:jc w:val="both"/>
        <w:rPr>
          <w:sz w:val="22"/>
        </w:rPr>
      </w:pPr>
    </w:p>
    <w:p w:rsidR="008771D5" w:rsidRPr="0063518B" w:rsidRDefault="008771D5" w:rsidP="008771D5">
      <w:pPr>
        <w:jc w:val="both"/>
        <w:rPr>
          <w:sz w:val="22"/>
        </w:rPr>
      </w:pPr>
      <w:r w:rsidRPr="0063518B">
        <w:rPr>
          <w:sz w:val="22"/>
        </w:rPr>
        <w:lastRenderedPageBreak/>
        <w:t xml:space="preserve">Με δεδομένη την ήδη διευκολυντική κατεύθυνση της νομισματικής πολιτικής, οι παρεμβάσεις αυτές αποσκοπούσαν στη διασφάλιση ευνοϊκών συνθηκών ρευστότητας για το τραπεζικό σύστημα, την </w:t>
      </w:r>
      <w:r w:rsidRPr="0063518B">
        <w:rPr>
          <w:sz w:val="22"/>
        </w:rPr>
        <w:t>α</w:t>
      </w:r>
      <w:r w:rsidRPr="0063518B">
        <w:rPr>
          <w:sz w:val="22"/>
        </w:rPr>
        <w:t>διάλειπτη ροή χρηματοδότησης προς τις επιχειρήσεις και τα νοικοκυριά και την αποτροπή μιας προ-κυκλικής αυστηροποίησης των χρηματοπιστωτικών συνθηκών για όλους τους τομείς της οικονομίας. Οι παρεμβάσεις αυτές αφορούν:</w:t>
      </w:r>
    </w:p>
    <w:p w:rsidR="008771D5" w:rsidRPr="0063518B" w:rsidRDefault="008771D5" w:rsidP="008771D5">
      <w:pPr>
        <w:jc w:val="both"/>
        <w:rPr>
          <w:sz w:val="22"/>
        </w:rPr>
      </w:pPr>
    </w:p>
    <w:p w:rsidR="008771D5" w:rsidRPr="0063518B" w:rsidRDefault="001665DC" w:rsidP="008771D5">
      <w:pPr>
        <w:jc w:val="both"/>
        <w:rPr>
          <w:sz w:val="22"/>
        </w:rPr>
      </w:pPr>
      <w:r>
        <w:rPr>
          <w:sz w:val="22"/>
        </w:rPr>
        <w:t>(Α) Ε</w:t>
      </w:r>
      <w:r w:rsidR="008771D5" w:rsidRPr="0063518B">
        <w:rPr>
          <w:sz w:val="22"/>
        </w:rPr>
        <w:t xml:space="preserve">υρείας κλίμακας αγορές τίτλων του δημόσιου και ιδιωτικού τομέα. Ειδικότερα, προκειμένου να ενισχυθεί επαρκώς η διευκολυντική κατεύθυνση της νομισματικής πολιτικής, στις 12 Μαρτίου 2020 το ΔΣ της ΕΚΤ προσέθεσε προσωρινά στο τρέχον διευρυμένο πρόγραμμα αγοράς τίτλων (Asset Purchase Programme – APP) ένα σύνολο επιπρόσθετων αγορών ύψους 120 δισ. ευρώ, στοχεύοντας άμεσα τα τμήματα της αγοράς όπου οι συνθήκες είχαν επιδεινωθεί ιδιαίτερα λόγω της πανδημίας, </w:t>
      </w:r>
      <w:r w:rsidR="008771D5" w:rsidRPr="0063518B">
        <w:rPr>
          <w:sz w:val="22"/>
        </w:rPr>
        <w:t>ό</w:t>
      </w:r>
      <w:r w:rsidR="008771D5" w:rsidRPr="0063518B">
        <w:rPr>
          <w:sz w:val="22"/>
        </w:rPr>
        <w:t>πως η αγορά εταιρικών ομολόγων, ενώ λίγο αργότερα τα πολύ βραχυπρόθεσμα εμπορικά χρεόγραφα (commercial paper</w:t>
      </w:r>
      <w:r w:rsidR="00861A34">
        <w:rPr>
          <w:sz w:val="22"/>
          <w:lang w:val="en-US"/>
        </w:rPr>
        <w:t>s</w:t>
      </w:r>
      <w:r w:rsidR="008771D5" w:rsidRPr="0063518B">
        <w:rPr>
          <w:sz w:val="22"/>
        </w:rPr>
        <w:t xml:space="preserve">) συμπεριελήφθησαν στο υφιστάμενο πρόγραμμα αγοράς εταιρικών ομολόγων μη τραπεζικών επιχειρήσεων. </w:t>
      </w:r>
    </w:p>
    <w:p w:rsidR="008771D5" w:rsidRPr="0063518B" w:rsidRDefault="008771D5" w:rsidP="008771D5">
      <w:pPr>
        <w:jc w:val="both"/>
        <w:rPr>
          <w:sz w:val="22"/>
        </w:rPr>
      </w:pPr>
    </w:p>
    <w:p w:rsidR="008771D5" w:rsidRPr="0063518B" w:rsidRDefault="008771D5" w:rsidP="008771D5">
      <w:pPr>
        <w:jc w:val="both"/>
        <w:rPr>
          <w:sz w:val="22"/>
        </w:rPr>
      </w:pPr>
      <w:r w:rsidRPr="0063518B">
        <w:rPr>
          <w:sz w:val="22"/>
        </w:rPr>
        <w:t>Ωστόσο, βασικό συστατικό στοιχείο των παρεμβάσεων του Ευρωσυστήματος αποτέλεσε η διεξαγωγή ενός νέου προγράμματος αγοράς τίτλων έκτακτης ανάγκης εν όψει της πανδημίας (Pandemic Emergency Purchase Programme − ΡΕPΡ), το οποίο θεσπίστηκε στις 18 Μαρτίου 2020 και έχει πρ</w:t>
      </w:r>
      <w:r w:rsidRPr="0063518B">
        <w:rPr>
          <w:sz w:val="22"/>
        </w:rPr>
        <w:t>ο</w:t>
      </w:r>
      <w:r w:rsidRPr="0063518B">
        <w:rPr>
          <w:sz w:val="22"/>
        </w:rPr>
        <w:t>σωρινό χαρακτήρα, ενώ οι καθαρές αγορές στο πλαίσιο του προγράμματος αυτού θα διαρκέσουν όσο το απαιτούν οι συνθήκες της πανδημίας, και τουλάχιστον μέχρι τα μέσα του 2021. Οι αγορές χρε</w:t>
      </w:r>
      <w:r w:rsidRPr="0063518B">
        <w:rPr>
          <w:sz w:val="22"/>
        </w:rPr>
        <w:t>ο</w:t>
      </w:r>
      <w:r w:rsidRPr="0063518B">
        <w:rPr>
          <w:sz w:val="22"/>
        </w:rPr>
        <w:t>γράφων στο πλαίσιο του έκτακτου προγράμματος αναμένεται να ανέλθουν συνολικά σε 1.350 δισ. ε</w:t>
      </w:r>
      <w:r w:rsidRPr="0063518B">
        <w:rPr>
          <w:sz w:val="22"/>
        </w:rPr>
        <w:t>υ</w:t>
      </w:r>
      <w:r w:rsidRPr="0063518B">
        <w:rPr>
          <w:sz w:val="22"/>
        </w:rPr>
        <w:t>ρώ και αφορούν όλους τους τίτλους του δημόσιου και του ιδιωτικού τομέα που είναι επιλέξιμοι στο τρέχον διευρυμένο πρόγραμμα αγοράς τίτλων. Με δεδομένο όμως ότι η πανδημία αποτελεί μία κοινή διαταραχή για όλα τα κράτη-μέλη και για να διασφαλιστεί η αποτελεσματική μετάδοση της νομισμ</w:t>
      </w:r>
      <w:r w:rsidRPr="0063518B">
        <w:rPr>
          <w:sz w:val="22"/>
        </w:rPr>
        <w:t>α</w:t>
      </w:r>
      <w:r w:rsidRPr="0063518B">
        <w:rPr>
          <w:sz w:val="22"/>
        </w:rPr>
        <w:t>τικής πολιτικής σε όλα τα τμήματα της αγοράς κρατικών ομολόγων της ζώνης του ευρώ, το ΔΣ της ΕΚΤ αποφάσισε ταυτόχρονα την επαναφορά της άρσης της ελάχιστης πιστοληπτικής διαβάθμισης για τίτλους που έχει εκδώσει το Ελληνικό Δημόσιο (waiver), ώστε οι τίτλοι αυτοί να καταστούν επιλέξ</w:t>
      </w:r>
      <w:r w:rsidRPr="0063518B">
        <w:rPr>
          <w:sz w:val="22"/>
        </w:rPr>
        <w:t>ι</w:t>
      </w:r>
      <w:r w:rsidRPr="0063518B">
        <w:rPr>
          <w:sz w:val="22"/>
        </w:rPr>
        <w:t>μοι για αγορά στο πλαίσιο του έκτακτου προγράμματος ΡΕPΡ. Στη λήψη της απόφασης αυτής συνετ</w:t>
      </w:r>
      <w:r w:rsidRPr="0063518B">
        <w:rPr>
          <w:sz w:val="22"/>
        </w:rPr>
        <w:t>έ</w:t>
      </w:r>
      <w:r w:rsidRPr="0063518B">
        <w:rPr>
          <w:sz w:val="22"/>
        </w:rPr>
        <w:t xml:space="preserve">λεσε και η συμμόρφωση της ελληνικής κυβέρνησης με τις δεσμεύσεις που έχει αναλάβει στο πλαίσιο ενισχυμένης εποπτείας της ελληνικής οικονομίας από τα ευρωπαϊκά θεσμικά όργανα. Τον Ιούνιο του 2020 το ΔΣ της ΕΚΤ αποφάσισε ότι θα επανεπενδύονται τα κεφάλαια που αποπληρώνονται καθώς λήγουν τα χρεόγραφα που αγοράζονται μέσω του PEPP τουλάχιστον μέχρι το τέλος του 2022. </w:t>
      </w:r>
    </w:p>
    <w:p w:rsidR="008771D5" w:rsidRPr="0063518B" w:rsidRDefault="008771D5" w:rsidP="008771D5">
      <w:pPr>
        <w:jc w:val="both"/>
        <w:rPr>
          <w:sz w:val="22"/>
        </w:rPr>
      </w:pPr>
    </w:p>
    <w:p w:rsidR="008771D5" w:rsidRPr="0063518B" w:rsidRDefault="008771D5" w:rsidP="008771D5">
      <w:pPr>
        <w:jc w:val="both"/>
        <w:rPr>
          <w:sz w:val="22"/>
        </w:rPr>
      </w:pPr>
      <w:r w:rsidRPr="0063518B">
        <w:rPr>
          <w:sz w:val="22"/>
        </w:rPr>
        <w:t xml:space="preserve">(Β) </w:t>
      </w:r>
      <w:r w:rsidR="001665DC">
        <w:rPr>
          <w:sz w:val="22"/>
        </w:rPr>
        <w:t>Τ</w:t>
      </w:r>
      <w:r w:rsidRPr="0063518B">
        <w:rPr>
          <w:sz w:val="22"/>
        </w:rPr>
        <w:t>η διενέργεια πρόσθετων πράξεων πιο μακροπρόθεσμης αναχρηματοδότησης του τραπεζικού σ</w:t>
      </w:r>
      <w:r w:rsidRPr="0063518B">
        <w:rPr>
          <w:sz w:val="22"/>
        </w:rPr>
        <w:t>υ</w:t>
      </w:r>
      <w:r w:rsidRPr="0063518B">
        <w:rPr>
          <w:sz w:val="22"/>
        </w:rPr>
        <w:t>στήματος με πολύ ευνοϊκά επιτόκια. Οι εν λόγω πράξεις είχαν προσωρινό χαρακτήρα και διεξήχθησαν μεταξύ Μαρτίου 2020 – Ιουνίου 2020 μέσω δημοπρασιών για τη χορήγηση ρευστότητας χωρίς ποσ</w:t>
      </w:r>
      <w:r w:rsidRPr="0063518B">
        <w:rPr>
          <w:sz w:val="22"/>
        </w:rPr>
        <w:t>ο</w:t>
      </w:r>
      <w:r w:rsidRPr="0063518B">
        <w:rPr>
          <w:sz w:val="22"/>
        </w:rPr>
        <w:t>τικό περιορισμό με σταθερό επιτόκιο, ίσο με το μέσο όρο του επιτοκίου στη διευκόλυνση αποδοχής καταθέσεων κατά τη διάρκεια κάθε πράξης, δηλ. με αρνητικό επιτόκιο -0,50%. Οι πρόσθετες αυτές πράξεις, επέτρεψαν στις τράπεζες να επωφεληθούν άμεσα από τα ιστορικώς χαμηλά (αρνητικά) επ</w:t>
      </w:r>
      <w:r w:rsidRPr="0063518B">
        <w:rPr>
          <w:sz w:val="22"/>
        </w:rPr>
        <w:t>ί</w:t>
      </w:r>
      <w:r w:rsidRPr="0063518B">
        <w:rPr>
          <w:sz w:val="22"/>
        </w:rPr>
        <w:t>πεδα κόστους δανεισμού, παρέχοντας ταυτόχρονα ευελιξία στις τράπεζες</w:t>
      </w:r>
      <w:r w:rsidR="00A00B16" w:rsidRPr="0063518B">
        <w:rPr>
          <w:sz w:val="22"/>
        </w:rPr>
        <w:t>,</w:t>
      </w:r>
      <w:r w:rsidRPr="0063518B">
        <w:rPr>
          <w:sz w:val="22"/>
        </w:rPr>
        <w:t xml:space="preserve"> ώστε να έχουν τη δυνατ</w:t>
      </w:r>
      <w:r w:rsidRPr="0063518B">
        <w:rPr>
          <w:sz w:val="22"/>
        </w:rPr>
        <w:t>ό</w:t>
      </w:r>
      <w:r w:rsidRPr="0063518B">
        <w:rPr>
          <w:sz w:val="22"/>
        </w:rPr>
        <w:t>τητα να επωφεληθούν από τους ευνοϊκούς όρους μεσοπρόθεσμα μετακυλίοντας την αντληθείσα ρε</w:t>
      </w:r>
      <w:r w:rsidRPr="0063518B">
        <w:rPr>
          <w:sz w:val="22"/>
        </w:rPr>
        <w:t>υ</w:t>
      </w:r>
      <w:r w:rsidRPr="0063518B">
        <w:rPr>
          <w:sz w:val="22"/>
        </w:rPr>
        <w:t xml:space="preserve">στότητα μέσω </w:t>
      </w:r>
      <w:r w:rsidR="00A00B16" w:rsidRPr="0063518B">
        <w:rPr>
          <w:sz w:val="22"/>
          <w:lang w:val="en-US"/>
        </w:rPr>
        <w:t>Long</w:t>
      </w:r>
      <w:r w:rsidR="00A00B16" w:rsidRPr="0063518B">
        <w:rPr>
          <w:sz w:val="22"/>
        </w:rPr>
        <w:t xml:space="preserve"> </w:t>
      </w:r>
      <w:r w:rsidR="00A00B16" w:rsidRPr="0063518B">
        <w:rPr>
          <w:sz w:val="22"/>
          <w:lang w:val="en-US"/>
        </w:rPr>
        <w:t>Term</w:t>
      </w:r>
      <w:r w:rsidR="00A00B16" w:rsidRPr="0063518B">
        <w:rPr>
          <w:sz w:val="22"/>
        </w:rPr>
        <w:t xml:space="preserve"> </w:t>
      </w:r>
      <w:r w:rsidR="00A00B16" w:rsidRPr="0063518B">
        <w:rPr>
          <w:sz w:val="22"/>
          <w:lang w:val="en-US"/>
        </w:rPr>
        <w:t>Refinancing</w:t>
      </w:r>
      <w:r w:rsidR="00A00B16" w:rsidRPr="0063518B">
        <w:rPr>
          <w:sz w:val="22"/>
        </w:rPr>
        <w:t xml:space="preserve"> </w:t>
      </w:r>
      <w:r w:rsidR="00A00B16" w:rsidRPr="0063518B">
        <w:rPr>
          <w:sz w:val="22"/>
          <w:lang w:val="en-US"/>
        </w:rPr>
        <w:t>Operations</w:t>
      </w:r>
      <w:r w:rsidR="00A00B16" w:rsidRPr="0063518B">
        <w:rPr>
          <w:sz w:val="22"/>
        </w:rPr>
        <w:t xml:space="preserve"> (</w:t>
      </w:r>
      <w:r w:rsidRPr="0063518B">
        <w:rPr>
          <w:sz w:val="22"/>
        </w:rPr>
        <w:t>LTRO</w:t>
      </w:r>
      <w:r w:rsidR="00A00B16" w:rsidRPr="0063518B">
        <w:rPr>
          <w:sz w:val="22"/>
        </w:rPr>
        <w:t>)</w:t>
      </w:r>
      <w:r w:rsidRPr="0063518B">
        <w:rPr>
          <w:sz w:val="22"/>
        </w:rPr>
        <w:t xml:space="preserve"> στην πράξη </w:t>
      </w:r>
      <w:r w:rsidR="00A00B16" w:rsidRPr="0063518B">
        <w:rPr>
          <w:sz w:val="22"/>
          <w:lang w:val="en-US"/>
        </w:rPr>
        <w:t>Targeted</w:t>
      </w:r>
      <w:r w:rsidR="00A00B16" w:rsidRPr="0063518B">
        <w:rPr>
          <w:sz w:val="22"/>
        </w:rPr>
        <w:t xml:space="preserve"> </w:t>
      </w:r>
      <w:r w:rsidR="00A00B16" w:rsidRPr="0063518B">
        <w:rPr>
          <w:sz w:val="22"/>
          <w:lang w:val="en-US"/>
        </w:rPr>
        <w:t>Longer</w:t>
      </w:r>
      <w:r w:rsidR="00A00B16" w:rsidRPr="0063518B">
        <w:rPr>
          <w:sz w:val="22"/>
        </w:rPr>
        <w:t>-</w:t>
      </w:r>
      <w:r w:rsidR="00A00B16" w:rsidRPr="0063518B">
        <w:rPr>
          <w:sz w:val="22"/>
          <w:lang w:val="en-US"/>
        </w:rPr>
        <w:t>term</w:t>
      </w:r>
      <w:r w:rsidR="00A00B16" w:rsidRPr="0063518B">
        <w:rPr>
          <w:sz w:val="22"/>
        </w:rPr>
        <w:t xml:space="preserve"> </w:t>
      </w:r>
      <w:r w:rsidR="00A00B16" w:rsidRPr="0063518B">
        <w:rPr>
          <w:sz w:val="22"/>
          <w:lang w:val="en-US"/>
        </w:rPr>
        <w:t>Ref</w:t>
      </w:r>
      <w:r w:rsidR="00A00B16" w:rsidRPr="0063518B">
        <w:rPr>
          <w:sz w:val="22"/>
          <w:lang w:val="en-US"/>
        </w:rPr>
        <w:t>i</w:t>
      </w:r>
      <w:r w:rsidR="00A00B16" w:rsidRPr="0063518B">
        <w:rPr>
          <w:sz w:val="22"/>
          <w:lang w:val="en-US"/>
        </w:rPr>
        <w:t>nancing</w:t>
      </w:r>
      <w:r w:rsidR="00A00B16" w:rsidRPr="0063518B">
        <w:rPr>
          <w:sz w:val="22"/>
        </w:rPr>
        <w:t xml:space="preserve"> </w:t>
      </w:r>
      <w:r w:rsidR="00A00B16" w:rsidRPr="0063518B">
        <w:rPr>
          <w:sz w:val="22"/>
          <w:lang w:val="en-US"/>
        </w:rPr>
        <w:t>Operations</w:t>
      </w:r>
      <w:r w:rsidR="00A00B16" w:rsidRPr="0063518B">
        <w:rPr>
          <w:sz w:val="22"/>
        </w:rPr>
        <w:t xml:space="preserve"> </w:t>
      </w:r>
      <w:r w:rsidRPr="0063518B">
        <w:rPr>
          <w:sz w:val="22"/>
        </w:rPr>
        <w:t xml:space="preserve">TLTRO-III του Ιουνίου 2020. </w:t>
      </w:r>
    </w:p>
    <w:p w:rsidR="008771D5" w:rsidRPr="0063518B" w:rsidRDefault="008771D5" w:rsidP="008771D5">
      <w:pPr>
        <w:jc w:val="both"/>
        <w:rPr>
          <w:sz w:val="22"/>
        </w:rPr>
      </w:pPr>
    </w:p>
    <w:p w:rsidR="008771D5" w:rsidRPr="0063518B" w:rsidRDefault="001665DC" w:rsidP="008771D5">
      <w:pPr>
        <w:jc w:val="both"/>
        <w:rPr>
          <w:sz w:val="22"/>
        </w:rPr>
      </w:pPr>
      <w:r>
        <w:rPr>
          <w:sz w:val="22"/>
        </w:rPr>
        <w:t>(Γ) Τ</w:t>
      </w:r>
      <w:r w:rsidR="008771D5" w:rsidRPr="0063518B">
        <w:rPr>
          <w:sz w:val="22"/>
        </w:rPr>
        <w:t>η βελτίωση των όρων και τη μείωση του κόστους άντλησης ρευστότητας</w:t>
      </w:r>
      <w:r w:rsidR="00A00B16" w:rsidRPr="0063518B">
        <w:rPr>
          <w:sz w:val="22"/>
        </w:rPr>
        <w:t>,</w:t>
      </w:r>
      <w:r w:rsidR="008771D5" w:rsidRPr="0063518B">
        <w:rPr>
          <w:sz w:val="22"/>
        </w:rPr>
        <w:t xml:space="preserve"> μέσω των στοχευμ</w:t>
      </w:r>
      <w:r w:rsidR="008771D5" w:rsidRPr="0063518B">
        <w:rPr>
          <w:sz w:val="22"/>
        </w:rPr>
        <w:t>έ</w:t>
      </w:r>
      <w:r w:rsidR="008771D5" w:rsidRPr="0063518B">
        <w:rPr>
          <w:sz w:val="22"/>
        </w:rPr>
        <w:t>νων πράξεων TLTRO-III. Οι εν λόγω βελτιώσεις που αποφασίστηκαν από το ΔΣ της ΕΚΤ στις 12 Μαρτίου και στις 30 Απριλίου</w:t>
      </w:r>
      <w:r w:rsidR="00AB4820" w:rsidRPr="00CE6C14">
        <w:rPr>
          <w:sz w:val="22"/>
        </w:rPr>
        <w:t xml:space="preserve"> 2020</w:t>
      </w:r>
      <w:r w:rsidR="008771D5" w:rsidRPr="0063518B">
        <w:rPr>
          <w:sz w:val="22"/>
        </w:rPr>
        <w:t>, αφορούσαν κυρίως μείωση του κόστους και αύξηση του επιτρ</w:t>
      </w:r>
      <w:r w:rsidR="008771D5" w:rsidRPr="0063518B">
        <w:rPr>
          <w:sz w:val="22"/>
        </w:rPr>
        <w:t>ε</w:t>
      </w:r>
      <w:r w:rsidR="008771D5" w:rsidRPr="0063518B">
        <w:rPr>
          <w:sz w:val="22"/>
        </w:rPr>
        <w:t>πόμενου όγκου της αντλούμενης χρηματοδότησης από τον Ιούνιο του 2020 μέχρι τον Ιούνιο του 2021, με τις αλλαγές των όρων να ισχύουν κατά την περίοδο αυτή για όλα τα ποσά που έχουν αντληθεί μ</w:t>
      </w:r>
      <w:r w:rsidR="008771D5" w:rsidRPr="0063518B">
        <w:rPr>
          <w:sz w:val="22"/>
        </w:rPr>
        <w:t>έ</w:t>
      </w:r>
      <w:r w:rsidR="008771D5" w:rsidRPr="0063518B">
        <w:rPr>
          <w:sz w:val="22"/>
        </w:rPr>
        <w:t>σω TLTRO. Ειδικότερα, όσον αφορά το κόστος άντλησης ρευστότητας μέσω των πράξεων αυτών, για το χρονικό διάστημα από τις 24 Ιουνίου 2020 μέχρι τις 23 Ιουνίου 2021, το επιτόκιο επανακαθορίστ</w:t>
      </w:r>
      <w:r w:rsidR="008771D5" w:rsidRPr="0063518B">
        <w:rPr>
          <w:sz w:val="22"/>
        </w:rPr>
        <w:t>η</w:t>
      </w:r>
      <w:r w:rsidR="008771D5" w:rsidRPr="0063518B">
        <w:rPr>
          <w:sz w:val="22"/>
        </w:rPr>
        <w:t xml:space="preserve">κε </w:t>
      </w:r>
      <w:r>
        <w:rPr>
          <w:sz w:val="22"/>
        </w:rPr>
        <w:t xml:space="preserve">κατά </w:t>
      </w:r>
      <w:r w:rsidR="008771D5" w:rsidRPr="0063518B">
        <w:rPr>
          <w:sz w:val="22"/>
        </w:rPr>
        <w:t xml:space="preserve">50 </w:t>
      </w:r>
      <w:r w:rsidR="00A00B16" w:rsidRPr="0063518B">
        <w:rPr>
          <w:sz w:val="22"/>
        </w:rPr>
        <w:t>μονάδες βάσης (</w:t>
      </w:r>
      <w:r w:rsidR="008771D5" w:rsidRPr="0063518B">
        <w:rPr>
          <w:sz w:val="22"/>
        </w:rPr>
        <w:t>μ.β.</w:t>
      </w:r>
      <w:r w:rsidR="00A00B16" w:rsidRPr="0063518B">
        <w:rPr>
          <w:sz w:val="22"/>
        </w:rPr>
        <w:t>)</w:t>
      </w:r>
      <w:r w:rsidR="008771D5" w:rsidRPr="0063518B">
        <w:rPr>
          <w:sz w:val="22"/>
        </w:rPr>
        <w:t xml:space="preserve"> χαμηλότερα από το μέσο όρο του επιτοκίου στις πράξεις κύριας αν</w:t>
      </w:r>
      <w:r w:rsidR="008771D5" w:rsidRPr="0063518B">
        <w:rPr>
          <w:sz w:val="22"/>
        </w:rPr>
        <w:t>α</w:t>
      </w:r>
      <w:r w:rsidR="008771D5" w:rsidRPr="0063518B">
        <w:rPr>
          <w:sz w:val="22"/>
        </w:rPr>
        <w:t>χρηματοδότησης του Ευρωσυστήματος. Για το ίδιο χρονικό διάστημα, για τις τράπεζες που κατά την ειδική περίοδο αναφοράς, μεταξύ 1 Μαρτίου 2020 – 31 Μαρτίου 2021, θα διατηρήσουν σταθερό ύψος χρηματοδότησης προς την πραγματική οικονομία, δηλ. τουλάχιστον ίσο ή υψηλότερο με ένα προκ</w:t>
      </w:r>
      <w:r w:rsidR="008771D5" w:rsidRPr="0063518B">
        <w:rPr>
          <w:sz w:val="22"/>
        </w:rPr>
        <w:t>α</w:t>
      </w:r>
      <w:r w:rsidR="008771D5" w:rsidRPr="0063518B">
        <w:rPr>
          <w:sz w:val="22"/>
        </w:rPr>
        <w:lastRenderedPageBreak/>
        <w:t>θορισμένο όριο αναφοράς, θα εφαρμοστεί το ελάχιστο επιτόκιο, που προβλέπεται 50 μ.β. χαμηλότερο από το επιτόκιο στη διευκόλυνση αποδοχής καταθέσεων κατά την ίδια περίοδο (και τουλάχιστον ίσο με -100 μ.β.). Ουσιαστικά δηλαδή το Ευρωσύστημα μερίμνησε ώστε οι τράπεζες</w:t>
      </w:r>
      <w:r>
        <w:rPr>
          <w:sz w:val="22"/>
        </w:rPr>
        <w:t>,</w:t>
      </w:r>
      <w:r w:rsidR="008771D5" w:rsidRPr="0063518B">
        <w:rPr>
          <w:sz w:val="22"/>
        </w:rPr>
        <w:t xml:space="preserve"> οι οποίες για έναν χρονικό ορίζοντα που σχετίζεται με την πανδημία δεν θα μειώσουν τη χρηματοδότηση της πραγματ</w:t>
      </w:r>
      <w:r w:rsidR="008771D5" w:rsidRPr="0063518B">
        <w:rPr>
          <w:sz w:val="22"/>
        </w:rPr>
        <w:t>ι</w:t>
      </w:r>
      <w:r w:rsidR="008771D5" w:rsidRPr="0063518B">
        <w:rPr>
          <w:sz w:val="22"/>
        </w:rPr>
        <w:t>κής οικονομίας, να επωφεληθούν από το χαμηλότερο (επί του παρόντος αρνητικό) επιτόκιο.</w:t>
      </w:r>
    </w:p>
    <w:p w:rsidR="008771D5" w:rsidRPr="0063518B" w:rsidRDefault="008771D5" w:rsidP="008771D5">
      <w:pPr>
        <w:jc w:val="both"/>
        <w:rPr>
          <w:sz w:val="22"/>
        </w:rPr>
      </w:pPr>
    </w:p>
    <w:p w:rsidR="008771D5" w:rsidRPr="0063518B" w:rsidRDefault="008771D5" w:rsidP="008771D5">
      <w:pPr>
        <w:jc w:val="both"/>
        <w:rPr>
          <w:sz w:val="22"/>
        </w:rPr>
      </w:pPr>
      <w:r w:rsidRPr="0063518B">
        <w:rPr>
          <w:sz w:val="22"/>
        </w:rPr>
        <w:t xml:space="preserve">Συμπληρωματικά προς τις στοχευμένες πράξεις TLTRO, αποφασίστηκε η διεξαγωγή μίας νέας σειράς (μη στοχευμένων) έκτακτων πράξεων πιο μακροπρόθεσμης αναχρηματοδότησης λόγω της πανδημίας (Pandemic Emergency Longer-term Refinancing Operations − PELTROs), η οποία αποτελείται από </w:t>
      </w:r>
      <w:r w:rsidR="00121615">
        <w:rPr>
          <w:sz w:val="22"/>
        </w:rPr>
        <w:t>επτά</w:t>
      </w:r>
      <w:r w:rsidR="00121615" w:rsidRPr="0063518B">
        <w:rPr>
          <w:sz w:val="22"/>
        </w:rPr>
        <w:t xml:space="preserve"> </w:t>
      </w:r>
      <w:r w:rsidRPr="0063518B">
        <w:rPr>
          <w:sz w:val="22"/>
        </w:rPr>
        <w:t xml:space="preserve">πρόσθετες πράξεις πιο μακροπρόθεσμης αναχρηματοδότησης, οι οποίες θα διεξαχθούν μεταξύ Μαΐου-Δεκεμβρίου του 2020, θα έχουν βαθμιαία μειούμενη διάρκεια και θα λήγουν σταδιακά μεταξύ Ιουλίου και Σεπτεμβρίου 2021. </w:t>
      </w:r>
      <w:r w:rsidR="00A00B16" w:rsidRPr="0063518B">
        <w:rPr>
          <w:sz w:val="22"/>
        </w:rPr>
        <w:t>Οι</w:t>
      </w:r>
      <w:r w:rsidRPr="0063518B">
        <w:rPr>
          <w:sz w:val="22"/>
        </w:rPr>
        <w:t xml:space="preserve"> έκτακτες PELTROs διεξάγονται μέσω δημοπρασιών για τη χορ</w:t>
      </w:r>
      <w:r w:rsidRPr="0063518B">
        <w:rPr>
          <w:sz w:val="22"/>
        </w:rPr>
        <w:t>ή</w:t>
      </w:r>
      <w:r w:rsidRPr="0063518B">
        <w:rPr>
          <w:sz w:val="22"/>
        </w:rPr>
        <w:t>γηση ρευστότητας χωρίς ποσοτικό περιορισμό με σταθερό επιτόκιο, κατά 25 μ.β. χαμηλότερο από το μέσο όρο του επιτοκίου στις πράξεις κύριας αναχρηματοδότησης (υπολογιζόμενο εκ των υστέρων για τη διάρκεια κάθε έκτακτης πράξης), το οποίο επί του παρόντος διαμορφώνεται σε -0,25%. Η διενέ</w:t>
      </w:r>
      <w:r w:rsidRPr="0063518B">
        <w:rPr>
          <w:sz w:val="22"/>
        </w:rPr>
        <w:t>ρ</w:t>
      </w:r>
      <w:r w:rsidRPr="0063518B">
        <w:rPr>
          <w:sz w:val="22"/>
        </w:rPr>
        <w:t>γεια των PELTROs αποσκοπεί στη διασφάλιση της ομαλής λειτουργίας στην αγορά χρήματος και στη μείωση της αβεβαιότητας των τραπεζών ως προς τη δυνατότητα άντλησης ρευστότητας μετά τη λήξη των πρόσθετων LTROs τον Ιούνιο 2020.</w:t>
      </w:r>
    </w:p>
    <w:p w:rsidR="008771D5" w:rsidRPr="0063518B" w:rsidRDefault="008771D5" w:rsidP="008771D5">
      <w:pPr>
        <w:jc w:val="both"/>
        <w:rPr>
          <w:sz w:val="22"/>
        </w:rPr>
      </w:pPr>
    </w:p>
    <w:p w:rsidR="008771D5" w:rsidRPr="0063518B" w:rsidRDefault="008771D5" w:rsidP="008771D5">
      <w:pPr>
        <w:jc w:val="both"/>
        <w:rPr>
          <w:sz w:val="22"/>
        </w:rPr>
      </w:pPr>
      <w:r w:rsidRPr="0063518B">
        <w:rPr>
          <w:sz w:val="22"/>
        </w:rPr>
        <w:t xml:space="preserve">(Δ) </w:t>
      </w:r>
      <w:r w:rsidR="001665DC">
        <w:rPr>
          <w:sz w:val="22"/>
        </w:rPr>
        <w:t>Τ</w:t>
      </w:r>
      <w:r w:rsidRPr="0063518B">
        <w:rPr>
          <w:sz w:val="22"/>
        </w:rPr>
        <w:t>η διεύρυνση της διαθεσιμότητας εξασφαλίσεων και τη χαλάρωση των όρων με τους οποίους γ</w:t>
      </w:r>
      <w:r w:rsidRPr="0063518B">
        <w:rPr>
          <w:sz w:val="22"/>
        </w:rPr>
        <w:t>ί</w:t>
      </w:r>
      <w:r w:rsidRPr="0063518B">
        <w:rPr>
          <w:sz w:val="22"/>
        </w:rPr>
        <w:t>νονται αποδεκτές για την άντληση ρευστότητας από το Ευρωσύστημα. Ειδικότερα, το ΔΣ της ΕΚΤ αποφάσισε, στις 7 Απριλίου 2020, να τροποποιήσει προσωρινά μέχρι το Σεπτέμβριο του 2021, τα κρ</w:t>
      </w:r>
      <w:r w:rsidRPr="0063518B">
        <w:rPr>
          <w:sz w:val="22"/>
        </w:rPr>
        <w:t>ι</w:t>
      </w:r>
      <w:r w:rsidRPr="0063518B">
        <w:rPr>
          <w:sz w:val="22"/>
        </w:rPr>
        <w:t>τήρια καταλληλότητας που εφαρμόζονται για την αποδοχή χρεογράφων ως εξασφαλίσεων στις πρ</w:t>
      </w:r>
      <w:r w:rsidRPr="0063518B">
        <w:rPr>
          <w:sz w:val="22"/>
        </w:rPr>
        <w:t>ά</w:t>
      </w:r>
      <w:r w:rsidRPr="0063518B">
        <w:rPr>
          <w:sz w:val="22"/>
        </w:rPr>
        <w:t>ξεις νομισματικής πολιτικής του Ευρωσυστήματος, ώστε να επιτρέπεται η αποδοχή ενός ευρύτερου φάσματος περιουσιακών στοιχείων και με πιο χαλαρούς όρους, να αποτραπεί έλλειψη διαθεσιμότητας εξασφαλίσεων και να διευκολυνθούν οι τράπεζες να συμμετάσχουν στις πράξεις νομισματικής πολιτ</w:t>
      </w:r>
      <w:r w:rsidRPr="0063518B">
        <w:rPr>
          <w:sz w:val="22"/>
        </w:rPr>
        <w:t>ι</w:t>
      </w:r>
      <w:r w:rsidRPr="0063518B">
        <w:rPr>
          <w:sz w:val="22"/>
        </w:rPr>
        <w:t>κής. Στο πλαίσιο αυτό</w:t>
      </w:r>
      <w:r w:rsidR="00A00B16" w:rsidRPr="0063518B">
        <w:rPr>
          <w:sz w:val="22"/>
        </w:rPr>
        <w:t>,</w:t>
      </w:r>
      <w:r w:rsidRPr="0063518B">
        <w:rPr>
          <w:sz w:val="22"/>
        </w:rPr>
        <w:t xml:space="preserve"> αποφασίστηκε ότι η επαναφορά της άρσης της ελάχιστης πιστοληπτικής δι</w:t>
      </w:r>
      <w:r w:rsidRPr="0063518B">
        <w:rPr>
          <w:sz w:val="22"/>
        </w:rPr>
        <w:t>α</w:t>
      </w:r>
      <w:r w:rsidRPr="0063518B">
        <w:rPr>
          <w:sz w:val="22"/>
        </w:rPr>
        <w:t>βάθμισης για τίτλους που έχει εκδώσει το Ελληνικό Δημόσιο θα ισχύσει και για την αποδοχή τους ως εξασφαλίσεων στις πράξεις χορήγησης αναχρηματοδότησης του Ευρωσυστήματος. Οι σημαντικότ</w:t>
      </w:r>
      <w:r w:rsidRPr="0063518B">
        <w:rPr>
          <w:sz w:val="22"/>
        </w:rPr>
        <w:t>ε</w:t>
      </w:r>
      <w:r w:rsidRPr="0063518B">
        <w:rPr>
          <w:sz w:val="22"/>
        </w:rPr>
        <w:t>ρες λοιπές τροποποιήσεις αφορούσαν προσωρινά τον περιορισμό κατά ένα σταθερό συντελεστή 20% των περικοπών που εφαρμόζονται κατά την αποτίμηση των αποδεκτών εξασφαλίσεων (haircuts) για την άντληση ρευστότητας από το Ευρωσύστημα, καθώς και τη δυνατότητα διεύρυνσης του πλαισίου των πρόσθετων δανειακών απαιτήσεων (additional credit claims)</w:t>
      </w:r>
      <w:r w:rsidR="00A00B16" w:rsidRPr="0063518B">
        <w:rPr>
          <w:sz w:val="22"/>
        </w:rPr>
        <w:t>,</w:t>
      </w:r>
      <w:r w:rsidRPr="0063518B">
        <w:rPr>
          <w:sz w:val="22"/>
        </w:rPr>
        <w:t xml:space="preserve"> ώστε οι εθνικές κεντρικές τράπεζες να μπορούν να συμπεριλάβουν ως επιλέξιμες εξασφαλίσεις δάνεια χαμηλότερης πιστοληπτικής δι</w:t>
      </w:r>
      <w:r w:rsidRPr="0063518B">
        <w:rPr>
          <w:sz w:val="22"/>
        </w:rPr>
        <w:t>α</w:t>
      </w:r>
      <w:r w:rsidRPr="0063518B">
        <w:rPr>
          <w:sz w:val="22"/>
        </w:rPr>
        <w:t>βάθμισης, δάνεια προς τύπους δανειοληπτών που δεν είναι αποδεκτά στο γενικό πλαίσιο του Ευρ</w:t>
      </w:r>
      <w:r w:rsidRPr="0063518B">
        <w:rPr>
          <w:sz w:val="22"/>
        </w:rPr>
        <w:t>ω</w:t>
      </w:r>
      <w:r w:rsidRPr="0063518B">
        <w:rPr>
          <w:sz w:val="22"/>
        </w:rPr>
        <w:t>συστήματος, δάνεια σε ξένο νόμισμα κλπ.</w:t>
      </w:r>
    </w:p>
    <w:p w:rsidR="008771D5" w:rsidRPr="0063518B" w:rsidRDefault="008771D5" w:rsidP="008771D5">
      <w:pPr>
        <w:jc w:val="both"/>
        <w:rPr>
          <w:sz w:val="22"/>
        </w:rPr>
      </w:pPr>
    </w:p>
    <w:p w:rsidR="008771D5" w:rsidRPr="0063518B" w:rsidRDefault="008771D5" w:rsidP="008771D5">
      <w:pPr>
        <w:jc w:val="both"/>
        <w:rPr>
          <w:sz w:val="22"/>
        </w:rPr>
      </w:pPr>
      <w:r w:rsidRPr="0063518B">
        <w:rPr>
          <w:sz w:val="22"/>
        </w:rPr>
        <w:t>Συμπληρωματικά προς τα προηγούμενα μέτρα διεύρυνσης της διαθεσιμότητας εξασφαλίσεων, και κ</w:t>
      </w:r>
      <w:r w:rsidRPr="0063518B">
        <w:rPr>
          <w:sz w:val="22"/>
        </w:rPr>
        <w:t>α</w:t>
      </w:r>
      <w:r w:rsidRPr="0063518B">
        <w:rPr>
          <w:sz w:val="22"/>
        </w:rPr>
        <w:t>θώς οι οικονομικές επιπτώσεις της πανδημίας ήταν πιθανόν να οδηγήσουν σε κύμα υποβαθμίσεων π</w:t>
      </w:r>
      <w:r w:rsidRPr="0063518B">
        <w:rPr>
          <w:sz w:val="22"/>
        </w:rPr>
        <w:t>ι</w:t>
      </w:r>
      <w:r w:rsidRPr="0063518B">
        <w:rPr>
          <w:sz w:val="22"/>
        </w:rPr>
        <w:t>στοληπτικής αξιολόγησης που θα μπορούσε να επιφέρει έλλειμμα αποδεκτών εξασφαλίσεων, αποφ</w:t>
      </w:r>
      <w:r w:rsidRPr="0063518B">
        <w:rPr>
          <w:sz w:val="22"/>
        </w:rPr>
        <w:t>α</w:t>
      </w:r>
      <w:r w:rsidRPr="0063518B">
        <w:rPr>
          <w:sz w:val="22"/>
        </w:rPr>
        <w:t>σίστηκε στις 22 Απριλίου 2020 να εξακολουθήσουν να γίνονται αποδεκτά κατ’ εξαίρεση τα εμπορε</w:t>
      </w:r>
      <w:r w:rsidRPr="0063518B">
        <w:rPr>
          <w:sz w:val="22"/>
        </w:rPr>
        <w:t>ύ</w:t>
      </w:r>
      <w:r w:rsidRPr="0063518B">
        <w:rPr>
          <w:sz w:val="22"/>
        </w:rPr>
        <w:t>σιμα χρεόγραφα και οι εκδότες τέτοιων χρεογράφων που στις 7 Απριλίου 2020 πληρούσαν τις απα</w:t>
      </w:r>
      <w:r w:rsidRPr="0063518B">
        <w:rPr>
          <w:sz w:val="22"/>
        </w:rPr>
        <w:t>ι</w:t>
      </w:r>
      <w:r w:rsidRPr="0063518B">
        <w:rPr>
          <w:sz w:val="22"/>
        </w:rPr>
        <w:t xml:space="preserve">τήσεις ελάχιστης πιστοληπτικής διαβάθμισης. Οι εξαιρέσεις αυτές θα ισχύσουν μέχρι το Σεπτέμβριο του 2021 οπότε δίνεται η πρώτη ευκαιρία στις τράπεζες για εθελοντική αποπληρωμή ποσών που </w:t>
      </w:r>
      <w:r w:rsidRPr="0063518B">
        <w:rPr>
          <w:sz w:val="22"/>
        </w:rPr>
        <w:t>έ</w:t>
      </w:r>
      <w:r w:rsidRPr="0063518B">
        <w:rPr>
          <w:sz w:val="22"/>
        </w:rPr>
        <w:t xml:space="preserve">χουν αντληθεί μέσω TLTRO-III. </w:t>
      </w:r>
    </w:p>
    <w:p w:rsidR="008771D5" w:rsidRPr="0063518B" w:rsidRDefault="008771D5" w:rsidP="008771D5">
      <w:pPr>
        <w:jc w:val="both"/>
        <w:rPr>
          <w:sz w:val="22"/>
        </w:rPr>
      </w:pPr>
    </w:p>
    <w:p w:rsidR="006B6335" w:rsidRPr="0063518B" w:rsidRDefault="008771D5" w:rsidP="008771D5">
      <w:pPr>
        <w:jc w:val="both"/>
        <w:rPr>
          <w:sz w:val="20"/>
          <w:szCs w:val="22"/>
        </w:rPr>
      </w:pPr>
      <w:r w:rsidRPr="0063518B">
        <w:rPr>
          <w:sz w:val="22"/>
        </w:rPr>
        <w:t>Το Διοικητικό Συμβούλιο της ΕΚΤ έχει δηλώσει ότι θα συνεχίσει να παρακολουθεί και να αναλύει τις συνέπειες της πανδημίας για τις οικονομικές εξελίξεις, για τις μεσοπρόθεσμες προοπτικές του πληθ</w:t>
      </w:r>
      <w:r w:rsidRPr="0063518B">
        <w:rPr>
          <w:sz w:val="22"/>
        </w:rPr>
        <w:t>ω</w:t>
      </w:r>
      <w:r w:rsidRPr="0063518B">
        <w:rPr>
          <w:sz w:val="22"/>
        </w:rPr>
        <w:t>ρισμού και για το μηχανισμό μετάδοσης των επιδράσεων της ενιαίας νομισματικής πολιτικής. Το Ε</w:t>
      </w:r>
      <w:r w:rsidRPr="0063518B">
        <w:rPr>
          <w:sz w:val="22"/>
        </w:rPr>
        <w:t>υ</w:t>
      </w:r>
      <w:r w:rsidRPr="0063518B">
        <w:rPr>
          <w:sz w:val="22"/>
        </w:rPr>
        <w:t>ρωσύστημα βρίσκεται σε ετοιμότητα να προσαρμόσει κατάλληλα όλα τα μέσα νομισματικής πολιτ</w:t>
      </w:r>
      <w:r w:rsidRPr="0063518B">
        <w:rPr>
          <w:sz w:val="22"/>
        </w:rPr>
        <w:t>ι</w:t>
      </w:r>
      <w:r w:rsidRPr="0063518B">
        <w:rPr>
          <w:sz w:val="22"/>
        </w:rPr>
        <w:t>κής που χρησιμοποιεί, εάν αυτό χρειαστεί προκειμένου: (α) να διατηρηθούν ευνοϊκές οι συνθήκες ρευστότητας στο τραπεζικό σύστημα, (β) να παραμείνει ομαλή η λειτουργία του μηχανισμού μετάδ</w:t>
      </w:r>
      <w:r w:rsidRPr="0063518B">
        <w:rPr>
          <w:sz w:val="22"/>
        </w:rPr>
        <w:t>ο</w:t>
      </w:r>
      <w:r w:rsidRPr="0063518B">
        <w:rPr>
          <w:sz w:val="22"/>
        </w:rPr>
        <w:t>σης της νομισματικής πολιτικής σε όλα τα κράτη-μέλη και (γ) να συγκλίνει ο πληθωρισμός στη ζώνη του ευρώ προς τιμές λίγο κάτω του 2%, στις οποίες, όπως είναι γνωστό, στοχεύει το Ευρωσύστημα.</w:t>
      </w:r>
    </w:p>
    <w:p w:rsidR="008771D5" w:rsidRDefault="008771D5" w:rsidP="008771D5">
      <w:pPr>
        <w:jc w:val="both"/>
        <w:rPr>
          <w:sz w:val="22"/>
          <w:szCs w:val="22"/>
        </w:rPr>
      </w:pPr>
    </w:p>
    <w:p w:rsidR="005D4266" w:rsidRPr="00944AEC" w:rsidRDefault="005D4266" w:rsidP="005D4266">
      <w:pPr>
        <w:shd w:val="clear" w:color="auto" w:fill="595959"/>
        <w:jc w:val="both"/>
        <w:rPr>
          <w:rFonts w:ascii="Arial Narrow" w:hAnsi="Arial Narrow"/>
          <w:b/>
          <w:color w:val="FFFFFF"/>
          <w:sz w:val="26"/>
          <w:szCs w:val="26"/>
        </w:rPr>
      </w:pPr>
      <w:r w:rsidRPr="00944AEC">
        <w:rPr>
          <w:rFonts w:ascii="Arial Narrow" w:hAnsi="Arial Narrow"/>
          <w:b/>
          <w:color w:val="FFFFFF"/>
        </w:rPr>
        <w:lastRenderedPageBreak/>
        <w:t>2.</w:t>
      </w:r>
      <w:r w:rsidRPr="00944AEC">
        <w:rPr>
          <w:rFonts w:ascii="Arial Narrow" w:hAnsi="Arial Narrow"/>
          <w:b/>
          <w:color w:val="FFFFFF"/>
          <w:sz w:val="26"/>
          <w:szCs w:val="26"/>
        </w:rPr>
        <w:tab/>
        <w:t>Οι οικονομικές εξελίξεις στην Ελλάδα</w:t>
      </w:r>
    </w:p>
    <w:p w:rsidR="005D4266" w:rsidRDefault="005D4266" w:rsidP="005D4266">
      <w:pPr>
        <w:pStyle w:val="13"/>
        <w:jc w:val="both"/>
      </w:pPr>
    </w:p>
    <w:p w:rsidR="005D4266" w:rsidRPr="006E219D" w:rsidRDefault="005D4266" w:rsidP="005D4266">
      <w:pPr>
        <w:ind w:left="567" w:hanging="567"/>
        <w:jc w:val="both"/>
        <w:rPr>
          <w:rFonts w:ascii="Arial Narrow" w:hAnsi="Arial Narrow"/>
          <w:b/>
          <w:color w:val="000080"/>
          <w:szCs w:val="22"/>
        </w:rPr>
      </w:pPr>
      <w:r w:rsidRPr="006E219D">
        <w:rPr>
          <w:rFonts w:ascii="Arial Narrow" w:hAnsi="Arial Narrow"/>
          <w:b/>
          <w:color w:val="000080"/>
          <w:szCs w:val="22"/>
        </w:rPr>
        <w:t>2.1</w:t>
      </w:r>
      <w:r w:rsidRPr="006E219D">
        <w:rPr>
          <w:rFonts w:ascii="Arial Narrow" w:hAnsi="Arial Narrow"/>
          <w:b/>
          <w:color w:val="000080"/>
          <w:szCs w:val="22"/>
        </w:rPr>
        <w:tab/>
        <w:t xml:space="preserve">Γενική </w:t>
      </w:r>
      <w:r>
        <w:rPr>
          <w:rFonts w:ascii="Arial Narrow" w:hAnsi="Arial Narrow"/>
          <w:b/>
          <w:color w:val="000080"/>
          <w:szCs w:val="22"/>
        </w:rPr>
        <w:t>επισκόπηση της ε</w:t>
      </w:r>
      <w:r w:rsidRPr="006E219D">
        <w:rPr>
          <w:rFonts w:ascii="Arial Narrow" w:hAnsi="Arial Narrow"/>
          <w:b/>
          <w:color w:val="000080"/>
          <w:szCs w:val="22"/>
        </w:rPr>
        <w:t>λληνικής οικονομίας</w:t>
      </w:r>
    </w:p>
    <w:p w:rsidR="00157F8C" w:rsidRPr="00157F8C" w:rsidRDefault="00157F8C" w:rsidP="00157F8C">
      <w:pPr>
        <w:jc w:val="both"/>
        <w:rPr>
          <w:sz w:val="22"/>
          <w:szCs w:val="22"/>
        </w:rPr>
      </w:pPr>
    </w:p>
    <w:p w:rsidR="00157F8C" w:rsidRPr="00157F8C" w:rsidRDefault="00157F8C" w:rsidP="00157F8C">
      <w:pPr>
        <w:jc w:val="both"/>
        <w:rPr>
          <w:sz w:val="22"/>
          <w:szCs w:val="22"/>
        </w:rPr>
      </w:pPr>
      <w:r w:rsidRPr="00157F8C">
        <w:rPr>
          <w:sz w:val="22"/>
          <w:szCs w:val="22"/>
        </w:rPr>
        <w:t>Στο κατώφλι του 2020, οι προοπτικές ανάπτυξης της ελληνικής οικονομίας εμφάνιζαν ισχυρή δυναμ</w:t>
      </w:r>
      <w:r w:rsidRPr="00157F8C">
        <w:rPr>
          <w:sz w:val="22"/>
          <w:szCs w:val="22"/>
        </w:rPr>
        <w:t>ι</w:t>
      </w:r>
      <w:r w:rsidRPr="00157F8C">
        <w:rPr>
          <w:sz w:val="22"/>
          <w:szCs w:val="22"/>
        </w:rPr>
        <w:t>κή επιτάχυνσης, στη βάση των ευνοϊκών εσωτερικών παραγόντων που υπερ</w:t>
      </w:r>
      <w:r w:rsidR="00790DE4">
        <w:rPr>
          <w:sz w:val="22"/>
          <w:szCs w:val="22"/>
        </w:rPr>
        <w:t>-</w:t>
      </w:r>
      <w:r w:rsidRPr="00157F8C">
        <w:rPr>
          <w:sz w:val="22"/>
          <w:szCs w:val="22"/>
        </w:rPr>
        <w:t>αντιστάθμιζαν την εξ</w:t>
      </w:r>
      <w:r w:rsidRPr="00157F8C">
        <w:rPr>
          <w:sz w:val="22"/>
          <w:szCs w:val="22"/>
        </w:rPr>
        <w:t>α</w:t>
      </w:r>
      <w:r w:rsidRPr="00157F8C">
        <w:rPr>
          <w:sz w:val="22"/>
          <w:szCs w:val="22"/>
        </w:rPr>
        <w:t>σθένιση της διεθνούς οικονομικής συγκυρίας.</w:t>
      </w:r>
    </w:p>
    <w:p w:rsidR="00157F8C" w:rsidRPr="00157F8C" w:rsidRDefault="00157F8C" w:rsidP="00157F8C">
      <w:pPr>
        <w:jc w:val="both"/>
        <w:rPr>
          <w:sz w:val="22"/>
          <w:szCs w:val="22"/>
        </w:rPr>
      </w:pPr>
    </w:p>
    <w:p w:rsidR="00157F8C" w:rsidRPr="00157F8C" w:rsidRDefault="00157F8C" w:rsidP="00157F8C">
      <w:pPr>
        <w:jc w:val="both"/>
        <w:rPr>
          <w:sz w:val="22"/>
          <w:szCs w:val="22"/>
        </w:rPr>
      </w:pPr>
      <w:r w:rsidRPr="00157F8C">
        <w:rPr>
          <w:sz w:val="22"/>
          <w:szCs w:val="22"/>
        </w:rPr>
        <w:t>Οι παράγοντες αυτοί αποτελούν συνάρτηση της νέας οικονομικής πολιτικής που εφαρμόστηκε από το δεύτερο εξάμηνο του 2019, και συνοψίζονται στη βελτίωση των συνθηκών χρηματοδότησης της οικ</w:t>
      </w:r>
      <w:r w:rsidRPr="00157F8C">
        <w:rPr>
          <w:sz w:val="22"/>
          <w:szCs w:val="22"/>
        </w:rPr>
        <w:t>ο</w:t>
      </w:r>
      <w:r w:rsidRPr="00157F8C">
        <w:rPr>
          <w:sz w:val="22"/>
          <w:szCs w:val="22"/>
        </w:rPr>
        <w:t>νομίας, την εξάλειψη, για πρώτη χρονιά το 2019, των μεγάλων υπερβάσεων των δημοσιονομικών στόχων, που κατά την περίοδο 2015-2018 είχε στερήσει σημαντικούς πόρους από την πραγματική ο</w:t>
      </w:r>
      <w:r w:rsidRPr="00157F8C">
        <w:rPr>
          <w:sz w:val="22"/>
          <w:szCs w:val="22"/>
        </w:rPr>
        <w:t>ι</w:t>
      </w:r>
      <w:r w:rsidRPr="00157F8C">
        <w:rPr>
          <w:sz w:val="22"/>
          <w:szCs w:val="22"/>
        </w:rPr>
        <w:t>κονομία, και την εδραίωση ενός πιο ευνοϊκού επενδυτικού περιβάλλοντος.</w:t>
      </w:r>
    </w:p>
    <w:p w:rsidR="00157F8C" w:rsidRPr="00157F8C" w:rsidRDefault="00157F8C" w:rsidP="00157F8C">
      <w:pPr>
        <w:jc w:val="both"/>
        <w:rPr>
          <w:sz w:val="22"/>
          <w:szCs w:val="22"/>
        </w:rPr>
      </w:pPr>
    </w:p>
    <w:p w:rsidR="00157F8C" w:rsidRPr="00157F8C" w:rsidRDefault="00157F8C" w:rsidP="00157F8C">
      <w:pPr>
        <w:jc w:val="both"/>
        <w:rPr>
          <w:sz w:val="22"/>
          <w:szCs w:val="22"/>
        </w:rPr>
      </w:pPr>
      <w:r w:rsidRPr="00157F8C">
        <w:rPr>
          <w:sz w:val="22"/>
          <w:szCs w:val="22"/>
        </w:rPr>
        <w:t>Ειδικότερα, τα πρώτα άμεσα μέτρα της νέας οικονομικής πολιτικής περιλάμβαναν, πέρα από την εξ</w:t>
      </w:r>
      <w:r w:rsidRPr="00157F8C">
        <w:rPr>
          <w:sz w:val="22"/>
          <w:szCs w:val="22"/>
        </w:rPr>
        <w:t>ά</w:t>
      </w:r>
      <w:r w:rsidRPr="00157F8C">
        <w:rPr>
          <w:sz w:val="22"/>
          <w:szCs w:val="22"/>
        </w:rPr>
        <w:t>λειψη των δημοσιονομικών υπερβάσεων, την άμεση χαλάρωση των συνθηκών ρευστότητας στην ο</w:t>
      </w:r>
      <w:r w:rsidRPr="00157F8C">
        <w:rPr>
          <w:sz w:val="22"/>
          <w:szCs w:val="22"/>
        </w:rPr>
        <w:t>ι</w:t>
      </w:r>
      <w:r w:rsidRPr="00157F8C">
        <w:rPr>
          <w:sz w:val="22"/>
          <w:szCs w:val="22"/>
        </w:rPr>
        <w:t>κονομία με την πλήρη άρση των μέτρων περιορισμού στην κίνηση κεφαλαίων (Σεπτέμβριος 2019), τη στήριξη των ελληνικών τραπεζών στην προσπάθεια διαχείρισης των μη εξυπηρετούμενων δανείων μέσω του σχεδίου «Ηρακλής», τα μόνιμα μέτρα ελάφρυνσης του φορολογικού βάρους επιχειρήσεων και νοικοκυριών, τη διαμόρφωση ενός νέου αναπτυξιακού πλαισίου με επιτάχυνση της υλοποίησης σημαντικών επενδυτικών σχεδίων και την ταχύτερη εκτέλεση του προγράμματος ιδιωτικοποιήσεων.</w:t>
      </w:r>
    </w:p>
    <w:p w:rsidR="00157F8C" w:rsidRPr="00157F8C" w:rsidRDefault="00157F8C" w:rsidP="00157F8C">
      <w:pPr>
        <w:jc w:val="both"/>
        <w:rPr>
          <w:sz w:val="22"/>
          <w:szCs w:val="22"/>
        </w:rPr>
      </w:pPr>
    </w:p>
    <w:p w:rsidR="00157F8C" w:rsidRPr="00157F8C" w:rsidRDefault="00157F8C" w:rsidP="00157F8C">
      <w:pPr>
        <w:jc w:val="both"/>
        <w:rPr>
          <w:sz w:val="22"/>
          <w:szCs w:val="22"/>
        </w:rPr>
      </w:pPr>
      <w:r w:rsidRPr="00157F8C">
        <w:rPr>
          <w:sz w:val="22"/>
          <w:szCs w:val="22"/>
        </w:rPr>
        <w:t xml:space="preserve">Τα ως άνω μέτρα ενίσχυσαν γρήγορα τις προσδοκίες επιχειρήσεων και νοικοκυριών, τις συνθήκες ρευστότητας της οικονομίας και την εμπιστοσύνη του διεθνούς περιβάλλοντος ως προς την ευόδωση των δημοσιονομικών και μεταρρυθμιστικών στόχων της Ελλάδας. Σε αυτό συνηγορεί η </w:t>
      </w:r>
      <w:r w:rsidR="003C522A">
        <w:rPr>
          <w:sz w:val="22"/>
          <w:szCs w:val="22"/>
        </w:rPr>
        <w:t xml:space="preserve">θετική </w:t>
      </w:r>
      <w:r w:rsidRPr="00157F8C">
        <w:rPr>
          <w:sz w:val="22"/>
          <w:szCs w:val="22"/>
        </w:rPr>
        <w:t xml:space="preserve">πορεία μεγάλου εύρους βραχυχρόνιων οικονομικών δεικτών στο δεύτερο εξάμηνο του 2019, μεταξύ των </w:t>
      </w:r>
      <w:r w:rsidRPr="00157F8C">
        <w:rPr>
          <w:sz w:val="22"/>
          <w:szCs w:val="22"/>
        </w:rPr>
        <w:t>ο</w:t>
      </w:r>
      <w:r w:rsidRPr="00157F8C">
        <w:rPr>
          <w:sz w:val="22"/>
          <w:szCs w:val="22"/>
        </w:rPr>
        <w:t>ποίων οι δείκτες οικονομικού κλίματος και προσδοκιών, οικοδομικής δραστηριότητας, τραπεζικής χρηματοδότησης επιχειρήσεων και ανεργίας.</w:t>
      </w:r>
    </w:p>
    <w:p w:rsidR="00157F8C" w:rsidRPr="00157F8C" w:rsidRDefault="00157F8C" w:rsidP="00157F8C">
      <w:pPr>
        <w:jc w:val="both"/>
        <w:rPr>
          <w:sz w:val="22"/>
          <w:szCs w:val="22"/>
        </w:rPr>
      </w:pPr>
    </w:p>
    <w:p w:rsidR="00157F8C" w:rsidRPr="00157F8C" w:rsidRDefault="00157F8C" w:rsidP="00157F8C">
      <w:pPr>
        <w:jc w:val="both"/>
        <w:rPr>
          <w:sz w:val="22"/>
          <w:szCs w:val="22"/>
        </w:rPr>
      </w:pPr>
      <w:r w:rsidRPr="00157F8C">
        <w:rPr>
          <w:sz w:val="22"/>
          <w:szCs w:val="22"/>
        </w:rPr>
        <w:t>Το 2019, ο ετήσιος ρυθμός ανάπτυξης επιταχύνθηκε στο 1,9% έναντι 1,6% το 2018, σύμφωνα με τα αναθεωρημένα στοιχεία ετήσιων εθνικών λογαριασμών που ανακοίνωσε η Ελληνική Στατιστική Αρχή τον Οκτώβριο του 2020. Αυτό αντανακλά την προς τα κάτω αναθεώρηση της πραγματικής ανάπτυξης του 2018 έναντι των προηγο</w:t>
      </w:r>
      <w:r w:rsidR="003C522A">
        <w:rPr>
          <w:sz w:val="22"/>
          <w:szCs w:val="22"/>
        </w:rPr>
        <w:t>ύμενων</w:t>
      </w:r>
      <w:r w:rsidRPr="00157F8C">
        <w:rPr>
          <w:sz w:val="22"/>
          <w:szCs w:val="22"/>
        </w:rPr>
        <w:t xml:space="preserve"> στοιχείων (Μαρτίου 2020), σε αντίθεση με τον ανεπηρέαστο από την αναθεώρηση ρυθμό ανάπτυξης του 2019.  </w:t>
      </w:r>
    </w:p>
    <w:p w:rsidR="00157F8C" w:rsidRPr="00157F8C" w:rsidRDefault="00157F8C" w:rsidP="00157F8C">
      <w:pPr>
        <w:jc w:val="both"/>
        <w:rPr>
          <w:sz w:val="22"/>
          <w:szCs w:val="22"/>
        </w:rPr>
      </w:pPr>
    </w:p>
    <w:p w:rsidR="00157F8C" w:rsidRDefault="00157F8C" w:rsidP="00157F8C">
      <w:pPr>
        <w:jc w:val="both"/>
        <w:rPr>
          <w:sz w:val="22"/>
          <w:szCs w:val="22"/>
        </w:rPr>
      </w:pPr>
      <w:r w:rsidRPr="00157F8C">
        <w:rPr>
          <w:sz w:val="22"/>
          <w:szCs w:val="22"/>
        </w:rPr>
        <w:t>Η αναθεώρηση των ετήσιων στοιχείων από την Ελληνική Στατιστική Αρχή καλύπτει ολόκληρη την περίοδο 2010-2019, και μεταβάλλει σημαντικά την εικόνα για την πορεία της ελληνικής οικονομίας την περίοδο 2015-2018 έναντι των προηγούμενων στοιχείων.</w:t>
      </w:r>
    </w:p>
    <w:p w:rsidR="003C522A" w:rsidRPr="00157F8C" w:rsidRDefault="003C522A" w:rsidP="00157F8C">
      <w:pPr>
        <w:jc w:val="both"/>
        <w:rPr>
          <w:sz w:val="22"/>
          <w:szCs w:val="22"/>
        </w:rPr>
      </w:pPr>
    </w:p>
    <w:p w:rsidR="00157F8C" w:rsidRDefault="003C522A" w:rsidP="00157F8C">
      <w:pPr>
        <w:jc w:val="both"/>
        <w:rPr>
          <w:sz w:val="22"/>
          <w:szCs w:val="22"/>
        </w:rPr>
      </w:pPr>
      <w:r>
        <w:rPr>
          <w:sz w:val="22"/>
          <w:szCs w:val="22"/>
        </w:rPr>
        <w:t>Η αναθεώρηση αποδίδεται εν μέρει στην αλλαγή του έτους βάσης (από το 2010 στο 2015, τακτική ε</w:t>
      </w:r>
      <w:r>
        <w:rPr>
          <w:sz w:val="22"/>
          <w:szCs w:val="22"/>
        </w:rPr>
        <w:t>ρ</w:t>
      </w:r>
      <w:r>
        <w:rPr>
          <w:sz w:val="22"/>
          <w:szCs w:val="22"/>
        </w:rPr>
        <w:t>γασία που διεξάγεται κάθε πέντε χρόνια), καθώς και σε ενσωμάτωση μεθοδολογικών αλλαγών και βελτιώσεων, αλλά και νέων, επικαιροποιημένων στοιχείων που αφορούν: έρευνες διάρθρωσης επιχε</w:t>
      </w:r>
      <w:r>
        <w:rPr>
          <w:sz w:val="22"/>
          <w:szCs w:val="22"/>
        </w:rPr>
        <w:t>ι</w:t>
      </w:r>
      <w:r>
        <w:rPr>
          <w:sz w:val="22"/>
          <w:szCs w:val="22"/>
        </w:rPr>
        <w:t>ρήσεων, έρευνες οικογενειακών προϋπολογισμών, στατιστικές διεθνούς εμπορίου αγαθών, στοιχεία ισοζυγίου πληρωμών, βραχυχρόνιων δεικτών</w:t>
      </w:r>
      <w:r w:rsidR="006941AE">
        <w:rPr>
          <w:sz w:val="22"/>
          <w:szCs w:val="22"/>
        </w:rPr>
        <w:t xml:space="preserve"> και</w:t>
      </w:r>
      <w:r>
        <w:rPr>
          <w:sz w:val="22"/>
          <w:szCs w:val="22"/>
        </w:rPr>
        <w:t xml:space="preserve"> απασχόλησης. Ως προς τις μεθοδολογικές αλλαγές μεταξύ άλλων ενσωματώθηκε το επικαιροποιημένο στατιστικό μητρώο επιχειρήσεων της ΕΛΣΤΑΤ για τα έτη 2011 και εντεύθεν, το στατιστικό μητρώο των Μη Κερδοσκοπικών Ιδρυμάτων που εξυπ</w:t>
      </w:r>
      <w:r>
        <w:rPr>
          <w:sz w:val="22"/>
          <w:szCs w:val="22"/>
        </w:rPr>
        <w:t>η</w:t>
      </w:r>
      <w:r>
        <w:rPr>
          <w:sz w:val="22"/>
          <w:szCs w:val="22"/>
        </w:rPr>
        <w:t>ρετούν νοικοκυριά, χρησιμοποιήθηκαν διοικητικά φορολογικά στοιχεία σε συνδυασμό με τις έρευνες διάρθρωσης επιχειρήσεων, βελτιώθηκε η μεθοδολογία για την εκτίμηση των υπηρεσιών χρηματοπ</w:t>
      </w:r>
      <w:r>
        <w:rPr>
          <w:sz w:val="22"/>
          <w:szCs w:val="22"/>
        </w:rPr>
        <w:t>ι</w:t>
      </w:r>
      <w:r>
        <w:rPr>
          <w:sz w:val="22"/>
          <w:szCs w:val="22"/>
        </w:rPr>
        <w:t>στωτικής διαμεσολάβησης που μετρώνται έμμεσα</w:t>
      </w:r>
      <w:r w:rsidR="006941AE">
        <w:rPr>
          <w:sz w:val="22"/>
          <w:szCs w:val="22"/>
        </w:rPr>
        <w:t xml:space="preserve"> και</w:t>
      </w:r>
      <w:r>
        <w:rPr>
          <w:sz w:val="22"/>
          <w:szCs w:val="22"/>
        </w:rPr>
        <w:t xml:space="preserve"> βελτιώθηκε η μεθοδολογία για την εκτίμηση της μεταβολής των αποθεμ</w:t>
      </w:r>
      <w:r w:rsidR="00194C9D">
        <w:rPr>
          <w:sz w:val="22"/>
          <w:szCs w:val="22"/>
        </w:rPr>
        <w:t>άτων κ.λπ.</w:t>
      </w:r>
      <w:r w:rsidR="00194C9D">
        <w:rPr>
          <w:rStyle w:val="ab"/>
          <w:sz w:val="22"/>
          <w:szCs w:val="22"/>
        </w:rPr>
        <w:footnoteReference w:id="6"/>
      </w:r>
    </w:p>
    <w:p w:rsidR="00157F8C" w:rsidRPr="00157F8C" w:rsidRDefault="00157F8C" w:rsidP="00157F8C">
      <w:pPr>
        <w:jc w:val="both"/>
        <w:rPr>
          <w:sz w:val="22"/>
          <w:szCs w:val="22"/>
        </w:rPr>
      </w:pPr>
      <w:r w:rsidRPr="00157F8C">
        <w:rPr>
          <w:sz w:val="22"/>
          <w:szCs w:val="22"/>
        </w:rPr>
        <w:t xml:space="preserve">Ειδικότερα, σύμφωνα με τα αναθεωρημένα στοιχεία η ύφεση των ετών 2015-2016 έφτασε σωρευτικά το 0,9% έναντι του 2014, από εκτιμώμενη σωρευτική ύφεση 0,6% προηγουμένως, ενώ η ανάκαμψη </w:t>
      </w:r>
      <w:r w:rsidRPr="00157F8C">
        <w:rPr>
          <w:sz w:val="22"/>
          <w:szCs w:val="22"/>
        </w:rPr>
        <w:lastRenderedPageBreak/>
        <w:t>που ακολούθησε τα έτη 2017-2018 ήταν πιο αδύναμη, στις 2,9 ποσοστιαίες μονάδες του ΑΕΠ σωρε</w:t>
      </w:r>
      <w:r w:rsidRPr="00157F8C">
        <w:rPr>
          <w:sz w:val="22"/>
          <w:szCs w:val="22"/>
        </w:rPr>
        <w:t>υ</w:t>
      </w:r>
      <w:r w:rsidRPr="00157F8C">
        <w:rPr>
          <w:sz w:val="22"/>
          <w:szCs w:val="22"/>
        </w:rPr>
        <w:t xml:space="preserve">τικά έναντι του 2016, από 3,5 ποσοστιαίες μονάδες </w:t>
      </w:r>
      <w:r w:rsidR="006941AE">
        <w:rPr>
          <w:sz w:val="22"/>
          <w:szCs w:val="22"/>
        </w:rPr>
        <w:t>που ήταν η προηγούμενη εκτίμηση</w:t>
      </w:r>
      <w:r w:rsidRPr="00157F8C">
        <w:rPr>
          <w:sz w:val="22"/>
          <w:szCs w:val="22"/>
        </w:rPr>
        <w:t>.</w:t>
      </w:r>
    </w:p>
    <w:p w:rsidR="00157F8C" w:rsidRPr="00157F8C" w:rsidRDefault="00157F8C" w:rsidP="00157F8C">
      <w:pPr>
        <w:jc w:val="both"/>
        <w:rPr>
          <w:sz w:val="22"/>
          <w:szCs w:val="22"/>
        </w:rPr>
      </w:pPr>
    </w:p>
    <w:p w:rsidR="00157F8C" w:rsidRPr="00157F8C" w:rsidRDefault="00157F8C" w:rsidP="00157F8C">
      <w:pPr>
        <w:jc w:val="both"/>
        <w:rPr>
          <w:sz w:val="22"/>
          <w:szCs w:val="22"/>
        </w:rPr>
      </w:pPr>
      <w:r w:rsidRPr="00157F8C">
        <w:rPr>
          <w:sz w:val="22"/>
          <w:szCs w:val="22"/>
        </w:rPr>
        <w:t>Επιπλέον, η ανάκαμψη της περιόδου 2017-2018 στηρίχθηκε ως επί το πλείστον στην αναθεωρημένη προς τα πάνω πραγματική ιδιωτική κατανάλωση (με διπλασιασμό του μέσου ετήσιου ρυθμού της από το 1,0% στο 2,1%), χωρίς όμως ανάλογη αναθεώρηση της απασχόλησης. Αντίθετα, οι ετήσιοι ρυθμοί συνολικής και μισθωτής απασχόλησης αναθεωρήθηκαν προς τα κάτω για την περίοδο 2017-2018 (σωρευτικά σε 0,9% και 1,5%, αντίστοιχα, έναντι 3,3% και 4,1% προηγουμένως). Αυτό οδήγησε σε προς τα κάτω αναθεώρηση και του ρυθμού αύξησης των αμοιβών εξαρτημένης εργασίας στο σύνολο της οικονομίας (στο 4,9% σωρευτικά στη διετία έναντι 6,0% προηγουμένως), γεγονός που δρα περι</w:t>
      </w:r>
      <w:r w:rsidRPr="00157F8C">
        <w:rPr>
          <w:sz w:val="22"/>
          <w:szCs w:val="22"/>
        </w:rPr>
        <w:t>ο</w:t>
      </w:r>
      <w:r w:rsidRPr="00157F8C">
        <w:rPr>
          <w:sz w:val="22"/>
          <w:szCs w:val="22"/>
        </w:rPr>
        <w:t>ριστικά για την εξέλιξη του διαθέσιμου εισοδήματος των νοικοκυριών.</w:t>
      </w:r>
    </w:p>
    <w:p w:rsidR="00157F8C" w:rsidRPr="00157F8C" w:rsidRDefault="00157F8C" w:rsidP="00157F8C">
      <w:pPr>
        <w:jc w:val="both"/>
        <w:rPr>
          <w:sz w:val="22"/>
          <w:szCs w:val="22"/>
        </w:rPr>
      </w:pPr>
    </w:p>
    <w:p w:rsidR="00157F8C" w:rsidRPr="00157F8C" w:rsidRDefault="00157F8C" w:rsidP="00157F8C">
      <w:pPr>
        <w:jc w:val="both"/>
        <w:rPr>
          <w:sz w:val="22"/>
          <w:szCs w:val="22"/>
        </w:rPr>
      </w:pPr>
      <w:r w:rsidRPr="00157F8C">
        <w:rPr>
          <w:sz w:val="22"/>
          <w:szCs w:val="22"/>
        </w:rPr>
        <w:t>Ταυτόχρονα, η συμβολή του πραγματικού εξωτερικού τομέα στην ανάπτυξη εμφανίζεται μειωμένη την περίοδο 2017-2018 σύμφωνα με τα αναθεωρημένα στοιχεία, στις 0,5 ποσοστιαίες μονάδες από 1,1 ποσοστιαίες μονάδες προηγουμένως, ενώ η συμβολή των πραγματικών επενδύσεων διαμορφώνεται μεν σωρευτικά ελαφρώς βελτιωμένη έναντι των στοιχείων Μαρτίου 2020, εντούτοις πρακτικά μηδ</w:t>
      </w:r>
      <w:r w:rsidRPr="00157F8C">
        <w:rPr>
          <w:sz w:val="22"/>
          <w:szCs w:val="22"/>
        </w:rPr>
        <w:t>ε</w:t>
      </w:r>
      <w:r w:rsidRPr="00157F8C">
        <w:rPr>
          <w:sz w:val="22"/>
          <w:szCs w:val="22"/>
        </w:rPr>
        <w:t>νική (0,1 ποσοστιαία μονάδα του ΑΕΠ).</w:t>
      </w:r>
    </w:p>
    <w:p w:rsidR="00157F8C" w:rsidRPr="00157F8C" w:rsidRDefault="00157F8C" w:rsidP="00157F8C">
      <w:pPr>
        <w:jc w:val="both"/>
        <w:rPr>
          <w:sz w:val="22"/>
          <w:szCs w:val="22"/>
        </w:rPr>
      </w:pPr>
    </w:p>
    <w:p w:rsidR="00157F8C" w:rsidRPr="00157F8C" w:rsidRDefault="00157F8C" w:rsidP="00157F8C">
      <w:pPr>
        <w:jc w:val="both"/>
        <w:rPr>
          <w:sz w:val="22"/>
          <w:szCs w:val="22"/>
        </w:rPr>
      </w:pPr>
      <w:r w:rsidRPr="00157F8C">
        <w:rPr>
          <w:sz w:val="22"/>
          <w:szCs w:val="22"/>
        </w:rPr>
        <w:t>Αναλυτικότερα ως προς την πορεία των επενδύσεων, το επίπεδο του όγκου επενδυτικής δραστηριότ</w:t>
      </w:r>
      <w:r w:rsidRPr="00157F8C">
        <w:rPr>
          <w:sz w:val="22"/>
          <w:szCs w:val="22"/>
        </w:rPr>
        <w:t>η</w:t>
      </w:r>
      <w:r w:rsidRPr="00157F8C">
        <w:rPr>
          <w:sz w:val="22"/>
          <w:szCs w:val="22"/>
        </w:rPr>
        <w:t>τας έχει αναθεωρηθεί προς τα κάτω για όλη την περίοδο 1995-2019, λόγω της προς τα κάτω αναθε</w:t>
      </w:r>
      <w:r w:rsidRPr="00157F8C">
        <w:rPr>
          <w:sz w:val="22"/>
          <w:szCs w:val="22"/>
        </w:rPr>
        <w:t>ώ</w:t>
      </w:r>
      <w:r w:rsidRPr="00157F8C">
        <w:rPr>
          <w:sz w:val="22"/>
          <w:szCs w:val="22"/>
        </w:rPr>
        <w:t>ρησης των ρυθμών μεταβολής των ετών 2011, 2015-2017 και 2019, αλλά και της αλλαγής του έτους βάσης (2015=100) από την Ελληνική Στατιστική Αρχή. Παρά την ταυτόχρονη αναθεώρηση του επ</w:t>
      </w:r>
      <w:r w:rsidRPr="00157F8C">
        <w:rPr>
          <w:sz w:val="22"/>
          <w:szCs w:val="22"/>
        </w:rPr>
        <w:t>ι</w:t>
      </w:r>
      <w:r w:rsidRPr="00157F8C">
        <w:rPr>
          <w:sz w:val="22"/>
          <w:szCs w:val="22"/>
        </w:rPr>
        <w:t>πέδου όγκου του ΑΕΠ της ίδιας περιόδου προς τα κάτω</w:t>
      </w:r>
      <w:r w:rsidRPr="00157F8C">
        <w:rPr>
          <w:sz w:val="22"/>
          <w:szCs w:val="22"/>
          <w:vertAlign w:val="superscript"/>
        </w:rPr>
        <w:footnoteReference w:id="7"/>
      </w:r>
      <w:r w:rsidRPr="00157F8C">
        <w:rPr>
          <w:sz w:val="22"/>
          <w:szCs w:val="22"/>
        </w:rPr>
        <w:t>, το ποσοστό συμμετοχής των πραγματικών επενδύσεων στο ΑΕΠ είναι μειωμένο πλέον τόσο στην περίοδο 1995-2009 (κατά 1,2 ποσοστιαίες μ</w:t>
      </w:r>
      <w:r w:rsidRPr="00157F8C">
        <w:rPr>
          <w:sz w:val="22"/>
          <w:szCs w:val="22"/>
        </w:rPr>
        <w:t>ο</w:t>
      </w:r>
      <w:r w:rsidRPr="00157F8C">
        <w:rPr>
          <w:sz w:val="22"/>
          <w:szCs w:val="22"/>
        </w:rPr>
        <w:t>νάδες του ΑΕΠ κατά μέσο όρο) όσο και στην περίοδο αναθεώρησης 2010-2019 (κατά 0,9 ποσοστιαίες μονάδες κατά μέσο όρο).</w:t>
      </w:r>
    </w:p>
    <w:p w:rsidR="00157F8C" w:rsidRPr="00157F8C" w:rsidRDefault="00157F8C" w:rsidP="00157F8C">
      <w:pPr>
        <w:jc w:val="both"/>
        <w:rPr>
          <w:sz w:val="22"/>
          <w:szCs w:val="22"/>
        </w:rPr>
      </w:pPr>
    </w:p>
    <w:p w:rsidR="00157F8C" w:rsidRPr="00157F8C" w:rsidRDefault="00157F8C" w:rsidP="00157F8C">
      <w:pPr>
        <w:jc w:val="both"/>
        <w:rPr>
          <w:sz w:val="22"/>
          <w:szCs w:val="22"/>
        </w:rPr>
      </w:pPr>
      <w:r w:rsidRPr="00157F8C">
        <w:rPr>
          <w:sz w:val="22"/>
          <w:szCs w:val="22"/>
        </w:rPr>
        <w:t>Ως εκ τούτου, το 2019 οι πραγματικές επενδύσεις ανέρχονται πλέον στο 10,2% του ΑΕΠ έναντι 11,5% του ΑΕΠ βάσει των προηγούμενων στοιχείων, μετρώντας απώλειες της τάξης του 66,4% του όγκου των επενδύσεων πριν την έναρξη της πτωτικής τους πορείας το 2008 (έναντι αντίστοιχων απ</w:t>
      </w:r>
      <w:r w:rsidRPr="00157F8C">
        <w:rPr>
          <w:sz w:val="22"/>
          <w:szCs w:val="22"/>
        </w:rPr>
        <w:t>ω</w:t>
      </w:r>
      <w:r w:rsidRPr="00157F8C">
        <w:rPr>
          <w:sz w:val="22"/>
          <w:szCs w:val="22"/>
        </w:rPr>
        <w:t>λειών του 63,8% σύμφωνα με τα στοιχεία Μαρτίου 2020). Αυτό καταδεικνύει τη διόγκωση του επε</w:t>
      </w:r>
      <w:r w:rsidRPr="00157F8C">
        <w:rPr>
          <w:sz w:val="22"/>
          <w:szCs w:val="22"/>
        </w:rPr>
        <w:t>ν</w:t>
      </w:r>
      <w:r w:rsidRPr="00157F8C">
        <w:rPr>
          <w:sz w:val="22"/>
          <w:szCs w:val="22"/>
        </w:rPr>
        <w:t xml:space="preserve">δυτικού κενού που δημιουργήθηκε στα χρόνια της οικονομικής κρίσης, γεγονός που επιτείνει την </w:t>
      </w:r>
      <w:r w:rsidRPr="00157F8C">
        <w:rPr>
          <w:sz w:val="22"/>
          <w:szCs w:val="22"/>
        </w:rPr>
        <w:t>α</w:t>
      </w:r>
      <w:r w:rsidRPr="00157F8C">
        <w:rPr>
          <w:sz w:val="22"/>
          <w:szCs w:val="22"/>
        </w:rPr>
        <w:t>ναγκαιότητα εφαρμογής πολιτικών για την αύξηση των νέων επενδύσεων και τη μεσοπρόθεσμη αν</w:t>
      </w:r>
      <w:r w:rsidRPr="00157F8C">
        <w:rPr>
          <w:sz w:val="22"/>
          <w:szCs w:val="22"/>
        </w:rPr>
        <w:t>ά</w:t>
      </w:r>
      <w:r w:rsidRPr="00157F8C">
        <w:rPr>
          <w:sz w:val="22"/>
          <w:szCs w:val="22"/>
        </w:rPr>
        <w:t>καμψη του αποθέματος φυσικού κεφαλαίου, όπως είναι η στόχευση της νέας οικονομικής πολιτικής.</w:t>
      </w:r>
    </w:p>
    <w:p w:rsidR="00157F8C" w:rsidRPr="00157F8C" w:rsidRDefault="00157F8C" w:rsidP="00157F8C">
      <w:pPr>
        <w:jc w:val="both"/>
        <w:rPr>
          <w:sz w:val="22"/>
          <w:szCs w:val="22"/>
        </w:rPr>
      </w:pPr>
    </w:p>
    <w:p w:rsidR="00157F8C" w:rsidRPr="00157F8C" w:rsidRDefault="00157F8C" w:rsidP="00157F8C">
      <w:pPr>
        <w:jc w:val="both"/>
        <w:rPr>
          <w:sz w:val="22"/>
          <w:szCs w:val="22"/>
        </w:rPr>
      </w:pPr>
      <w:r w:rsidRPr="00157F8C">
        <w:rPr>
          <w:sz w:val="22"/>
          <w:szCs w:val="22"/>
        </w:rPr>
        <w:t>Εκτός από τις επενδύσεις, επιδείνωση βάσει της αναθεώρησης της Ελληνικής Στατιστικής Αρχής προκύπτει και για το ονομαστικό ισοζύγιο αγαθών και υπηρεσιών για τα έτη 2015-2019 σε εθνικολ</w:t>
      </w:r>
      <w:r w:rsidRPr="00157F8C">
        <w:rPr>
          <w:sz w:val="22"/>
          <w:szCs w:val="22"/>
        </w:rPr>
        <w:t>ο</w:t>
      </w:r>
      <w:r w:rsidRPr="00157F8C">
        <w:rPr>
          <w:sz w:val="22"/>
          <w:szCs w:val="22"/>
        </w:rPr>
        <w:t>γιστική βάση, σε αντίθεση με την προς τα πάνω αναθεώρηση του ισοζυγίου για τα έτη 2010-2011 και 2013-2014. Σε συνδυασμό με την αντίστοιχη επιδείνωση του ισοζυγίου πρωτογενών εισοδημάτων της περιόδου 2014-2019 βάσει των στοιχείων Οκτωβρίου 2020, προκύπτει επιδείνωση του εθνικολογιστ</w:t>
      </w:r>
      <w:r w:rsidRPr="00157F8C">
        <w:rPr>
          <w:sz w:val="22"/>
          <w:szCs w:val="22"/>
        </w:rPr>
        <w:t>ι</w:t>
      </w:r>
      <w:r w:rsidRPr="00157F8C">
        <w:rPr>
          <w:sz w:val="22"/>
          <w:szCs w:val="22"/>
        </w:rPr>
        <w:t>κού ελλείμματος Τρεχουσών Συναλλαγών την περίοδο 2015-2019, όπως φαίνεται από την προς τα κ</w:t>
      </w:r>
      <w:r w:rsidRPr="00157F8C">
        <w:rPr>
          <w:sz w:val="22"/>
          <w:szCs w:val="22"/>
        </w:rPr>
        <w:t>ά</w:t>
      </w:r>
      <w:r w:rsidRPr="00157F8C">
        <w:rPr>
          <w:sz w:val="22"/>
          <w:szCs w:val="22"/>
        </w:rPr>
        <w:t>τω μετατόπιση της καμπύλης στο διάγραμμα 1.1.</w:t>
      </w:r>
    </w:p>
    <w:p w:rsidR="00606DB8" w:rsidRPr="0063518B" w:rsidRDefault="00606DB8" w:rsidP="008771D5">
      <w:pPr>
        <w:jc w:val="both"/>
        <w:rPr>
          <w:sz w:val="22"/>
          <w:szCs w:val="22"/>
        </w:rPr>
      </w:pPr>
    </w:p>
    <w:p w:rsidR="00EB4F5D" w:rsidRDefault="00EB4F5D" w:rsidP="008771D5">
      <w:pPr>
        <w:jc w:val="both"/>
        <w:rPr>
          <w:sz w:val="22"/>
          <w:szCs w:val="22"/>
        </w:rPr>
      </w:pPr>
    </w:p>
    <w:p w:rsidR="005D4266" w:rsidRDefault="005D4266" w:rsidP="008771D5">
      <w:pPr>
        <w:jc w:val="both"/>
        <w:rPr>
          <w:sz w:val="22"/>
          <w:szCs w:val="22"/>
        </w:rPr>
      </w:pPr>
    </w:p>
    <w:p w:rsidR="005D4266" w:rsidRDefault="005D4266" w:rsidP="008771D5">
      <w:pPr>
        <w:jc w:val="both"/>
        <w:rPr>
          <w:sz w:val="22"/>
          <w:szCs w:val="22"/>
        </w:rPr>
      </w:pPr>
    </w:p>
    <w:p w:rsidR="005D4266" w:rsidRPr="005C0D9B" w:rsidRDefault="005D4266" w:rsidP="008771D5">
      <w:pPr>
        <w:jc w:val="both"/>
        <w:rPr>
          <w:sz w:val="22"/>
          <w:szCs w:val="22"/>
        </w:rPr>
      </w:pPr>
    </w:p>
    <w:p w:rsidR="00CE4984" w:rsidRPr="005C0D9B" w:rsidRDefault="00CE4984" w:rsidP="008771D5">
      <w:pPr>
        <w:jc w:val="both"/>
        <w:rPr>
          <w:sz w:val="22"/>
          <w:szCs w:val="22"/>
        </w:rPr>
      </w:pPr>
    </w:p>
    <w:p w:rsidR="00CE4984" w:rsidRPr="005C0D9B" w:rsidRDefault="00CE4984" w:rsidP="008771D5">
      <w:pPr>
        <w:jc w:val="both"/>
        <w:rPr>
          <w:sz w:val="22"/>
          <w:szCs w:val="22"/>
        </w:rPr>
      </w:pPr>
    </w:p>
    <w:p w:rsidR="005D4266" w:rsidRDefault="005D4266" w:rsidP="008771D5">
      <w:pPr>
        <w:jc w:val="both"/>
        <w:rPr>
          <w:sz w:val="22"/>
          <w:szCs w:val="22"/>
        </w:rPr>
      </w:pPr>
    </w:p>
    <w:p w:rsidR="005D4266" w:rsidRDefault="005D4266" w:rsidP="008771D5">
      <w:pPr>
        <w:jc w:val="both"/>
        <w:rPr>
          <w:sz w:val="22"/>
          <w:szCs w:val="22"/>
        </w:rPr>
      </w:pPr>
    </w:p>
    <w:p w:rsidR="00EB4F5D" w:rsidRPr="0063518B" w:rsidRDefault="00EB4F5D" w:rsidP="008771D5">
      <w:pPr>
        <w:jc w:val="both"/>
        <w:rPr>
          <w:sz w:val="22"/>
          <w:szCs w:val="22"/>
        </w:rPr>
      </w:pPr>
    </w:p>
    <w:tbl>
      <w:tblPr>
        <w:tblW w:w="0" w:type="auto"/>
        <w:tblLook w:val="04A0"/>
      </w:tblPr>
      <w:tblGrid>
        <w:gridCol w:w="9070"/>
      </w:tblGrid>
      <w:tr w:rsidR="00157F8C" w:rsidTr="005D4266">
        <w:tc>
          <w:tcPr>
            <w:tcW w:w="9070" w:type="dxa"/>
          </w:tcPr>
          <w:p w:rsidR="00157F8C" w:rsidRPr="007D5EBD" w:rsidRDefault="00157F8C" w:rsidP="005D4266">
            <w:pPr>
              <w:jc w:val="center"/>
              <w:rPr>
                <w:rFonts w:ascii="Arial Narrow" w:hAnsi="Arial Narrow"/>
                <w:b/>
                <w:sz w:val="22"/>
              </w:rPr>
            </w:pPr>
            <w:r w:rsidRPr="007D5EBD">
              <w:rPr>
                <w:rFonts w:ascii="Arial Narrow" w:hAnsi="Arial Narrow"/>
                <w:b/>
                <w:sz w:val="22"/>
              </w:rPr>
              <w:lastRenderedPageBreak/>
              <w:t xml:space="preserve">Διάγραμμα 1.1  </w:t>
            </w:r>
            <w:r>
              <w:rPr>
                <w:rFonts w:ascii="Arial Narrow" w:hAnsi="Arial Narrow"/>
                <w:b/>
                <w:sz w:val="22"/>
              </w:rPr>
              <w:t xml:space="preserve">Εξέλιξη του Ισοζυγίου Τρεχουσών Συναλλαγών </w:t>
            </w:r>
          </w:p>
          <w:p w:rsidR="00157F8C" w:rsidRPr="007D5EBD" w:rsidRDefault="00157F8C" w:rsidP="005D4266">
            <w:pPr>
              <w:jc w:val="center"/>
              <w:rPr>
                <w:szCs w:val="22"/>
              </w:rPr>
            </w:pPr>
            <w:r w:rsidRPr="007D5EBD">
              <w:rPr>
                <w:rFonts w:ascii="Arial Narrow" w:hAnsi="Arial Narrow"/>
                <w:sz w:val="22"/>
              </w:rPr>
              <w:t>(%</w:t>
            </w:r>
            <w:r>
              <w:rPr>
                <w:rFonts w:ascii="Arial Narrow" w:hAnsi="Arial Narrow"/>
                <w:sz w:val="22"/>
              </w:rPr>
              <w:t xml:space="preserve"> του </w:t>
            </w:r>
            <w:r w:rsidRPr="007D5EBD">
              <w:rPr>
                <w:rFonts w:ascii="Arial Narrow" w:hAnsi="Arial Narrow"/>
                <w:sz w:val="22"/>
              </w:rPr>
              <w:t>ΑΕΠ</w:t>
            </w:r>
            <w:r>
              <w:rPr>
                <w:rFonts w:ascii="Arial Narrow" w:hAnsi="Arial Narrow"/>
                <w:sz w:val="22"/>
              </w:rPr>
              <w:t xml:space="preserve">, </w:t>
            </w:r>
            <w:r w:rsidRPr="007D5EBD">
              <w:rPr>
                <w:rFonts w:ascii="Arial Narrow" w:hAnsi="Arial Narrow"/>
                <w:sz w:val="22"/>
              </w:rPr>
              <w:t xml:space="preserve"> </w:t>
            </w:r>
            <w:r>
              <w:rPr>
                <w:rFonts w:ascii="Arial Narrow" w:hAnsi="Arial Narrow"/>
                <w:sz w:val="22"/>
              </w:rPr>
              <w:t>τρέχουσες</w:t>
            </w:r>
            <w:r w:rsidRPr="007D5EBD">
              <w:rPr>
                <w:rFonts w:ascii="Arial Narrow" w:hAnsi="Arial Narrow"/>
                <w:sz w:val="22"/>
              </w:rPr>
              <w:t xml:space="preserve"> τιμές)</w:t>
            </w:r>
          </w:p>
        </w:tc>
      </w:tr>
    </w:tbl>
    <w:p w:rsidR="00157F8C" w:rsidRDefault="00157F8C" w:rsidP="00157F8C">
      <w:pPr>
        <w:jc w:val="center"/>
        <w:rPr>
          <w:szCs w:val="22"/>
        </w:rPr>
      </w:pPr>
      <w:r>
        <w:rPr>
          <w:noProof/>
        </w:rPr>
        <w:drawing>
          <wp:inline distT="0" distB="0" distL="0" distR="0">
            <wp:extent cx="4942417" cy="3878856"/>
            <wp:effectExtent l="19050" t="0" r="0" b="0"/>
            <wp:docPr id="6" name="5 - Εικόνα" descr="διάγραμμα ΙΤ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διάγραμμα ΙΤΣ.png"/>
                    <pic:cNvPicPr/>
                  </pic:nvPicPr>
                  <pic:blipFill>
                    <a:blip r:embed="rId9" cstate="print"/>
                    <a:stretch>
                      <a:fillRect/>
                    </a:stretch>
                  </pic:blipFill>
                  <pic:spPr>
                    <a:xfrm>
                      <a:off x="0" y="0"/>
                      <a:ext cx="4961651" cy="3893951"/>
                    </a:xfrm>
                    <a:prstGeom prst="rect">
                      <a:avLst/>
                    </a:prstGeom>
                  </pic:spPr>
                </pic:pic>
              </a:graphicData>
            </a:graphic>
          </wp:inline>
        </w:drawing>
      </w:r>
    </w:p>
    <w:p w:rsidR="00157F8C" w:rsidRPr="005D4266" w:rsidRDefault="00157F8C" w:rsidP="000B1C09">
      <w:pPr>
        <w:tabs>
          <w:tab w:val="left" w:pos="142"/>
        </w:tabs>
        <w:ind w:left="851" w:right="423" w:hanging="425"/>
        <w:jc w:val="both"/>
        <w:rPr>
          <w:rFonts w:ascii="Arial Narrow" w:hAnsi="Arial Narrow"/>
          <w:sz w:val="14"/>
          <w:szCs w:val="14"/>
        </w:rPr>
      </w:pPr>
      <w:r w:rsidRPr="005D4266">
        <w:rPr>
          <w:rFonts w:ascii="Arial Narrow" w:hAnsi="Arial Narrow"/>
          <w:sz w:val="14"/>
          <w:szCs w:val="14"/>
        </w:rPr>
        <w:t>Πηγή:</w:t>
      </w:r>
      <w:r w:rsidRPr="005D4266">
        <w:rPr>
          <w:rFonts w:ascii="Arial Narrow" w:hAnsi="Arial Narrow"/>
          <w:sz w:val="14"/>
          <w:szCs w:val="14"/>
        </w:rPr>
        <w:tab/>
        <w:t xml:space="preserve">Ετήσιοι Εθνικοί Λογαριασμοί 2019 (Ελληνική Στατιστική Αρχή), </w:t>
      </w:r>
    </w:p>
    <w:p w:rsidR="00157F8C" w:rsidRPr="005D4266" w:rsidRDefault="00157F8C" w:rsidP="000B1C09">
      <w:pPr>
        <w:tabs>
          <w:tab w:val="left" w:pos="426"/>
          <w:tab w:val="left" w:pos="567"/>
        </w:tabs>
        <w:ind w:left="567" w:right="423" w:hanging="141"/>
        <w:jc w:val="both"/>
        <w:rPr>
          <w:rFonts w:ascii="Arial Narrow" w:hAnsi="Arial Narrow"/>
          <w:iCs/>
          <w:sz w:val="14"/>
          <w:szCs w:val="14"/>
        </w:rPr>
      </w:pPr>
      <w:r w:rsidRPr="005D4266">
        <w:rPr>
          <w:rFonts w:ascii="Arial Narrow" w:hAnsi="Arial Narrow"/>
          <w:iCs/>
          <w:sz w:val="14"/>
          <w:szCs w:val="14"/>
        </w:rPr>
        <w:t>*</w:t>
      </w:r>
      <w:r w:rsidR="000B1C09">
        <w:rPr>
          <w:rFonts w:ascii="Arial Narrow" w:hAnsi="Arial Narrow"/>
          <w:iCs/>
          <w:sz w:val="14"/>
          <w:szCs w:val="14"/>
        </w:rPr>
        <w:tab/>
      </w:r>
      <w:r w:rsidRPr="005D4266">
        <w:rPr>
          <w:rFonts w:ascii="Arial Narrow" w:hAnsi="Arial Narrow"/>
          <w:iCs/>
          <w:sz w:val="14"/>
          <w:szCs w:val="14"/>
        </w:rPr>
        <w:t xml:space="preserve">για τα έτη 2018 και 2019, τα στοιχεία ισοζυγίου πρωτογενών εισοδημάτων της καμπύλης ΙΤΣ Οκτωβρίου 2020 είναι της Ελληνικής Στατιστικής Αρχής, έναντι αντίστοιχων εκτιμήσεων του Υπουργείου Οικονομικών στην καμπύλη Μαρτίου 2020. </w:t>
      </w:r>
    </w:p>
    <w:p w:rsidR="00157F8C" w:rsidRPr="005D4266" w:rsidRDefault="00157F8C" w:rsidP="00157F8C">
      <w:pPr>
        <w:jc w:val="both"/>
        <w:rPr>
          <w:sz w:val="14"/>
          <w:szCs w:val="14"/>
        </w:rPr>
      </w:pPr>
    </w:p>
    <w:p w:rsidR="00157F8C" w:rsidRPr="00696359" w:rsidRDefault="00157F8C" w:rsidP="00157F8C">
      <w:pPr>
        <w:jc w:val="both"/>
        <w:rPr>
          <w:sz w:val="22"/>
          <w:szCs w:val="22"/>
        </w:rPr>
      </w:pPr>
      <w:r w:rsidRPr="00696359">
        <w:rPr>
          <w:sz w:val="22"/>
          <w:szCs w:val="22"/>
        </w:rPr>
        <w:t>Τα ως άνω αναθεωρημένα δεδομένα καταδεικνύουν τη στήριξη της ανάκαμψης την περίοδο 2017-2018 στο προϋπάρχον καταναλωτικό μοντέλο της οικονομίας, εν μέσω στασιμότητας των επενδύσεων και απωλειών σε όρους ανταγωνιστικότητας παρά τις μεταρρυθμιστικές πολιτικές που υλοποιήθηκαν στο πλαίσιο του τρίτου προγράμματος οικονομικής προσαρμογής (2015-2018).</w:t>
      </w:r>
    </w:p>
    <w:p w:rsidR="00157F8C" w:rsidRPr="00696359" w:rsidRDefault="00157F8C" w:rsidP="00157F8C">
      <w:pPr>
        <w:jc w:val="both"/>
        <w:rPr>
          <w:sz w:val="22"/>
          <w:szCs w:val="22"/>
        </w:rPr>
      </w:pPr>
    </w:p>
    <w:p w:rsidR="00157F8C" w:rsidRPr="00696359" w:rsidRDefault="00157F8C" w:rsidP="00157F8C">
      <w:pPr>
        <w:jc w:val="both"/>
        <w:rPr>
          <w:sz w:val="22"/>
          <w:szCs w:val="22"/>
        </w:rPr>
      </w:pPr>
      <w:r w:rsidRPr="00696359">
        <w:rPr>
          <w:sz w:val="22"/>
          <w:szCs w:val="22"/>
        </w:rPr>
        <w:t>Σύμφωνα με την τελευταία Έκθεση Παγκόσμιας Ανταγωνιστικότητας του Παγκόσμιου Οικονομικού Φόρουμ, που δημοσιεύθηκε στις αρχές Οκτωβρίου του 2019 (με περίοδο αναφοράς πριν το δεύτερο εξάμηνο 2019), η ετήσια κατάταξη ανταγωνιστικότητας της ελληνικής οικονομίας συνέχισε να είναι φθίνουσα για το 2019 μεταξύ 141 οικονομιών, χάνοντας 2 θέσεις, σε συνέχεια της υποβάθμισης κατά 4 θέσεις το 2018. Η 59</w:t>
      </w:r>
      <w:r w:rsidRPr="00696359">
        <w:rPr>
          <w:sz w:val="22"/>
          <w:szCs w:val="22"/>
          <w:vertAlign w:val="superscript"/>
        </w:rPr>
        <w:t>η</w:t>
      </w:r>
      <w:r w:rsidRPr="00696359">
        <w:rPr>
          <w:sz w:val="22"/>
          <w:szCs w:val="22"/>
        </w:rPr>
        <w:t xml:space="preserve"> θέση του 2019 συνοψίζεται, σε αδρές γραμμές, στην επιδείνωση της επίδοσης της Ελλάδας στους δείκτες κοινωνικού κεφαλαίου, διαφάνειας, τρέχοντος εργατικού δυναμικού και δεξιοτήτων του, αξιοκρατίας και παροχής κινήτρων, αγορών προϊόντων, εξωστρέφειας του εμπορίου και σταθερότητας του χρηματοπιστωτικού συστήματος.</w:t>
      </w:r>
    </w:p>
    <w:p w:rsidR="00157F8C" w:rsidRPr="00696359" w:rsidRDefault="00157F8C" w:rsidP="00157F8C">
      <w:pPr>
        <w:jc w:val="both"/>
        <w:rPr>
          <w:sz w:val="22"/>
          <w:szCs w:val="22"/>
        </w:rPr>
      </w:pPr>
    </w:p>
    <w:p w:rsidR="00157F8C" w:rsidRPr="00696359" w:rsidRDefault="00157F8C" w:rsidP="00157F8C">
      <w:pPr>
        <w:jc w:val="both"/>
        <w:rPr>
          <w:sz w:val="22"/>
          <w:szCs w:val="22"/>
        </w:rPr>
      </w:pPr>
      <w:r w:rsidRPr="00696359">
        <w:rPr>
          <w:sz w:val="22"/>
          <w:szCs w:val="22"/>
        </w:rPr>
        <w:t>Επιπλέον, σύμφωνα με τον δείκτη ευκολίας στην άσκηση επιχειρηματικής δραστηριότητας της Π</w:t>
      </w:r>
      <w:r w:rsidRPr="00696359">
        <w:rPr>
          <w:sz w:val="22"/>
          <w:szCs w:val="22"/>
        </w:rPr>
        <w:t>α</w:t>
      </w:r>
      <w:r w:rsidRPr="00696359">
        <w:rPr>
          <w:sz w:val="22"/>
          <w:szCs w:val="22"/>
        </w:rPr>
        <w:t>γκόσμιας Τράπεζας («</w:t>
      </w:r>
      <w:r w:rsidRPr="00696359">
        <w:rPr>
          <w:sz w:val="22"/>
          <w:szCs w:val="22"/>
          <w:lang w:val="en-US"/>
        </w:rPr>
        <w:t>Ease</w:t>
      </w:r>
      <w:r w:rsidRPr="00696359">
        <w:rPr>
          <w:sz w:val="22"/>
          <w:szCs w:val="22"/>
        </w:rPr>
        <w:t xml:space="preserve"> </w:t>
      </w:r>
      <w:r w:rsidRPr="00696359">
        <w:rPr>
          <w:sz w:val="22"/>
          <w:szCs w:val="22"/>
          <w:lang w:val="en-US"/>
        </w:rPr>
        <w:t>of</w:t>
      </w:r>
      <w:r w:rsidRPr="00696359">
        <w:rPr>
          <w:sz w:val="22"/>
          <w:szCs w:val="22"/>
        </w:rPr>
        <w:t xml:space="preserve"> </w:t>
      </w:r>
      <w:r w:rsidRPr="00696359">
        <w:rPr>
          <w:sz w:val="22"/>
          <w:szCs w:val="22"/>
          <w:lang w:val="en-US"/>
        </w:rPr>
        <w:t>Doing</w:t>
      </w:r>
      <w:r w:rsidRPr="00696359">
        <w:rPr>
          <w:sz w:val="22"/>
          <w:szCs w:val="22"/>
        </w:rPr>
        <w:t xml:space="preserve"> </w:t>
      </w:r>
      <w:r w:rsidRPr="00696359">
        <w:rPr>
          <w:sz w:val="22"/>
          <w:szCs w:val="22"/>
          <w:lang w:val="en-US"/>
        </w:rPr>
        <w:t>Business</w:t>
      </w:r>
      <w:r w:rsidRPr="00696359">
        <w:rPr>
          <w:sz w:val="22"/>
          <w:szCs w:val="22"/>
        </w:rPr>
        <w:t xml:space="preserve">»), την περίοδο </w:t>
      </w:r>
      <w:r w:rsidR="00811784">
        <w:rPr>
          <w:sz w:val="22"/>
          <w:szCs w:val="22"/>
        </w:rPr>
        <w:t xml:space="preserve">Μαϊου </w:t>
      </w:r>
      <w:r w:rsidR="00445711">
        <w:rPr>
          <w:sz w:val="22"/>
          <w:szCs w:val="22"/>
        </w:rPr>
        <w:t>2016</w:t>
      </w:r>
      <w:r w:rsidR="00811784">
        <w:rPr>
          <w:sz w:val="22"/>
          <w:szCs w:val="22"/>
        </w:rPr>
        <w:t xml:space="preserve"> – Μαΐου </w:t>
      </w:r>
      <w:r w:rsidR="00445711">
        <w:rPr>
          <w:sz w:val="22"/>
          <w:szCs w:val="22"/>
        </w:rPr>
        <w:t>2019</w:t>
      </w:r>
      <w:r w:rsidRPr="00696359">
        <w:rPr>
          <w:sz w:val="22"/>
          <w:szCs w:val="22"/>
        </w:rPr>
        <w:t xml:space="preserve"> η Ελλάδα κατατάσσεται σε φθίνουσα θέση σε σύνολο 190 οικονομιών. Το γεγονός αυτό αντανακλά τη περιορ</w:t>
      </w:r>
      <w:r w:rsidRPr="00696359">
        <w:rPr>
          <w:sz w:val="22"/>
          <w:szCs w:val="22"/>
        </w:rPr>
        <w:t>ι</w:t>
      </w:r>
      <w:r w:rsidRPr="00696359">
        <w:rPr>
          <w:sz w:val="22"/>
          <w:szCs w:val="22"/>
        </w:rPr>
        <w:t xml:space="preserve">στική δράση των κανονιστικών πρακτικών της περιόδου </w:t>
      </w:r>
      <w:r w:rsidR="00811784">
        <w:rPr>
          <w:sz w:val="22"/>
          <w:szCs w:val="22"/>
        </w:rPr>
        <w:t xml:space="preserve">Μαΐου </w:t>
      </w:r>
      <w:r w:rsidRPr="00696359">
        <w:rPr>
          <w:sz w:val="22"/>
          <w:szCs w:val="22"/>
        </w:rPr>
        <w:t>2016</w:t>
      </w:r>
      <w:r w:rsidR="00811784">
        <w:rPr>
          <w:sz w:val="22"/>
          <w:szCs w:val="22"/>
        </w:rPr>
        <w:t xml:space="preserve"> – Μαϊου </w:t>
      </w:r>
      <w:r w:rsidRPr="00696359">
        <w:rPr>
          <w:sz w:val="22"/>
          <w:szCs w:val="22"/>
        </w:rPr>
        <w:t>2019 (περίοδος αναφ</w:t>
      </w:r>
      <w:r w:rsidRPr="00696359">
        <w:rPr>
          <w:sz w:val="22"/>
          <w:szCs w:val="22"/>
        </w:rPr>
        <w:t>ο</w:t>
      </w:r>
      <w:r w:rsidRPr="00696359">
        <w:rPr>
          <w:sz w:val="22"/>
          <w:szCs w:val="22"/>
        </w:rPr>
        <w:t xml:space="preserve">ράς των ετήσιων εκθέσεων 2017-2020) για την ελεύθερη άσκηση του επιχειρείν στη χώρα. Για την περίοδο αναφοράς </w:t>
      </w:r>
      <w:r w:rsidR="00811784">
        <w:rPr>
          <w:sz w:val="22"/>
          <w:szCs w:val="22"/>
        </w:rPr>
        <w:t xml:space="preserve">Μαΐου 2018 – Μαΐου </w:t>
      </w:r>
      <w:r w:rsidRPr="00696359">
        <w:rPr>
          <w:sz w:val="22"/>
          <w:szCs w:val="22"/>
        </w:rPr>
        <w:t>2019, η Ελλάδα κατατάχθηκε στην 79</w:t>
      </w:r>
      <w:r w:rsidRPr="00696359">
        <w:rPr>
          <w:sz w:val="22"/>
          <w:szCs w:val="22"/>
          <w:vertAlign w:val="superscript"/>
        </w:rPr>
        <w:t xml:space="preserve">η </w:t>
      </w:r>
      <w:r w:rsidRPr="00696359">
        <w:rPr>
          <w:sz w:val="22"/>
          <w:szCs w:val="22"/>
        </w:rPr>
        <w:t>θέση από την 72</w:t>
      </w:r>
      <w:r w:rsidRPr="00696359">
        <w:rPr>
          <w:sz w:val="22"/>
          <w:szCs w:val="22"/>
          <w:vertAlign w:val="superscript"/>
        </w:rPr>
        <w:t>η</w:t>
      </w:r>
      <w:r w:rsidRPr="00696359">
        <w:rPr>
          <w:sz w:val="22"/>
          <w:szCs w:val="22"/>
        </w:rPr>
        <w:t xml:space="preserve"> το προηγούμενο έτος</w:t>
      </w:r>
      <w:r w:rsidRPr="00696359">
        <w:rPr>
          <w:rStyle w:val="ab"/>
          <w:sz w:val="22"/>
          <w:szCs w:val="22"/>
        </w:rPr>
        <w:footnoteReference w:id="8"/>
      </w:r>
      <w:r w:rsidRPr="00696359">
        <w:rPr>
          <w:sz w:val="22"/>
          <w:szCs w:val="22"/>
        </w:rPr>
        <w:t>, παρά την οριακή βελτίωση της συνολικής βαθμολογίας της (68,4 το 2019 έναντι 68,08 το 2018). Εξ αυτού συμπεραίνεται επιβράδυνση των μεταρρυθμιστικών προσπαθειών σε σ</w:t>
      </w:r>
      <w:r w:rsidRPr="00696359">
        <w:rPr>
          <w:sz w:val="22"/>
          <w:szCs w:val="22"/>
        </w:rPr>
        <w:t>ύ</w:t>
      </w:r>
      <w:r w:rsidRPr="00696359">
        <w:rPr>
          <w:sz w:val="22"/>
          <w:szCs w:val="22"/>
        </w:rPr>
        <w:t xml:space="preserve">γκριση με τη γενική διεθνή τάση, ειδικότερα όσον αφορά τους τομείς της παροχής χρηματοδότησης, </w:t>
      </w:r>
      <w:r w:rsidRPr="00696359">
        <w:rPr>
          <w:sz w:val="22"/>
          <w:szCs w:val="22"/>
        </w:rPr>
        <w:lastRenderedPageBreak/>
        <w:t>της αδειοδότησης κατασκευών, της εκτέλεσης συμβάσεων και της καταγραφής δικαιωμάτων ιδιοκτ</w:t>
      </w:r>
      <w:r w:rsidRPr="00696359">
        <w:rPr>
          <w:sz w:val="22"/>
          <w:szCs w:val="22"/>
        </w:rPr>
        <w:t>η</w:t>
      </w:r>
      <w:r w:rsidRPr="00696359">
        <w:rPr>
          <w:sz w:val="22"/>
          <w:szCs w:val="22"/>
        </w:rPr>
        <w:t>σίας.</w:t>
      </w:r>
    </w:p>
    <w:p w:rsidR="00157F8C" w:rsidRDefault="00157F8C" w:rsidP="00157F8C">
      <w:pPr>
        <w:jc w:val="both"/>
        <w:rPr>
          <w:rFonts w:ascii="Arial Narrow" w:hAnsi="Arial Narrow"/>
          <w:b/>
          <w:sz w:val="22"/>
        </w:rPr>
      </w:pPr>
    </w:p>
    <w:p w:rsidR="00157F8C" w:rsidRDefault="00157F8C" w:rsidP="005D4266">
      <w:pPr>
        <w:jc w:val="both"/>
        <w:rPr>
          <w:sz w:val="22"/>
          <w:szCs w:val="22"/>
        </w:rPr>
      </w:pPr>
      <w:r w:rsidRPr="00696359">
        <w:rPr>
          <w:sz w:val="22"/>
          <w:szCs w:val="22"/>
        </w:rPr>
        <w:t>Την ίδια στιγμή, αν και τα τελευταία έτη παρατηρείται βελτίωση ως προς την εισοδηματική ανισότ</w:t>
      </w:r>
      <w:r w:rsidRPr="00696359">
        <w:rPr>
          <w:sz w:val="22"/>
          <w:szCs w:val="22"/>
        </w:rPr>
        <w:t>η</w:t>
      </w:r>
      <w:r w:rsidRPr="00696359">
        <w:rPr>
          <w:sz w:val="22"/>
          <w:szCs w:val="22"/>
        </w:rPr>
        <w:t>τα</w:t>
      </w:r>
      <w:r w:rsidRPr="00696359">
        <w:rPr>
          <w:rStyle w:val="ab"/>
          <w:sz w:val="22"/>
          <w:szCs w:val="22"/>
        </w:rPr>
        <w:footnoteReference w:id="9"/>
      </w:r>
      <w:r w:rsidRPr="00696359">
        <w:rPr>
          <w:sz w:val="22"/>
          <w:szCs w:val="22"/>
        </w:rPr>
        <w:t xml:space="preserve">, εντούτοις μεγάλο μέρος της συμπίεσης του συνολικού διαθέσιμου εισοδήματος έναντι της προ κρίσης περιόδου διατηρείται. Για το 2019 (με περίοδο αναφοράς εισοδημάτων το 2018), το ανώτατο ατομικό εισόδημα για το 75% του πληθυσμού με τα χαμηλότερα εισοδήματα βρισκόταν στα 11.625 ευρώ, σημειώνοντας μεν ανάκαμψη έναντι του 2017 (10.933 ευρώ), αλλά παραμένοντας </w:t>
      </w:r>
      <w:r w:rsidR="00535E35">
        <w:rPr>
          <w:sz w:val="22"/>
          <w:szCs w:val="22"/>
        </w:rPr>
        <w:t xml:space="preserve">οριακά </w:t>
      </w:r>
      <w:r w:rsidRPr="00696359">
        <w:rPr>
          <w:sz w:val="22"/>
          <w:szCs w:val="22"/>
        </w:rPr>
        <w:t>χ</w:t>
      </w:r>
      <w:r w:rsidRPr="00696359">
        <w:rPr>
          <w:sz w:val="22"/>
          <w:szCs w:val="22"/>
        </w:rPr>
        <w:t>α</w:t>
      </w:r>
      <w:r w:rsidRPr="00696359">
        <w:rPr>
          <w:sz w:val="22"/>
          <w:szCs w:val="22"/>
        </w:rPr>
        <w:t>μηλότερα από το επίπεδο του 2013 (11.692 ευρώ) και των προηγούμενων ετών.</w:t>
      </w:r>
    </w:p>
    <w:p w:rsidR="005D4266" w:rsidRDefault="005D4266" w:rsidP="005D4266">
      <w:pPr>
        <w:jc w:val="both"/>
        <w:rPr>
          <w:sz w:val="22"/>
          <w:szCs w:val="22"/>
        </w:rPr>
      </w:pPr>
    </w:p>
    <w:p w:rsidR="00157F8C" w:rsidRPr="00696359" w:rsidRDefault="00157F8C" w:rsidP="005D4266">
      <w:pPr>
        <w:jc w:val="both"/>
        <w:rPr>
          <w:sz w:val="22"/>
          <w:szCs w:val="22"/>
        </w:rPr>
      </w:pPr>
      <w:r w:rsidRPr="00696359">
        <w:rPr>
          <w:sz w:val="22"/>
          <w:szCs w:val="22"/>
        </w:rPr>
        <w:t>Οι απώλειες διαθέσιμου εισοδήματος της οικονομίας έφτασαν στο υψηλότερο σημείο τους τη διετία 2015-2016, στο 25% του διαθέσιμου εισοδήματος του 2008, οδηγώντας το μέσο ισοδύναμο ατομικό διαθέσιμο εισόδημα στο χαμηλότερο επίπεδο όλης της περιόδου της οικονομικής κρίσης (8.672 ευρώ το 2016). Αυτό συμπαρέσυρε προς τα κάτω το κατώφλι του κινδύνου φτώχειας, στα 4.500 ευρώ το 2016 από τα 6.480 ευρώ το 2008. Είναι ενδεικτικό ότι το ποσοστό του πληθυσμού σε κίνδυνο φτώχε</w:t>
      </w:r>
      <w:r w:rsidRPr="00696359">
        <w:rPr>
          <w:sz w:val="22"/>
          <w:szCs w:val="22"/>
        </w:rPr>
        <w:t>ι</w:t>
      </w:r>
      <w:r w:rsidRPr="00696359">
        <w:rPr>
          <w:sz w:val="22"/>
          <w:szCs w:val="22"/>
        </w:rPr>
        <w:t>ας το 2019 με βάση το κατώφλι φτώχειας του 2008 (πληθωρισμένο με τον εναρμονισμένο δείκτη τ</w:t>
      </w:r>
      <w:r w:rsidRPr="00696359">
        <w:rPr>
          <w:sz w:val="22"/>
          <w:szCs w:val="22"/>
        </w:rPr>
        <w:t>ι</w:t>
      </w:r>
      <w:r w:rsidRPr="00696359">
        <w:rPr>
          <w:sz w:val="22"/>
          <w:szCs w:val="22"/>
        </w:rPr>
        <w:t>μών καταναλωτή), αγγίζει το 42%.</w:t>
      </w:r>
    </w:p>
    <w:p w:rsidR="00157F8C" w:rsidRPr="00696359" w:rsidRDefault="00157F8C" w:rsidP="00157F8C">
      <w:pPr>
        <w:jc w:val="both"/>
        <w:rPr>
          <w:sz w:val="22"/>
          <w:szCs w:val="22"/>
        </w:rPr>
      </w:pPr>
    </w:p>
    <w:p w:rsidR="00157F8C" w:rsidRPr="00696359" w:rsidRDefault="00157F8C" w:rsidP="00157F8C">
      <w:pPr>
        <w:jc w:val="both"/>
        <w:rPr>
          <w:sz w:val="22"/>
          <w:szCs w:val="22"/>
        </w:rPr>
      </w:pPr>
      <w:r w:rsidRPr="00696359">
        <w:rPr>
          <w:sz w:val="22"/>
          <w:szCs w:val="22"/>
        </w:rPr>
        <w:t>Τα παραπάνω συντείνουν στην άποψη ότι τα επαναλαμβανόμενα υφεσιακά επεισόδια στην οικονομία υπονομεύουν την εξάλειψη της φτώχ</w:t>
      </w:r>
      <w:r w:rsidR="00535E35">
        <w:rPr>
          <w:sz w:val="22"/>
          <w:szCs w:val="22"/>
        </w:rPr>
        <w:t>ε</w:t>
      </w:r>
      <w:r w:rsidRPr="00696359">
        <w:rPr>
          <w:sz w:val="22"/>
          <w:szCs w:val="22"/>
        </w:rPr>
        <w:t>ιας, την κοινωνική συνοχή και τη συμμετοχή στην ανάπτυξη των πιο ευάλωτων εισοδηματικών στρωμάτων, ενώ δημιουργούν αβεβαιότητα, σπατάλη πόρων και επενδυτικά αντικίνητρα.</w:t>
      </w:r>
    </w:p>
    <w:p w:rsidR="00157F8C" w:rsidRPr="00696359" w:rsidRDefault="00157F8C" w:rsidP="00157F8C">
      <w:pPr>
        <w:jc w:val="both"/>
        <w:rPr>
          <w:sz w:val="22"/>
          <w:szCs w:val="22"/>
        </w:rPr>
      </w:pPr>
    </w:p>
    <w:p w:rsidR="00157F8C" w:rsidRPr="00696359" w:rsidRDefault="00157F8C" w:rsidP="00157F8C">
      <w:pPr>
        <w:jc w:val="both"/>
        <w:rPr>
          <w:sz w:val="22"/>
          <w:szCs w:val="22"/>
        </w:rPr>
      </w:pPr>
      <w:r w:rsidRPr="00696359">
        <w:rPr>
          <w:sz w:val="22"/>
          <w:szCs w:val="22"/>
        </w:rPr>
        <w:t>Ως εκ τούτου, η ενίσχυση της ανθεκτικότητας της οικονομίας έναντι των οικονομικών διαταραχών και η αποφυγή νέων υφεσιακών επεισοδίων θα πρέπει να αποτελεί βασικό στόχο της οικονομικής πολιτ</w:t>
      </w:r>
      <w:r w:rsidRPr="00696359">
        <w:rPr>
          <w:sz w:val="22"/>
          <w:szCs w:val="22"/>
        </w:rPr>
        <w:t>ι</w:t>
      </w:r>
      <w:r w:rsidRPr="00696359">
        <w:rPr>
          <w:sz w:val="22"/>
          <w:szCs w:val="22"/>
        </w:rPr>
        <w:t>κής. Μέσω της εδραίωσης της οικονομικής εμπιστοσύνης, της επιδίωξης των 17 Βιώσιμων Στόχων Ανάπτυξης των Ηνωμένων Εθνών, και της στροφής στην καινοτομία και την αύξηση της ολικής π</w:t>
      </w:r>
      <w:r w:rsidRPr="00696359">
        <w:rPr>
          <w:sz w:val="22"/>
          <w:szCs w:val="22"/>
        </w:rPr>
        <w:t>α</w:t>
      </w:r>
      <w:r w:rsidRPr="00696359">
        <w:rPr>
          <w:sz w:val="22"/>
          <w:szCs w:val="22"/>
        </w:rPr>
        <w:t>ραγωγικότητας, εκτιμώνται σημαντικά οφέλη μεσομακροπρόθεσμα, μεταξύ άλλων, σε όρους κοιν</w:t>
      </w:r>
      <w:r w:rsidRPr="00696359">
        <w:rPr>
          <w:sz w:val="22"/>
          <w:szCs w:val="22"/>
        </w:rPr>
        <w:t>ω</w:t>
      </w:r>
      <w:r w:rsidRPr="00696359">
        <w:rPr>
          <w:sz w:val="22"/>
          <w:szCs w:val="22"/>
        </w:rPr>
        <w:t>νικής ευημερίας και ελάττωσης της διαγενεακής εισοδηματικής ανισότητας.</w:t>
      </w:r>
    </w:p>
    <w:p w:rsidR="00157F8C" w:rsidRPr="00696359" w:rsidRDefault="00157F8C" w:rsidP="00157F8C">
      <w:pPr>
        <w:jc w:val="both"/>
        <w:rPr>
          <w:sz w:val="22"/>
          <w:szCs w:val="22"/>
        </w:rPr>
      </w:pPr>
    </w:p>
    <w:p w:rsidR="00157F8C" w:rsidRPr="00696359" w:rsidRDefault="00157F8C" w:rsidP="00157F8C">
      <w:pPr>
        <w:jc w:val="both"/>
        <w:rPr>
          <w:sz w:val="22"/>
          <w:szCs w:val="22"/>
        </w:rPr>
      </w:pPr>
      <w:r w:rsidRPr="00696359">
        <w:rPr>
          <w:sz w:val="22"/>
          <w:szCs w:val="22"/>
        </w:rPr>
        <w:t>Αναπόφευκτα, ωστόσο, στο πρώτο τρίμηνο του 2020 η πορεία της ελληνικής οικονομίας προς τους ως άνω στόχους ανακόπηκε προσωρινά από τη νέα, εξωγενή αυτή τη φορά, διαταραχή λόγω της παγκ</w:t>
      </w:r>
      <w:r w:rsidRPr="00696359">
        <w:rPr>
          <w:sz w:val="22"/>
          <w:szCs w:val="22"/>
        </w:rPr>
        <w:t>ό</w:t>
      </w:r>
      <w:r w:rsidRPr="00696359">
        <w:rPr>
          <w:sz w:val="22"/>
          <w:szCs w:val="22"/>
        </w:rPr>
        <w:t>σμιας υγειονομικής κρίσης.</w:t>
      </w:r>
    </w:p>
    <w:p w:rsidR="00157F8C" w:rsidRPr="00696359" w:rsidRDefault="00157F8C" w:rsidP="00157F8C">
      <w:pPr>
        <w:jc w:val="both"/>
        <w:rPr>
          <w:sz w:val="22"/>
          <w:szCs w:val="22"/>
        </w:rPr>
      </w:pPr>
    </w:p>
    <w:p w:rsidR="00157F8C" w:rsidRPr="00696359" w:rsidRDefault="00157F8C" w:rsidP="00157F8C">
      <w:pPr>
        <w:jc w:val="both"/>
        <w:rPr>
          <w:sz w:val="22"/>
          <w:szCs w:val="22"/>
        </w:rPr>
      </w:pPr>
      <w:r w:rsidRPr="00696359">
        <w:rPr>
          <w:sz w:val="22"/>
          <w:szCs w:val="22"/>
        </w:rPr>
        <w:t xml:space="preserve">Ήδη τον Μάρτιο του 2020, η εξάπλωση της νόσου </w:t>
      </w:r>
      <w:r w:rsidRPr="00696359">
        <w:rPr>
          <w:sz w:val="22"/>
          <w:szCs w:val="22"/>
          <w:lang w:val="en-US"/>
        </w:rPr>
        <w:t>Covid</w:t>
      </w:r>
      <w:r w:rsidRPr="00696359">
        <w:rPr>
          <w:sz w:val="22"/>
          <w:szCs w:val="22"/>
        </w:rPr>
        <w:t>-19 είχε εξελιχθεί στη μεγαλύτερη πανδημία από την ισπανική γρίπη του 1918, επιβάλλοντας στις χώρες τη λήψη μέτρων αποστασιοποίησης για τον περιορισμό της διασποράς του ιού και την προστασία της ανθρώπινης ζωής, με κορυφαίο μέτρο σε πολλές χώρες (συμπεριλαμβανομένης της Ελλάδας) την καθολική απαγόρευση κυκλοφορίας και την αναστολή λειτουργίας κλάδων επιχειρήσεων (</w:t>
      </w:r>
      <w:r w:rsidRPr="00696359">
        <w:rPr>
          <w:sz w:val="22"/>
          <w:szCs w:val="22"/>
          <w:lang w:val="en-US"/>
        </w:rPr>
        <w:t>lockdown</w:t>
      </w:r>
      <w:r w:rsidRPr="00696359">
        <w:rPr>
          <w:sz w:val="22"/>
          <w:szCs w:val="22"/>
        </w:rPr>
        <w:t>) κατά το δεύτερο τρίμηνο του 2020.</w:t>
      </w:r>
    </w:p>
    <w:p w:rsidR="00157F8C" w:rsidRPr="00696359" w:rsidRDefault="00157F8C" w:rsidP="00157F8C">
      <w:pPr>
        <w:jc w:val="both"/>
        <w:rPr>
          <w:sz w:val="22"/>
          <w:szCs w:val="22"/>
        </w:rPr>
      </w:pPr>
    </w:p>
    <w:p w:rsidR="00157F8C" w:rsidRPr="00696359" w:rsidRDefault="00157F8C" w:rsidP="00157F8C">
      <w:pPr>
        <w:jc w:val="both"/>
        <w:rPr>
          <w:sz w:val="22"/>
          <w:szCs w:val="22"/>
        </w:rPr>
      </w:pPr>
      <w:r w:rsidRPr="00696359">
        <w:rPr>
          <w:sz w:val="22"/>
          <w:szCs w:val="22"/>
        </w:rPr>
        <w:t>Τα μέτρα αυτά επιδείνωσαν τις ήδη εξασθενημένες προοπτικές της παγκόσμιας οικονομίας, αφενός μέσω της απασχόλησης και της προσφοράς των κλάδων που ανέστειλαν τη λειτουργία τους, αφετέρου μέσω των δευτερογενών επιπτώσεων σε άλλους κλάδους της οικονομίας και στη συνολική ζήτηση.</w:t>
      </w:r>
    </w:p>
    <w:p w:rsidR="00157F8C" w:rsidRPr="00696359" w:rsidRDefault="00157F8C" w:rsidP="00157F8C">
      <w:pPr>
        <w:jc w:val="both"/>
        <w:rPr>
          <w:sz w:val="22"/>
          <w:szCs w:val="22"/>
        </w:rPr>
      </w:pPr>
    </w:p>
    <w:p w:rsidR="00157F8C" w:rsidRPr="00696359" w:rsidRDefault="00157F8C" w:rsidP="00157F8C">
      <w:pPr>
        <w:jc w:val="both"/>
        <w:rPr>
          <w:sz w:val="22"/>
          <w:szCs w:val="22"/>
        </w:rPr>
      </w:pPr>
      <w:r w:rsidRPr="00696359">
        <w:rPr>
          <w:sz w:val="22"/>
          <w:szCs w:val="22"/>
        </w:rPr>
        <w:t xml:space="preserve">Από τα παραπάνω γίνεται σαφές ότι η παρούσα κρίση είναι διττή, αφενός υγειονομικής φύσης και </w:t>
      </w:r>
      <w:r w:rsidRPr="00696359">
        <w:rPr>
          <w:sz w:val="22"/>
          <w:szCs w:val="22"/>
        </w:rPr>
        <w:t>α</w:t>
      </w:r>
      <w:r w:rsidRPr="00696359">
        <w:rPr>
          <w:sz w:val="22"/>
          <w:szCs w:val="22"/>
        </w:rPr>
        <w:t>φετέρου οικονομικών επιπτώσεων. Μέτρα για την άμβλυνση των επιπτώσεων στην οικονομία εφα</w:t>
      </w:r>
      <w:r w:rsidRPr="00696359">
        <w:rPr>
          <w:sz w:val="22"/>
          <w:szCs w:val="22"/>
        </w:rPr>
        <w:t>ρ</w:t>
      </w:r>
      <w:r w:rsidRPr="00696359">
        <w:rPr>
          <w:sz w:val="22"/>
          <w:szCs w:val="22"/>
        </w:rPr>
        <w:t xml:space="preserve">μόστηκαν έγκαιρα σε εθνικό επίπεδο, αλλά υιοθετήθηκαν και σε επίπεδο Ευρωπαϊκής Ένωσης, η </w:t>
      </w:r>
      <w:r w:rsidRPr="00696359">
        <w:rPr>
          <w:sz w:val="22"/>
          <w:szCs w:val="22"/>
        </w:rPr>
        <w:t>α</w:t>
      </w:r>
      <w:r w:rsidRPr="00696359">
        <w:rPr>
          <w:sz w:val="22"/>
          <w:szCs w:val="22"/>
        </w:rPr>
        <w:t>ντίδραση της οποίας στην παρούσα κρίση ήταν αποφασιστική.</w:t>
      </w:r>
    </w:p>
    <w:p w:rsidR="00157F8C" w:rsidRPr="00696359" w:rsidRDefault="00157F8C" w:rsidP="00157F8C">
      <w:pPr>
        <w:jc w:val="both"/>
        <w:rPr>
          <w:sz w:val="22"/>
          <w:szCs w:val="22"/>
        </w:rPr>
      </w:pPr>
    </w:p>
    <w:p w:rsidR="00157F8C" w:rsidRPr="00696359" w:rsidRDefault="00157F8C" w:rsidP="00157F8C">
      <w:pPr>
        <w:jc w:val="both"/>
        <w:rPr>
          <w:sz w:val="22"/>
          <w:szCs w:val="22"/>
        </w:rPr>
      </w:pPr>
      <w:r w:rsidRPr="00696359">
        <w:rPr>
          <w:sz w:val="22"/>
          <w:szCs w:val="22"/>
        </w:rPr>
        <w:t>Παρόλα αυτά, το πλήγμα για την ευρωπαϊκή οικονομία αναμενόταν βαρύ</w:t>
      </w:r>
      <w:r w:rsidR="00535E35">
        <w:rPr>
          <w:sz w:val="22"/>
          <w:szCs w:val="22"/>
        </w:rPr>
        <w:t>,</w:t>
      </w:r>
      <w:r w:rsidRPr="00696359">
        <w:rPr>
          <w:sz w:val="22"/>
          <w:szCs w:val="22"/>
        </w:rPr>
        <w:t xml:space="preserve"> ήδη πριν την επιδείνωση των επιδημιολογικών δεδομένων και το δεύτερο κύμα της πανδημίας προς το τέλος Οκτωβρίου 2020. </w:t>
      </w:r>
      <w:r w:rsidRPr="00696359">
        <w:rPr>
          <w:sz w:val="22"/>
          <w:szCs w:val="22"/>
        </w:rPr>
        <w:lastRenderedPageBreak/>
        <w:t>Η τελευταία ανακοινωθείσα εκτίμηση της Ευρωπαϊκής Επιτροπής</w:t>
      </w:r>
      <w:r w:rsidRPr="00696359">
        <w:rPr>
          <w:sz w:val="22"/>
          <w:szCs w:val="22"/>
          <w:vertAlign w:val="superscript"/>
        </w:rPr>
        <w:footnoteReference w:id="10"/>
      </w:r>
      <w:r w:rsidRPr="00696359">
        <w:rPr>
          <w:sz w:val="22"/>
          <w:szCs w:val="22"/>
        </w:rPr>
        <w:t xml:space="preserve"> για την ύφεση του 2020 αντιστο</w:t>
      </w:r>
      <w:r w:rsidRPr="00696359">
        <w:rPr>
          <w:sz w:val="22"/>
          <w:szCs w:val="22"/>
        </w:rPr>
        <w:t>ι</w:t>
      </w:r>
      <w:r w:rsidRPr="00696359">
        <w:rPr>
          <w:sz w:val="22"/>
          <w:szCs w:val="22"/>
        </w:rPr>
        <w:t>χεί σε 7,8 ποσοστιαίες μονάδες του ΑΕΠ για την Ευρωζώνη και σε 7,4 ποσοστιαίες μονάδες του ΑΕΠ για την Ευρωπαϊκή Ένωση, χωρίς όμως να ενσωματώνει τις επιπτώσεις από το σύνολο των σήμερα ισχυόντων μέτρων περιορισμού του δεύτερου κύματος της πανδημίας. Τα μέτρα αυτά φτάνουν</w:t>
      </w:r>
      <w:r w:rsidR="00535E35">
        <w:rPr>
          <w:sz w:val="22"/>
          <w:szCs w:val="22"/>
        </w:rPr>
        <w:t>,</w:t>
      </w:r>
      <w:r w:rsidRPr="00696359">
        <w:rPr>
          <w:sz w:val="22"/>
          <w:szCs w:val="22"/>
        </w:rPr>
        <w:t xml:space="preserve"> σε αρκετές μεγάλες ευρωπαϊκές οικονομίες</w:t>
      </w:r>
      <w:r w:rsidR="00535E35">
        <w:rPr>
          <w:sz w:val="22"/>
          <w:szCs w:val="22"/>
        </w:rPr>
        <w:t>,</w:t>
      </w:r>
      <w:r w:rsidRPr="00696359">
        <w:rPr>
          <w:sz w:val="22"/>
          <w:szCs w:val="22"/>
        </w:rPr>
        <w:t xml:space="preserve"> ως το ολικό </w:t>
      </w:r>
      <w:r w:rsidRPr="00696359">
        <w:rPr>
          <w:sz w:val="22"/>
          <w:szCs w:val="22"/>
          <w:lang w:val="en-US"/>
        </w:rPr>
        <w:t>lockdown</w:t>
      </w:r>
      <w:r w:rsidRPr="00696359">
        <w:rPr>
          <w:sz w:val="22"/>
          <w:szCs w:val="22"/>
        </w:rPr>
        <w:t xml:space="preserve"> και αναμένεται να ανατρέψουν την εικόνα ανάκαμψης του τέταρτου τριμήνου 2020 που προβλεπόταν στις αρχές του φθινοπώρου.</w:t>
      </w:r>
    </w:p>
    <w:p w:rsidR="00157F8C" w:rsidRPr="00696359" w:rsidRDefault="00157F8C" w:rsidP="00157F8C">
      <w:pPr>
        <w:jc w:val="both"/>
        <w:rPr>
          <w:sz w:val="22"/>
          <w:szCs w:val="22"/>
        </w:rPr>
      </w:pPr>
    </w:p>
    <w:p w:rsidR="00157F8C" w:rsidRPr="00696359" w:rsidRDefault="00157F8C" w:rsidP="00157F8C">
      <w:pPr>
        <w:jc w:val="both"/>
        <w:rPr>
          <w:sz w:val="22"/>
          <w:szCs w:val="22"/>
        </w:rPr>
      </w:pPr>
      <w:r w:rsidRPr="00696359">
        <w:rPr>
          <w:sz w:val="22"/>
          <w:szCs w:val="22"/>
        </w:rPr>
        <w:t xml:space="preserve">Θα πρέπει να σημειωθεί ότι η αντιμετώπιση της πανδημίας και των συνεπειών της, συντελείται υπό συνθήκες αβεβαιότητας που </w:t>
      </w:r>
      <w:r w:rsidR="007D3862">
        <w:rPr>
          <w:sz w:val="22"/>
          <w:szCs w:val="22"/>
        </w:rPr>
        <w:t>σε σημαντικό βαθμό εκφεύγουν</w:t>
      </w:r>
      <w:r w:rsidR="007D3862" w:rsidRPr="00696359">
        <w:rPr>
          <w:sz w:val="22"/>
          <w:szCs w:val="22"/>
        </w:rPr>
        <w:t xml:space="preserve"> </w:t>
      </w:r>
      <w:r w:rsidRPr="00696359">
        <w:rPr>
          <w:sz w:val="22"/>
          <w:szCs w:val="22"/>
        </w:rPr>
        <w:t>του ελέγχου των κυβερνήσεων των χ</w:t>
      </w:r>
      <w:r w:rsidRPr="00696359">
        <w:rPr>
          <w:sz w:val="22"/>
          <w:szCs w:val="22"/>
        </w:rPr>
        <w:t>ω</w:t>
      </w:r>
      <w:r w:rsidRPr="00696359">
        <w:rPr>
          <w:sz w:val="22"/>
          <w:szCs w:val="22"/>
        </w:rPr>
        <w:t>ρών, λόγω της υγειονομικής φύσης τους. Τα επιδημιολογικά χαρακτηριστικά και η εξέλιξη της δι</w:t>
      </w:r>
      <w:r w:rsidRPr="00696359">
        <w:rPr>
          <w:sz w:val="22"/>
          <w:szCs w:val="22"/>
        </w:rPr>
        <w:t>α</w:t>
      </w:r>
      <w:r w:rsidRPr="00696359">
        <w:rPr>
          <w:sz w:val="22"/>
          <w:szCs w:val="22"/>
        </w:rPr>
        <w:t>σποράς του ιού, καθώς και η πρόοδος στην εξεύρεση λύσεων από την ιατρική επιστημονική κοινότ</w:t>
      </w:r>
      <w:r w:rsidRPr="00696359">
        <w:rPr>
          <w:sz w:val="22"/>
          <w:szCs w:val="22"/>
        </w:rPr>
        <w:t>η</w:t>
      </w:r>
      <w:r w:rsidRPr="00696359">
        <w:rPr>
          <w:sz w:val="22"/>
          <w:szCs w:val="22"/>
        </w:rPr>
        <w:t>τα, αποτελούν παράγοντες που καθορίζουν τον σχεδιασμό συνεχώς νέων μέτρων</w:t>
      </w:r>
      <w:r w:rsidR="00535E35">
        <w:rPr>
          <w:sz w:val="22"/>
          <w:szCs w:val="22"/>
        </w:rPr>
        <w:t>,</w:t>
      </w:r>
      <w:r w:rsidRPr="00696359">
        <w:rPr>
          <w:sz w:val="22"/>
          <w:szCs w:val="22"/>
        </w:rPr>
        <w:t xml:space="preserve"> τόσο για τον περι</w:t>
      </w:r>
      <w:r w:rsidRPr="00696359">
        <w:rPr>
          <w:sz w:val="22"/>
          <w:szCs w:val="22"/>
        </w:rPr>
        <w:t>ο</w:t>
      </w:r>
      <w:r w:rsidRPr="00696359">
        <w:rPr>
          <w:sz w:val="22"/>
          <w:szCs w:val="22"/>
        </w:rPr>
        <w:t xml:space="preserve">ρισμό της διασποράς της νόσου, όσο και για την αντιστάθμιση των οικονομικών επιπτώσεων των </w:t>
      </w:r>
      <w:r w:rsidRPr="00696359">
        <w:rPr>
          <w:sz w:val="22"/>
          <w:szCs w:val="22"/>
        </w:rPr>
        <w:t>υ</w:t>
      </w:r>
      <w:r w:rsidRPr="00696359">
        <w:rPr>
          <w:sz w:val="22"/>
          <w:szCs w:val="22"/>
        </w:rPr>
        <w:t>γειονομικών μέτρων και της αβεβαιότητας.</w:t>
      </w:r>
    </w:p>
    <w:p w:rsidR="00157F8C" w:rsidRPr="00696359" w:rsidRDefault="00157F8C" w:rsidP="00157F8C">
      <w:pPr>
        <w:jc w:val="both"/>
        <w:rPr>
          <w:sz w:val="22"/>
          <w:szCs w:val="22"/>
        </w:rPr>
      </w:pPr>
    </w:p>
    <w:p w:rsidR="00157F8C" w:rsidRPr="00696359" w:rsidRDefault="00157F8C" w:rsidP="00157F8C">
      <w:pPr>
        <w:jc w:val="both"/>
        <w:rPr>
          <w:sz w:val="22"/>
        </w:rPr>
      </w:pPr>
      <w:r w:rsidRPr="00696359">
        <w:rPr>
          <w:sz w:val="22"/>
        </w:rPr>
        <w:t>Η Ευρωπαϊκή Επιτροπή έχει λάβει από την αρχή της κρίσης σημαντικές πρωτοβουλίες για την αντιμ</w:t>
      </w:r>
      <w:r w:rsidRPr="00696359">
        <w:rPr>
          <w:sz w:val="22"/>
        </w:rPr>
        <w:t>ε</w:t>
      </w:r>
      <w:r w:rsidRPr="00696359">
        <w:rPr>
          <w:sz w:val="22"/>
        </w:rPr>
        <w:t xml:space="preserve">τώπιση του οικονομικού σκέλους της κρίσης, που δίνουν επιπρόσθετους βαθμούς ελευθερίας στις </w:t>
      </w:r>
      <w:r w:rsidRPr="00696359">
        <w:rPr>
          <w:sz w:val="22"/>
        </w:rPr>
        <w:t>ε</w:t>
      </w:r>
      <w:r w:rsidRPr="00696359">
        <w:rPr>
          <w:sz w:val="22"/>
        </w:rPr>
        <w:t>θνικές κυβερνήσεις για την παροχή στήριξης στις οικονομίες τους, μέσω των δημοσιονομικών μέτρων και των μέτρων ρευστότητας και εγγυήσεων που εφαρμόζουν. Μεταξύ των άμεσων πρωτοβουλιών της Ευρωπαϊκής Επιτροπής, πρωτεύοντα ρόλο είχε η χαλάρωση των ευρωπαϊκών δημοσιονομικών κανόνων για το 2020</w:t>
      </w:r>
      <w:r w:rsidRPr="00696359">
        <w:rPr>
          <w:rStyle w:val="ab"/>
          <w:sz w:val="22"/>
        </w:rPr>
        <w:footnoteReference w:id="11"/>
      </w:r>
      <w:r w:rsidRPr="00696359">
        <w:rPr>
          <w:sz w:val="22"/>
        </w:rPr>
        <w:t>, δεδομένου ότι η</w:t>
      </w:r>
      <w:r w:rsidRPr="00696359">
        <w:rPr>
          <w:color w:val="000000"/>
          <w:sz w:val="22"/>
        </w:rPr>
        <w:t xml:space="preserve"> κάμψη της οικονομικής δραστηριότητας σε συνδυασμό με το κόστος των μέτρων ενίσχυσης της οικονομίας, ήταν προδιαγεγραμμένο ότι θα επιφέρουν σημαντική αύξηση των δημοσιονομικών ελλειμμάτων των κρατών-μελών.</w:t>
      </w:r>
      <w:r w:rsidRPr="00696359">
        <w:rPr>
          <w:sz w:val="22"/>
        </w:rPr>
        <w:t xml:space="preserve"> Η χαλάρωση των δημοσιονομικών στόχων έλαβε χώρα αρχικά μέσω της διάταξης του Συμφώνου Σταθερότητας και Ανάπτυξης για ασ</w:t>
      </w:r>
      <w:r w:rsidRPr="00696359">
        <w:rPr>
          <w:sz w:val="22"/>
        </w:rPr>
        <w:t>υ</w:t>
      </w:r>
      <w:r w:rsidRPr="00696359">
        <w:rPr>
          <w:sz w:val="22"/>
        </w:rPr>
        <w:t>νήθεις περιστάσεις, και στη συνέχεια μέσω της γενικής ρήτρας διαφυγής</w:t>
      </w:r>
      <w:r w:rsidRPr="00696359">
        <w:rPr>
          <w:rStyle w:val="ab"/>
          <w:sz w:val="22"/>
        </w:rPr>
        <w:footnoteReference w:id="12"/>
      </w:r>
      <w:r w:rsidRPr="00696359">
        <w:rPr>
          <w:sz w:val="22"/>
        </w:rPr>
        <w:t>, η οποία ενεργοποιήθηκε για πρώτη φορά από τη θέσπισή της το 2011</w:t>
      </w:r>
      <w:r w:rsidRPr="00696359">
        <w:rPr>
          <w:rStyle w:val="ab"/>
          <w:color w:val="000000"/>
          <w:sz w:val="22"/>
        </w:rPr>
        <w:footnoteReference w:id="13"/>
      </w:r>
      <w:r w:rsidRPr="00696359">
        <w:rPr>
          <w:sz w:val="22"/>
        </w:rPr>
        <w:t>.</w:t>
      </w:r>
    </w:p>
    <w:p w:rsidR="00157F8C" w:rsidRPr="00696359" w:rsidRDefault="00157F8C" w:rsidP="00157F8C">
      <w:pPr>
        <w:jc w:val="both"/>
        <w:rPr>
          <w:sz w:val="22"/>
        </w:rPr>
      </w:pPr>
    </w:p>
    <w:p w:rsidR="00157F8C" w:rsidRPr="00696359" w:rsidRDefault="00157F8C" w:rsidP="00157F8C">
      <w:pPr>
        <w:jc w:val="both"/>
        <w:rPr>
          <w:sz w:val="22"/>
          <w:szCs w:val="22"/>
        </w:rPr>
      </w:pPr>
      <w:r w:rsidRPr="00696359">
        <w:rPr>
          <w:sz w:val="22"/>
          <w:szCs w:val="22"/>
        </w:rPr>
        <w:t xml:space="preserve">Η ως άνω εξέλιξη αναστέλλει την υποχρέωση της Ελλάδας για επίτευξη του στόχου πρωτογενούς πλεονάσματος της Γενικής Κυβέρνησης ίσου με 3,5% του ΑΕΠ </w:t>
      </w:r>
      <w:r w:rsidR="00535E35">
        <w:rPr>
          <w:sz w:val="22"/>
          <w:szCs w:val="22"/>
        </w:rPr>
        <w:t xml:space="preserve">σε όρους ενισχυμένης εποπτείας </w:t>
      </w:r>
      <w:r w:rsidRPr="00696359">
        <w:rPr>
          <w:sz w:val="22"/>
          <w:szCs w:val="22"/>
        </w:rPr>
        <w:t>για το τρέχον έτος, διευκολύνοντας τη λήψη μέτρων στήριξης της οικονομίας λόγω πανδημίας.</w:t>
      </w:r>
    </w:p>
    <w:p w:rsidR="00157F8C" w:rsidRPr="00696359" w:rsidRDefault="00157F8C" w:rsidP="00157F8C">
      <w:pPr>
        <w:jc w:val="both"/>
        <w:rPr>
          <w:sz w:val="22"/>
          <w:szCs w:val="22"/>
        </w:rPr>
      </w:pPr>
    </w:p>
    <w:p w:rsidR="00157F8C" w:rsidRPr="00696359" w:rsidRDefault="00157F8C" w:rsidP="00157F8C">
      <w:pPr>
        <w:jc w:val="both"/>
        <w:rPr>
          <w:sz w:val="22"/>
          <w:szCs w:val="22"/>
        </w:rPr>
      </w:pPr>
      <w:r w:rsidRPr="00696359">
        <w:rPr>
          <w:sz w:val="22"/>
          <w:szCs w:val="22"/>
        </w:rPr>
        <w:t xml:space="preserve">Για το 2020, </w:t>
      </w:r>
      <w:r w:rsidRPr="00627745">
        <w:rPr>
          <w:sz w:val="22"/>
          <w:szCs w:val="22"/>
        </w:rPr>
        <w:t>εκτιμάται ότι το αποτέλεσμα της Γενικής Κυβέρνησης θα κυμανθεί στο -</w:t>
      </w:r>
      <w:r w:rsidR="00535E35" w:rsidRPr="00627745">
        <w:rPr>
          <w:sz w:val="22"/>
          <w:szCs w:val="22"/>
        </w:rPr>
        <w:t>9</w:t>
      </w:r>
      <w:r w:rsidRPr="00627745">
        <w:rPr>
          <w:sz w:val="22"/>
          <w:szCs w:val="22"/>
        </w:rPr>
        <w:t>,</w:t>
      </w:r>
      <w:r w:rsidR="00535E35" w:rsidRPr="00627745">
        <w:rPr>
          <w:sz w:val="22"/>
          <w:szCs w:val="22"/>
        </w:rPr>
        <w:t>9</w:t>
      </w:r>
      <w:r w:rsidRPr="00627745">
        <w:rPr>
          <w:sz w:val="22"/>
          <w:szCs w:val="22"/>
        </w:rPr>
        <w:t xml:space="preserve">% του ΑΕΠ και το πρωτογενές αποτέλεσμα </w:t>
      </w:r>
      <w:r w:rsidR="0086445A">
        <w:rPr>
          <w:sz w:val="22"/>
          <w:szCs w:val="22"/>
        </w:rPr>
        <w:t xml:space="preserve">σε όρους ενισχυμένης εποπτείας </w:t>
      </w:r>
      <w:r w:rsidRPr="00627745">
        <w:rPr>
          <w:sz w:val="22"/>
          <w:szCs w:val="22"/>
        </w:rPr>
        <w:t>στο -</w:t>
      </w:r>
      <w:r w:rsidR="0086445A" w:rsidRPr="0086445A">
        <w:rPr>
          <w:sz w:val="22"/>
          <w:szCs w:val="22"/>
        </w:rPr>
        <w:t>7,2</w:t>
      </w:r>
      <w:r w:rsidRPr="00627745">
        <w:rPr>
          <w:sz w:val="22"/>
          <w:szCs w:val="22"/>
        </w:rPr>
        <w:t xml:space="preserve">% του ΑΕΠ. Αρνητικό </w:t>
      </w:r>
      <w:r w:rsidR="00535E35" w:rsidRPr="00627745">
        <w:rPr>
          <w:sz w:val="22"/>
          <w:szCs w:val="22"/>
        </w:rPr>
        <w:t>δ</w:t>
      </w:r>
      <w:r w:rsidR="00535E35" w:rsidRPr="00627745">
        <w:rPr>
          <w:sz w:val="22"/>
          <w:szCs w:val="22"/>
        </w:rPr>
        <w:t>η</w:t>
      </w:r>
      <w:r w:rsidR="00535E35" w:rsidRPr="00627745">
        <w:rPr>
          <w:sz w:val="22"/>
          <w:szCs w:val="22"/>
        </w:rPr>
        <w:t xml:space="preserve">μοσιονομικό </w:t>
      </w:r>
      <w:r w:rsidRPr="00627745">
        <w:rPr>
          <w:sz w:val="22"/>
          <w:szCs w:val="22"/>
        </w:rPr>
        <w:t>αποτέλεσμα αναμένεται και για το 2021, στο -</w:t>
      </w:r>
      <w:r w:rsidR="00535E35" w:rsidRPr="00627745">
        <w:rPr>
          <w:sz w:val="22"/>
          <w:szCs w:val="22"/>
        </w:rPr>
        <w:t>6</w:t>
      </w:r>
      <w:r w:rsidRPr="00627745">
        <w:rPr>
          <w:sz w:val="22"/>
          <w:szCs w:val="22"/>
        </w:rPr>
        <w:t>,</w:t>
      </w:r>
      <w:r w:rsidR="00535E35" w:rsidRPr="00627745">
        <w:rPr>
          <w:sz w:val="22"/>
          <w:szCs w:val="22"/>
        </w:rPr>
        <w:t>7</w:t>
      </w:r>
      <w:r w:rsidRPr="00627745">
        <w:rPr>
          <w:sz w:val="22"/>
          <w:szCs w:val="22"/>
        </w:rPr>
        <w:t xml:space="preserve">% του ΑΕΠ, με το πρωτογενές </w:t>
      </w:r>
      <w:r w:rsidR="0086445A" w:rsidRPr="0086445A">
        <w:rPr>
          <w:sz w:val="22"/>
          <w:szCs w:val="22"/>
        </w:rPr>
        <w:t>αποτ</w:t>
      </w:r>
      <w:r w:rsidR="0086445A" w:rsidRPr="0086445A">
        <w:rPr>
          <w:sz w:val="22"/>
          <w:szCs w:val="22"/>
        </w:rPr>
        <w:t>έ</w:t>
      </w:r>
      <w:r w:rsidR="0086445A" w:rsidRPr="0086445A">
        <w:rPr>
          <w:sz w:val="22"/>
          <w:szCs w:val="22"/>
        </w:rPr>
        <w:t>λεσμα σε όρους ενισχυμένης εποπτείας</w:t>
      </w:r>
      <w:r w:rsidRPr="00627745">
        <w:rPr>
          <w:sz w:val="22"/>
          <w:szCs w:val="22"/>
        </w:rPr>
        <w:t xml:space="preserve"> στο -</w:t>
      </w:r>
      <w:r w:rsidR="00535E35" w:rsidRPr="00627745">
        <w:rPr>
          <w:sz w:val="22"/>
          <w:szCs w:val="22"/>
        </w:rPr>
        <w:t>3,</w:t>
      </w:r>
      <w:r w:rsidR="0086445A" w:rsidRPr="0086445A">
        <w:rPr>
          <w:sz w:val="22"/>
          <w:szCs w:val="22"/>
        </w:rPr>
        <w:t>9</w:t>
      </w:r>
      <w:r w:rsidRPr="00627745">
        <w:rPr>
          <w:sz w:val="22"/>
          <w:szCs w:val="22"/>
        </w:rPr>
        <w:t>% του ΑΕΠ</w:t>
      </w:r>
      <w:r w:rsidRPr="00696359">
        <w:rPr>
          <w:sz w:val="22"/>
          <w:szCs w:val="22"/>
        </w:rPr>
        <w:t>. Σημειώνεται ότι στη διαφορά των εκτ</w:t>
      </w:r>
      <w:r w:rsidRPr="00696359">
        <w:rPr>
          <w:sz w:val="22"/>
          <w:szCs w:val="22"/>
        </w:rPr>
        <w:t>ι</w:t>
      </w:r>
      <w:r w:rsidRPr="00696359">
        <w:rPr>
          <w:sz w:val="22"/>
          <w:szCs w:val="22"/>
        </w:rPr>
        <w:t xml:space="preserve">μήσεων έναντι του Προσχεδίου του Κρατικού Προϋπολογισμού 2021 συντελεί </w:t>
      </w:r>
      <w:r w:rsidR="00122245">
        <w:rPr>
          <w:sz w:val="22"/>
          <w:szCs w:val="22"/>
        </w:rPr>
        <w:t xml:space="preserve">(α) </w:t>
      </w:r>
      <w:r w:rsidR="00122245" w:rsidRPr="00122245">
        <w:rPr>
          <w:sz w:val="22"/>
          <w:szCs w:val="22"/>
        </w:rPr>
        <w:t>η λήψη νέων μ</w:t>
      </w:r>
      <w:r w:rsidR="00122245" w:rsidRPr="00122245">
        <w:rPr>
          <w:sz w:val="22"/>
          <w:szCs w:val="22"/>
        </w:rPr>
        <w:t>έ</w:t>
      </w:r>
      <w:r w:rsidR="00122245" w:rsidRPr="00122245">
        <w:rPr>
          <w:sz w:val="22"/>
          <w:szCs w:val="22"/>
        </w:rPr>
        <w:t>τρων για την αντιμετώπιση των συνεπειών της πανδημίας</w:t>
      </w:r>
      <w:r w:rsidR="00122245">
        <w:rPr>
          <w:sz w:val="22"/>
          <w:szCs w:val="22"/>
        </w:rPr>
        <w:t>, (β) οι μακροοικονομικές επιπτώσεις από την ένταση του δεύτερου κύματος της πανδημίας και (γ)</w:t>
      </w:r>
      <w:r w:rsidR="00122245" w:rsidRPr="00122245">
        <w:rPr>
          <w:sz w:val="22"/>
          <w:szCs w:val="22"/>
        </w:rPr>
        <w:t xml:space="preserve"> </w:t>
      </w:r>
      <w:r w:rsidRPr="00696359">
        <w:rPr>
          <w:sz w:val="22"/>
          <w:szCs w:val="22"/>
        </w:rPr>
        <w:t>η προς τα κάτω αναθεώρηση του επιπέδου του ΑΕΠ προηγούμενων ετών από την Ελληνική Στατιστική Αρ</w:t>
      </w:r>
      <w:r w:rsidR="00535E35">
        <w:rPr>
          <w:sz w:val="22"/>
          <w:szCs w:val="22"/>
        </w:rPr>
        <w:t>χή</w:t>
      </w:r>
      <w:r w:rsidR="00122245">
        <w:rPr>
          <w:sz w:val="22"/>
          <w:szCs w:val="22"/>
        </w:rPr>
        <w:t>.</w:t>
      </w:r>
      <w:r w:rsidR="007D3862">
        <w:rPr>
          <w:sz w:val="22"/>
          <w:szCs w:val="22"/>
        </w:rPr>
        <w:t xml:space="preserve"> Σημειώνεται ότι το Προσχέδιο του Προϋπολογισμού είχε προβλέψει την πιθανότητα μιας δυσμενούς εξέλιξης που απεικονίστηκε στο δ</w:t>
      </w:r>
      <w:r w:rsidR="007D3862">
        <w:rPr>
          <w:sz w:val="22"/>
          <w:szCs w:val="22"/>
        </w:rPr>
        <w:t>υ</w:t>
      </w:r>
      <w:r w:rsidR="007D3862">
        <w:rPr>
          <w:sz w:val="22"/>
          <w:szCs w:val="22"/>
        </w:rPr>
        <w:t>σμενές σενάριο που περιέλαβε. Το σενάριο αυτό δεν εμπεριείχε τις συνέπειες της αναθεώρησης επί το δυσμενέστερο των στοιχείων της ΕΛΣΤΑΤ</w:t>
      </w:r>
      <w:r w:rsidR="00DD61D0">
        <w:rPr>
          <w:sz w:val="22"/>
          <w:szCs w:val="22"/>
        </w:rPr>
        <w:t xml:space="preserve"> (δηλαδή των πραγματικών επιδόσεων της οικονομίας), για την περίοδο 2015-2019.</w:t>
      </w:r>
      <w:r w:rsidR="007D3862">
        <w:rPr>
          <w:sz w:val="22"/>
          <w:szCs w:val="22"/>
        </w:rPr>
        <w:t xml:space="preserve"> </w:t>
      </w:r>
    </w:p>
    <w:p w:rsidR="00157F8C" w:rsidRPr="00696359" w:rsidRDefault="00157F8C" w:rsidP="00157F8C">
      <w:pPr>
        <w:jc w:val="both"/>
        <w:rPr>
          <w:sz w:val="22"/>
          <w:szCs w:val="22"/>
        </w:rPr>
      </w:pPr>
    </w:p>
    <w:p w:rsidR="00157F8C" w:rsidRPr="00696359" w:rsidRDefault="00157F8C" w:rsidP="00157F8C">
      <w:pPr>
        <w:jc w:val="both"/>
        <w:rPr>
          <w:sz w:val="22"/>
          <w:szCs w:val="22"/>
        </w:rPr>
      </w:pPr>
      <w:r w:rsidRPr="00696359">
        <w:rPr>
          <w:sz w:val="22"/>
          <w:szCs w:val="22"/>
        </w:rPr>
        <w:lastRenderedPageBreak/>
        <w:t>Επιβάρυνση λόγω της πανδημίας αναμένεται να υποστεί και το ελληνικό δημόσιο χρέος, χωρίς ωστ</w:t>
      </w:r>
      <w:r w:rsidRPr="00696359">
        <w:rPr>
          <w:sz w:val="22"/>
          <w:szCs w:val="22"/>
        </w:rPr>
        <w:t>ό</w:t>
      </w:r>
      <w:r w:rsidRPr="00696359">
        <w:rPr>
          <w:sz w:val="22"/>
          <w:szCs w:val="22"/>
        </w:rPr>
        <w:t>σο να επηρεαστεί η βιωσιμότητ</w:t>
      </w:r>
      <w:r w:rsidR="00627745">
        <w:rPr>
          <w:sz w:val="22"/>
          <w:szCs w:val="22"/>
        </w:rPr>
        <w:t>ά</w:t>
      </w:r>
      <w:r w:rsidRPr="00696359">
        <w:rPr>
          <w:sz w:val="22"/>
          <w:szCs w:val="22"/>
        </w:rPr>
        <w:t xml:space="preserve"> του. Σε αυτό συντελεί η μεγάλη διάρκεια του χρέους και το κόστος εξυπηρέτησης που εξακολουθεί να είναι χαμηλό, όπως αντανακλάται και στις πρόσφατες επιτυχημ</w:t>
      </w:r>
      <w:r w:rsidRPr="00696359">
        <w:rPr>
          <w:sz w:val="22"/>
          <w:szCs w:val="22"/>
        </w:rPr>
        <w:t>έ</w:t>
      </w:r>
      <w:r w:rsidRPr="00696359">
        <w:rPr>
          <w:sz w:val="22"/>
          <w:szCs w:val="22"/>
        </w:rPr>
        <w:t>νες εκδόσεις ομολόγων. Η προκαταρκτική Ανάλυση Βιωσιμότητας Χρέους για την Ελλάδα, που δ</w:t>
      </w:r>
      <w:r w:rsidRPr="00696359">
        <w:rPr>
          <w:sz w:val="22"/>
          <w:szCs w:val="22"/>
        </w:rPr>
        <w:t>η</w:t>
      </w:r>
      <w:r w:rsidRPr="00696359">
        <w:rPr>
          <w:sz w:val="22"/>
          <w:szCs w:val="22"/>
        </w:rPr>
        <w:t>μοσίευσε η Ευρωπαϊκή Επιτροπή τον Μά</w:t>
      </w:r>
      <w:r w:rsidR="00C02E47">
        <w:rPr>
          <w:sz w:val="22"/>
          <w:szCs w:val="22"/>
        </w:rPr>
        <w:t>ϊ</w:t>
      </w:r>
      <w:r w:rsidRPr="00696359">
        <w:rPr>
          <w:sz w:val="22"/>
          <w:szCs w:val="22"/>
        </w:rPr>
        <w:t>ο του 2020, στο πλαίσιο εξέτασης της επιλεξιμότητας για τη συμμετοχή των κρατών-μελών της Ευρωζώνης στη νέα πιστωτική γραμμή του Ευρωπαϊκού Μηχαν</w:t>
      </w:r>
      <w:r w:rsidRPr="00696359">
        <w:rPr>
          <w:sz w:val="22"/>
          <w:szCs w:val="22"/>
        </w:rPr>
        <w:t>ι</w:t>
      </w:r>
      <w:r w:rsidRPr="00696359">
        <w:rPr>
          <w:sz w:val="22"/>
          <w:szCs w:val="22"/>
        </w:rPr>
        <w:t>σμού Σταθερότητας, καταλήγει στο συμπέρασμα ότι το δημόσιο χρέος της Ελλάδας είναι βιώσιμο και καταδεικνύει χρονικό διάστημα δέκα ετών ως το χρονικό περιθώριο για την επιστροφή τη</w:t>
      </w:r>
      <w:r w:rsidR="00627745">
        <w:rPr>
          <w:sz w:val="22"/>
          <w:szCs w:val="22"/>
        </w:rPr>
        <w:t>ς</w:t>
      </w:r>
      <w:r w:rsidRPr="00696359">
        <w:rPr>
          <w:sz w:val="22"/>
          <w:szCs w:val="22"/>
        </w:rPr>
        <w:t xml:space="preserve"> Ελλάδας σε </w:t>
      </w:r>
      <w:r w:rsidR="00856571">
        <w:rPr>
          <w:sz w:val="22"/>
          <w:szCs w:val="22"/>
        </w:rPr>
        <w:t>εύρωστα επίπεδα ακαθάριστου προϊόντος</w:t>
      </w:r>
      <w:r w:rsidR="00627745">
        <w:rPr>
          <w:sz w:val="22"/>
          <w:szCs w:val="22"/>
        </w:rPr>
        <w:t>,</w:t>
      </w:r>
      <w:r w:rsidRPr="00696359">
        <w:rPr>
          <w:sz w:val="22"/>
          <w:szCs w:val="22"/>
        </w:rPr>
        <w:t xml:space="preserve"> που θα συμπιέσουν τον λόγο χρέους προς ΑΕΠ σε α</w:t>
      </w:r>
      <w:r w:rsidRPr="00696359">
        <w:rPr>
          <w:sz w:val="22"/>
          <w:szCs w:val="22"/>
        </w:rPr>
        <w:t>ι</w:t>
      </w:r>
      <w:r w:rsidRPr="00696359">
        <w:rPr>
          <w:sz w:val="22"/>
          <w:szCs w:val="22"/>
        </w:rPr>
        <w:t>σθητά χαμηλότερα επίπεδα.</w:t>
      </w:r>
    </w:p>
    <w:p w:rsidR="00157F8C" w:rsidRPr="00696359" w:rsidRDefault="00157F8C" w:rsidP="00157F8C">
      <w:pPr>
        <w:jc w:val="both"/>
        <w:rPr>
          <w:sz w:val="22"/>
          <w:szCs w:val="22"/>
        </w:rPr>
      </w:pPr>
    </w:p>
    <w:p w:rsidR="00157F8C" w:rsidRPr="00696359" w:rsidRDefault="00157F8C" w:rsidP="00157F8C">
      <w:pPr>
        <w:jc w:val="both"/>
        <w:rPr>
          <w:sz w:val="22"/>
          <w:szCs w:val="22"/>
        </w:rPr>
      </w:pPr>
      <w:r w:rsidRPr="00696359">
        <w:rPr>
          <w:sz w:val="22"/>
          <w:szCs w:val="22"/>
        </w:rPr>
        <w:t>Στην Ελλάδα, από τον Μάρτιο του 2020 αναπτύχθηκε μία δυναμική στρατηγική παρακολούθησης των επιδημιολογικών εξελίξεων και ταυτόχρονης αναπροσαρμογής</w:t>
      </w:r>
      <w:r w:rsidR="00627745">
        <w:rPr>
          <w:sz w:val="22"/>
          <w:szCs w:val="22"/>
        </w:rPr>
        <w:t>,</w:t>
      </w:r>
      <w:r w:rsidRPr="00696359">
        <w:rPr>
          <w:sz w:val="22"/>
          <w:szCs w:val="22"/>
        </w:rPr>
        <w:t xml:space="preserve"> τόσο των υγειονομικών μέτρων</w:t>
      </w:r>
      <w:r w:rsidR="00627745">
        <w:rPr>
          <w:sz w:val="22"/>
          <w:szCs w:val="22"/>
        </w:rPr>
        <w:t>,</w:t>
      </w:r>
      <w:r w:rsidRPr="00696359">
        <w:rPr>
          <w:sz w:val="22"/>
          <w:szCs w:val="22"/>
        </w:rPr>
        <w:t xml:space="preserve"> όσο και των οικονομικών μέτρων στήριξης έναντι της πανδημίας. Στις 23 Μαρτίου 2020, έγινε η λήψη του πρώτου κύκλου μέτρων απαγόρευσης κυκλοφορίας και αναστολής λειτουργίας κλάδων της οικονομ</w:t>
      </w:r>
      <w:r w:rsidRPr="00696359">
        <w:rPr>
          <w:sz w:val="22"/>
          <w:szCs w:val="22"/>
        </w:rPr>
        <w:t>ί</w:t>
      </w:r>
      <w:r w:rsidRPr="00696359">
        <w:rPr>
          <w:sz w:val="22"/>
          <w:szCs w:val="22"/>
        </w:rPr>
        <w:t>ας (</w:t>
      </w:r>
      <w:r w:rsidRPr="00696359">
        <w:rPr>
          <w:sz w:val="22"/>
          <w:szCs w:val="22"/>
          <w:lang w:val="en-US"/>
        </w:rPr>
        <w:t>lockdown</w:t>
      </w:r>
      <w:r w:rsidRPr="00696359">
        <w:rPr>
          <w:sz w:val="22"/>
          <w:szCs w:val="22"/>
        </w:rPr>
        <w:t>), που παρέμεινε σε ισχύ ως τη σταδιακή χαλάρωσή τους, στις 4 Μαΐου 2020. Τα μέτρα περιόρισαν τη διασπορά του ιού εντός της ελληνικής επικράτειας, εμποδίζοντας την εξάπλωση της νόσου και ανάγοντας την Ελλάδα σε μία από τις πιο επιτυχημένες περιπτώσεις διαχείρισης του πρ</w:t>
      </w:r>
      <w:r w:rsidRPr="00696359">
        <w:rPr>
          <w:sz w:val="22"/>
          <w:szCs w:val="22"/>
        </w:rPr>
        <w:t>ώ</w:t>
      </w:r>
      <w:r w:rsidRPr="00696359">
        <w:rPr>
          <w:sz w:val="22"/>
          <w:szCs w:val="22"/>
        </w:rPr>
        <w:t>του κύματος της υγειονομικής κρίσης παγκοσμίως.</w:t>
      </w:r>
    </w:p>
    <w:p w:rsidR="00157F8C" w:rsidRPr="00696359" w:rsidRDefault="00157F8C" w:rsidP="00157F8C">
      <w:pPr>
        <w:jc w:val="both"/>
        <w:rPr>
          <w:sz w:val="22"/>
          <w:szCs w:val="22"/>
        </w:rPr>
      </w:pPr>
    </w:p>
    <w:p w:rsidR="00157F8C" w:rsidRPr="00696359" w:rsidRDefault="00157F8C" w:rsidP="00157F8C">
      <w:pPr>
        <w:jc w:val="both"/>
        <w:rPr>
          <w:sz w:val="22"/>
          <w:szCs w:val="22"/>
        </w:rPr>
      </w:pPr>
      <w:r w:rsidRPr="00696359">
        <w:rPr>
          <w:sz w:val="22"/>
          <w:szCs w:val="22"/>
        </w:rPr>
        <w:t>Ωστόσο, η ραγδαία επιδείνωση των επιδημιολογικών δεδομένων</w:t>
      </w:r>
      <w:r w:rsidR="00627745">
        <w:rPr>
          <w:sz w:val="22"/>
          <w:szCs w:val="22"/>
        </w:rPr>
        <w:t>,</w:t>
      </w:r>
      <w:r w:rsidRPr="00696359">
        <w:rPr>
          <w:sz w:val="22"/>
          <w:szCs w:val="22"/>
        </w:rPr>
        <w:t xml:space="preserve"> που καταγράφηκε διεθνώς τον </w:t>
      </w:r>
      <w:r w:rsidRPr="00696359">
        <w:rPr>
          <w:sz w:val="22"/>
          <w:szCs w:val="22"/>
        </w:rPr>
        <w:t>Ο</w:t>
      </w:r>
      <w:r w:rsidRPr="00696359">
        <w:rPr>
          <w:sz w:val="22"/>
          <w:szCs w:val="22"/>
        </w:rPr>
        <w:t>κτώβριο του 2020</w:t>
      </w:r>
      <w:r w:rsidR="00627745">
        <w:rPr>
          <w:sz w:val="22"/>
          <w:szCs w:val="22"/>
        </w:rPr>
        <w:t>,</w:t>
      </w:r>
      <w:r w:rsidRPr="00696359">
        <w:rPr>
          <w:sz w:val="22"/>
          <w:szCs w:val="22"/>
        </w:rPr>
        <w:t xml:space="preserve"> κατέστησε επιτακτική και στην περίπτωση της Ελλάδας την εφαρμογή ενός δεύτ</w:t>
      </w:r>
      <w:r w:rsidRPr="00696359">
        <w:rPr>
          <w:sz w:val="22"/>
          <w:szCs w:val="22"/>
        </w:rPr>
        <w:t>ε</w:t>
      </w:r>
      <w:r w:rsidRPr="00696359">
        <w:rPr>
          <w:sz w:val="22"/>
          <w:szCs w:val="22"/>
        </w:rPr>
        <w:t xml:space="preserve">ρου κύκλου μέτρων περιορισμού μετακινήσεων και αναστολής λειτουργίας ολόκληρων οικονομικών κλάδων. Το δεύτερο </w:t>
      </w:r>
      <w:r w:rsidRPr="00696359">
        <w:rPr>
          <w:sz w:val="22"/>
          <w:szCs w:val="22"/>
          <w:lang w:val="en-US"/>
        </w:rPr>
        <w:t>lockdown</w:t>
      </w:r>
      <w:r w:rsidRPr="00696359">
        <w:rPr>
          <w:sz w:val="22"/>
          <w:szCs w:val="22"/>
        </w:rPr>
        <w:t xml:space="preserve"> τέθηκε σε ισχύ στις 9 Νοεμβρίου 2020 με ορίζοντα εφαρμογής τουλ</w:t>
      </w:r>
      <w:r w:rsidRPr="00696359">
        <w:rPr>
          <w:sz w:val="22"/>
          <w:szCs w:val="22"/>
        </w:rPr>
        <w:t>ά</w:t>
      </w:r>
      <w:r w:rsidRPr="00696359">
        <w:rPr>
          <w:sz w:val="22"/>
          <w:szCs w:val="22"/>
        </w:rPr>
        <w:t>χιστον τριών εβδομάδων, σε αναλογία με αντίστοιχα ισχυρά μέτρα περιορισμού του δεύτερου κύμ</w:t>
      </w:r>
      <w:r w:rsidRPr="00696359">
        <w:rPr>
          <w:sz w:val="22"/>
          <w:szCs w:val="22"/>
        </w:rPr>
        <w:t>α</w:t>
      </w:r>
      <w:r w:rsidRPr="00696359">
        <w:rPr>
          <w:sz w:val="22"/>
          <w:szCs w:val="22"/>
        </w:rPr>
        <w:t>τος της πανδημίας που λήφθηκαν σε αρκετές ευρωπαϊκές οικονομίες.</w:t>
      </w:r>
    </w:p>
    <w:p w:rsidR="00157F8C" w:rsidRPr="00696359" w:rsidRDefault="00157F8C" w:rsidP="00157F8C">
      <w:pPr>
        <w:jc w:val="both"/>
        <w:rPr>
          <w:sz w:val="22"/>
          <w:szCs w:val="22"/>
        </w:rPr>
      </w:pPr>
    </w:p>
    <w:p w:rsidR="00157F8C" w:rsidRPr="00696359" w:rsidRDefault="00157F8C" w:rsidP="00157F8C">
      <w:pPr>
        <w:jc w:val="both"/>
        <w:rPr>
          <w:sz w:val="22"/>
          <w:szCs w:val="22"/>
          <w:highlight w:val="yellow"/>
        </w:rPr>
      </w:pPr>
      <w:r w:rsidRPr="00696359">
        <w:rPr>
          <w:sz w:val="22"/>
          <w:szCs w:val="22"/>
        </w:rPr>
        <w:t xml:space="preserve">Η εμπειρία από το </w:t>
      </w:r>
      <w:r w:rsidRPr="00696359">
        <w:rPr>
          <w:sz w:val="22"/>
          <w:szCs w:val="22"/>
          <w:lang w:val="en-US"/>
        </w:rPr>
        <w:t>lockdown</w:t>
      </w:r>
      <w:r w:rsidRPr="00696359">
        <w:rPr>
          <w:sz w:val="22"/>
          <w:szCs w:val="22"/>
        </w:rPr>
        <w:t xml:space="preserve"> του Μαρτίου 2020 υποδηλώνει ισχυρό αποτύπωμα σε όρους κάμψης της οικονομικής δραστηριότητας. Σύμφωνα με τα ως σήμερα διαθέσιμα τριμηνιαία στοιχεία εθνικών λ</w:t>
      </w:r>
      <w:r w:rsidRPr="00696359">
        <w:rPr>
          <w:sz w:val="22"/>
          <w:szCs w:val="22"/>
        </w:rPr>
        <w:t>ο</w:t>
      </w:r>
      <w:r w:rsidRPr="00696359">
        <w:rPr>
          <w:sz w:val="22"/>
          <w:szCs w:val="22"/>
        </w:rPr>
        <w:t>γαριασμών της Ελληνικής Στατιστικής Αρχής</w:t>
      </w:r>
      <w:r w:rsidRPr="00696359">
        <w:rPr>
          <w:rStyle w:val="ab"/>
          <w:sz w:val="22"/>
          <w:szCs w:val="22"/>
        </w:rPr>
        <w:footnoteReference w:id="14"/>
      </w:r>
      <w:r w:rsidRPr="00696359">
        <w:rPr>
          <w:sz w:val="22"/>
          <w:szCs w:val="22"/>
        </w:rPr>
        <w:t>, η συνεπαγόμενη ύφεση εκτιμάται σε διψήφιο ποσ</w:t>
      </w:r>
      <w:r w:rsidRPr="00696359">
        <w:rPr>
          <w:sz w:val="22"/>
          <w:szCs w:val="22"/>
        </w:rPr>
        <w:t>ο</w:t>
      </w:r>
      <w:r w:rsidRPr="00696359">
        <w:rPr>
          <w:sz w:val="22"/>
          <w:szCs w:val="22"/>
        </w:rPr>
        <w:t>στό για το δεύτερο τρίμηνο του 2020, στο -15,2% σε όρους όγκου ΑΕΠ ως προς το αντίστοιχο τρίμ</w:t>
      </w:r>
      <w:r w:rsidRPr="00696359">
        <w:rPr>
          <w:sz w:val="22"/>
          <w:szCs w:val="22"/>
        </w:rPr>
        <w:t>η</w:t>
      </w:r>
      <w:r w:rsidRPr="00696359">
        <w:rPr>
          <w:sz w:val="22"/>
          <w:szCs w:val="22"/>
        </w:rPr>
        <w:t>νο του 2019, συνυπολογιζόμενης της αντισταθμιστικής επίδρασης των μέτρων έκτακτης οικονομικής στήριξης</w:t>
      </w:r>
      <w:r w:rsidR="00627745">
        <w:rPr>
          <w:sz w:val="22"/>
          <w:szCs w:val="22"/>
        </w:rPr>
        <w:t>,</w:t>
      </w:r>
      <w:r w:rsidRPr="00696359">
        <w:rPr>
          <w:sz w:val="22"/>
          <w:szCs w:val="22"/>
        </w:rPr>
        <w:t xml:space="preserve"> που λήφθηκαν από την ελληνική κυβέρνηση στο πλαίσιο της πανδημίας.</w:t>
      </w:r>
    </w:p>
    <w:p w:rsidR="00157F8C" w:rsidRPr="00696359" w:rsidRDefault="00157F8C" w:rsidP="00157F8C">
      <w:pPr>
        <w:jc w:val="both"/>
        <w:rPr>
          <w:sz w:val="22"/>
          <w:szCs w:val="22"/>
          <w:highlight w:val="yellow"/>
        </w:rPr>
      </w:pPr>
    </w:p>
    <w:p w:rsidR="00157F8C" w:rsidRPr="00696359" w:rsidRDefault="00157F8C" w:rsidP="00157F8C">
      <w:pPr>
        <w:jc w:val="both"/>
        <w:rPr>
          <w:sz w:val="22"/>
          <w:szCs w:val="22"/>
        </w:rPr>
      </w:pPr>
      <w:r w:rsidRPr="00696359">
        <w:rPr>
          <w:sz w:val="22"/>
          <w:szCs w:val="22"/>
        </w:rPr>
        <w:t>Τα μέτρα στήριξης της οικονομικής δραστηριότητας, του εισοδήματος των εργαζομένων και της ε</w:t>
      </w:r>
      <w:r w:rsidRPr="00696359">
        <w:rPr>
          <w:sz w:val="22"/>
          <w:szCs w:val="22"/>
        </w:rPr>
        <w:t>ρ</w:t>
      </w:r>
      <w:r w:rsidRPr="00696359">
        <w:rPr>
          <w:sz w:val="22"/>
          <w:szCs w:val="22"/>
        </w:rPr>
        <w:t xml:space="preserve">γασίας έφτασαν μόνο εντός του δεύτερου τριμήνου του 2020 τα </w:t>
      </w:r>
      <w:r w:rsidR="008B7F37">
        <w:rPr>
          <w:sz w:val="22"/>
          <w:szCs w:val="22"/>
        </w:rPr>
        <w:t>7</w:t>
      </w:r>
      <w:r w:rsidRPr="00696359">
        <w:rPr>
          <w:sz w:val="22"/>
          <w:szCs w:val="22"/>
        </w:rPr>
        <w:t xml:space="preserve"> δισ. ευρώ. Η απόδοση των μέτρων αποτυπώνεται στα δημοσιευμένα διαθέσιμα στοιχεία του β’ τριμήνου. Συγκεκριμένα</w:t>
      </w:r>
      <w:r w:rsidR="00627745">
        <w:rPr>
          <w:sz w:val="22"/>
          <w:szCs w:val="22"/>
        </w:rPr>
        <w:t>,</w:t>
      </w:r>
      <w:r w:rsidRPr="00696359">
        <w:rPr>
          <w:sz w:val="22"/>
          <w:szCs w:val="22"/>
        </w:rPr>
        <w:t xml:space="preserve"> το πρώτο εξ</w:t>
      </w:r>
      <w:r w:rsidRPr="00696359">
        <w:rPr>
          <w:sz w:val="22"/>
          <w:szCs w:val="22"/>
        </w:rPr>
        <w:t>ά</w:t>
      </w:r>
      <w:r w:rsidRPr="00696359">
        <w:rPr>
          <w:sz w:val="22"/>
          <w:szCs w:val="22"/>
        </w:rPr>
        <w:t>μηνο η μείωση του πραγματικού ΑΕΠ ήταν 7,9% έναντι μείωσης 9,1% στην Ευρωζώνη και διψήφιας μείωσης σε Ισπανία, Ιταλία και Γαλλία. Σύμφωνα με τα μηνιαία στοιχεία της ανεργίας, τον Ιούλιο το ποσοστό ανεργίας στην Ελλάδα αυξήθηκε μόνο κατά 1,2 εκατοστιαίες μονάδες ή 7,7% έναντι του Φεβρουαρίου, όταν οι αντίστοιχες αυξήσεις ήταν 11% για την Ευρωζώνη και πάνω από 20% για χ</w:t>
      </w:r>
      <w:r w:rsidRPr="00696359">
        <w:rPr>
          <w:sz w:val="22"/>
          <w:szCs w:val="22"/>
        </w:rPr>
        <w:t>ώ</w:t>
      </w:r>
      <w:r w:rsidRPr="00696359">
        <w:rPr>
          <w:sz w:val="22"/>
          <w:szCs w:val="22"/>
        </w:rPr>
        <w:t xml:space="preserve">ρες όπως η Ισπανία, η Πορτογαλία, η Γερμανία και η Ολλανδία. Η καλή επίδοση της χώρας στην προστασία των θέσεων εργασίας, στο διάστημα που η αγορά εργασίας δοκιμάστηκε σε ολόκληρη την Ευρωπαϊκή Ένωση, καταγράφηκε σε έρευνα της </w:t>
      </w:r>
      <w:r w:rsidRPr="00696359">
        <w:rPr>
          <w:sz w:val="22"/>
          <w:szCs w:val="22"/>
          <w:lang w:val="en-US"/>
        </w:rPr>
        <w:t>Eurostat</w:t>
      </w:r>
      <w:r w:rsidRPr="00696359">
        <w:rPr>
          <w:rStyle w:val="ab"/>
          <w:sz w:val="22"/>
          <w:szCs w:val="22"/>
          <w:lang w:val="en-US"/>
        </w:rPr>
        <w:footnoteReference w:id="15"/>
      </w:r>
      <w:r w:rsidRPr="00696359">
        <w:rPr>
          <w:sz w:val="22"/>
          <w:szCs w:val="22"/>
        </w:rPr>
        <w:t>, σύμφωνα με την οποία το ποσοστό των εργαζομένων στην Ελλάδα σε κίνδυνο να χάσουν την απασχόλησή τους το δεύτερο τρίμηνο του τρ</w:t>
      </w:r>
      <w:r w:rsidRPr="00696359">
        <w:rPr>
          <w:sz w:val="22"/>
          <w:szCs w:val="22"/>
        </w:rPr>
        <w:t>έ</w:t>
      </w:r>
      <w:r w:rsidRPr="00696359">
        <w:rPr>
          <w:sz w:val="22"/>
          <w:szCs w:val="22"/>
        </w:rPr>
        <w:t>χοντος έτους ήταν χαμηλότερο από το 2%, ενώ στην Ισπανία ήταν υψηλότερο από 6,5% και στην Ιτ</w:t>
      </w:r>
      <w:r w:rsidRPr="00696359">
        <w:rPr>
          <w:sz w:val="22"/>
          <w:szCs w:val="22"/>
        </w:rPr>
        <w:t>α</w:t>
      </w:r>
      <w:r w:rsidRPr="00696359">
        <w:rPr>
          <w:sz w:val="22"/>
          <w:szCs w:val="22"/>
        </w:rPr>
        <w:t>λία μεταξύ 3,5% και 5%. Στις περισσότερες χώρες της ΕΕ ο κίνδυνος της απώλειας θέσεων απασχ</w:t>
      </w:r>
      <w:r w:rsidRPr="00696359">
        <w:rPr>
          <w:sz w:val="22"/>
          <w:szCs w:val="22"/>
        </w:rPr>
        <w:t>ό</w:t>
      </w:r>
      <w:r w:rsidRPr="00696359">
        <w:rPr>
          <w:sz w:val="22"/>
          <w:szCs w:val="22"/>
        </w:rPr>
        <w:t xml:space="preserve">λησης κυμάνθηκε από 2% έως 3,5%. </w:t>
      </w:r>
      <w:r w:rsidR="00627745">
        <w:rPr>
          <w:sz w:val="22"/>
          <w:szCs w:val="22"/>
        </w:rPr>
        <w:t>Επίσης,</w:t>
      </w:r>
      <w:r w:rsidRPr="00696359">
        <w:rPr>
          <w:sz w:val="22"/>
          <w:szCs w:val="22"/>
        </w:rPr>
        <w:t xml:space="preserve"> σύμφωνα με τα τριμηνιαία στοιχεία των μη χρηματοο</w:t>
      </w:r>
      <w:r w:rsidRPr="00696359">
        <w:rPr>
          <w:sz w:val="22"/>
          <w:szCs w:val="22"/>
        </w:rPr>
        <w:t>ι</w:t>
      </w:r>
      <w:r w:rsidRPr="00696359">
        <w:rPr>
          <w:sz w:val="22"/>
          <w:szCs w:val="22"/>
        </w:rPr>
        <w:t>κονομικών τομέων της ΕΛΣΤΑΤ, το διαθέσιμο εισόδημα των νοικοκυριών το β’ τρίμηνο του 2020 μειώθηκε μόνο κατά 0,9% έναντι του αντίστοιχου τριμήνου του 2019 (τα στοιχεία αφορούν κινητό μέσο όρο 4 τριμήνων).</w:t>
      </w:r>
    </w:p>
    <w:p w:rsidR="00157F8C" w:rsidRPr="00696359" w:rsidRDefault="00157F8C" w:rsidP="00157F8C">
      <w:pPr>
        <w:jc w:val="both"/>
        <w:rPr>
          <w:sz w:val="22"/>
          <w:szCs w:val="22"/>
          <w:highlight w:val="yellow"/>
        </w:rPr>
      </w:pPr>
    </w:p>
    <w:p w:rsidR="00157F8C" w:rsidRPr="00696359" w:rsidRDefault="00157F8C" w:rsidP="00157F8C">
      <w:pPr>
        <w:jc w:val="both"/>
        <w:rPr>
          <w:sz w:val="22"/>
          <w:szCs w:val="22"/>
        </w:rPr>
      </w:pPr>
      <w:r w:rsidRPr="00696359">
        <w:rPr>
          <w:sz w:val="22"/>
          <w:szCs w:val="22"/>
        </w:rPr>
        <w:t>Για το σύνολο του έτους, τα μέτρα στήριξης της ελληνικής οικονομίας υπολογίζονται πλέον στα 23,9 δισ. ευρώ, προσαυξημένα έναντι του Προσχεδίου του Κρατικού Προϋπολογισμού</w:t>
      </w:r>
      <w:r w:rsidR="00627745">
        <w:rPr>
          <w:sz w:val="22"/>
          <w:szCs w:val="22"/>
        </w:rPr>
        <w:t>,</w:t>
      </w:r>
      <w:r w:rsidRPr="00696359">
        <w:rPr>
          <w:sz w:val="22"/>
          <w:szCs w:val="22"/>
        </w:rPr>
        <w:t xml:space="preserve"> ως προς το ύψος και τη διάρκειά </w:t>
      </w:r>
      <w:r w:rsidR="00627745">
        <w:rPr>
          <w:sz w:val="22"/>
          <w:szCs w:val="22"/>
        </w:rPr>
        <w:t>τους,</w:t>
      </w:r>
      <w:r w:rsidRPr="00696359">
        <w:rPr>
          <w:sz w:val="22"/>
          <w:szCs w:val="22"/>
        </w:rPr>
        <w:t xml:space="preserve"> λόγω του δεύτερου κύκλου αντιμετώπισης της πανδημίας και των επιπτώσεών της. Η θετική επίδραση του συνόλου των μέτρων στο πραγματικό ΑΕΠ εκτιμάται το 2020 σε 7 ποσ</w:t>
      </w:r>
      <w:r w:rsidRPr="00696359">
        <w:rPr>
          <w:sz w:val="22"/>
          <w:szCs w:val="22"/>
        </w:rPr>
        <w:t>ο</w:t>
      </w:r>
      <w:r w:rsidRPr="00696359">
        <w:rPr>
          <w:sz w:val="22"/>
          <w:szCs w:val="22"/>
        </w:rPr>
        <w:t>στιαίες μονάδες, εκ των οποίων οι 3,3 μονάδες αφορούν το τελευταίο τρίμηνο του έτους που επιβαρ</w:t>
      </w:r>
      <w:r w:rsidRPr="00696359">
        <w:rPr>
          <w:sz w:val="22"/>
          <w:szCs w:val="22"/>
        </w:rPr>
        <w:t>ύ</w:t>
      </w:r>
      <w:r w:rsidRPr="00696359">
        <w:rPr>
          <w:sz w:val="22"/>
          <w:szCs w:val="22"/>
        </w:rPr>
        <w:t xml:space="preserve">νεται από το νέο </w:t>
      </w:r>
      <w:r w:rsidRPr="00696359">
        <w:rPr>
          <w:sz w:val="22"/>
          <w:szCs w:val="22"/>
          <w:lang w:val="en-US"/>
        </w:rPr>
        <w:t>lockdown</w:t>
      </w:r>
      <w:r w:rsidRPr="00696359">
        <w:rPr>
          <w:sz w:val="22"/>
          <w:szCs w:val="22"/>
        </w:rPr>
        <w:t>.</w:t>
      </w:r>
    </w:p>
    <w:p w:rsidR="00157F8C" w:rsidRPr="00696359" w:rsidRDefault="00157F8C" w:rsidP="00157F8C">
      <w:pPr>
        <w:jc w:val="both"/>
        <w:rPr>
          <w:sz w:val="22"/>
          <w:szCs w:val="22"/>
        </w:rPr>
      </w:pPr>
    </w:p>
    <w:p w:rsidR="00157F8C" w:rsidRPr="00696359" w:rsidRDefault="00157F8C" w:rsidP="00157F8C">
      <w:pPr>
        <w:jc w:val="both"/>
        <w:rPr>
          <w:sz w:val="22"/>
          <w:szCs w:val="22"/>
        </w:rPr>
      </w:pPr>
      <w:r w:rsidRPr="00696359">
        <w:rPr>
          <w:sz w:val="22"/>
          <w:szCs w:val="22"/>
        </w:rPr>
        <w:t>Στα μέτρα στήριξης</w:t>
      </w:r>
      <w:r w:rsidR="00486D89">
        <w:rPr>
          <w:sz w:val="22"/>
          <w:szCs w:val="22"/>
        </w:rPr>
        <w:t xml:space="preserve"> του 2020</w:t>
      </w:r>
      <w:r w:rsidRPr="00696359">
        <w:rPr>
          <w:sz w:val="22"/>
          <w:szCs w:val="22"/>
        </w:rPr>
        <w:t xml:space="preserve"> περιλαμβάνονται, πέραν των δημοσιονομικών μέτρων</w:t>
      </w:r>
      <w:r w:rsidR="00486D89">
        <w:rPr>
          <w:sz w:val="22"/>
          <w:szCs w:val="22"/>
        </w:rPr>
        <w:t xml:space="preserve"> (ύψους 11,6 δι</w:t>
      </w:r>
      <w:r w:rsidR="00486D89" w:rsidRPr="00486D89">
        <w:rPr>
          <w:sz w:val="22"/>
          <w:szCs w:val="22"/>
        </w:rPr>
        <w:t>σ</w:t>
      </w:r>
      <w:r w:rsidR="00486D89">
        <w:rPr>
          <w:sz w:val="22"/>
          <w:szCs w:val="22"/>
        </w:rPr>
        <w:t>. ευρώ)</w:t>
      </w:r>
      <w:r w:rsidRPr="00696359">
        <w:rPr>
          <w:sz w:val="22"/>
          <w:szCs w:val="22"/>
        </w:rPr>
        <w:t>, επιπλέον μέτρα με χαρακτήρα τόσο αναστολής πληρωμής υποχρεώσεων (ύψους 1,6 δισ. ε</w:t>
      </w:r>
      <w:r w:rsidRPr="00696359">
        <w:rPr>
          <w:sz w:val="22"/>
          <w:szCs w:val="22"/>
        </w:rPr>
        <w:t>υ</w:t>
      </w:r>
      <w:r w:rsidRPr="00696359">
        <w:rPr>
          <w:sz w:val="22"/>
          <w:szCs w:val="22"/>
        </w:rPr>
        <w:t>ρώ), όσο και ενίσχυσης της ρευστότητας (ύψους 10,</w:t>
      </w:r>
      <w:r w:rsidR="00486D89">
        <w:rPr>
          <w:sz w:val="22"/>
          <w:szCs w:val="22"/>
        </w:rPr>
        <w:t>7</w:t>
      </w:r>
      <w:r w:rsidRPr="00696359">
        <w:rPr>
          <w:sz w:val="22"/>
          <w:szCs w:val="22"/>
        </w:rPr>
        <w:t xml:space="preserve"> δισ. ευρώ συμπεριλαμβανομένης της εκτιμώμ</w:t>
      </w:r>
      <w:r w:rsidRPr="00696359">
        <w:rPr>
          <w:sz w:val="22"/>
          <w:szCs w:val="22"/>
        </w:rPr>
        <w:t>ε</w:t>
      </w:r>
      <w:r w:rsidRPr="00696359">
        <w:rPr>
          <w:sz w:val="22"/>
          <w:szCs w:val="22"/>
        </w:rPr>
        <w:t>νης μόχλευσης από το τραπεζικό σύστημα). Τα μέτρα αυτά στοχεύουν στην κατά το δυνατόν ταχύτ</w:t>
      </w:r>
      <w:r w:rsidRPr="00696359">
        <w:rPr>
          <w:sz w:val="22"/>
          <w:szCs w:val="22"/>
        </w:rPr>
        <w:t>ε</w:t>
      </w:r>
      <w:r w:rsidRPr="00696359">
        <w:rPr>
          <w:sz w:val="22"/>
          <w:szCs w:val="22"/>
        </w:rPr>
        <w:t>ρη επαναφορά της ελληνικής οικονομίας σε συνθήκες ανάκαμψης, μέσω της στήριξης των επιχειρ</w:t>
      </w:r>
      <w:r w:rsidRPr="00696359">
        <w:rPr>
          <w:sz w:val="22"/>
          <w:szCs w:val="22"/>
        </w:rPr>
        <w:t>ή</w:t>
      </w:r>
      <w:r w:rsidRPr="00696359">
        <w:rPr>
          <w:sz w:val="22"/>
          <w:szCs w:val="22"/>
        </w:rPr>
        <w:t>σεων και της απασχόλησης, η οποία θα εξαλείψει με τη σειρά της την πρόσκαιρη επιβάρυνση των μ</w:t>
      </w:r>
      <w:r w:rsidRPr="00696359">
        <w:rPr>
          <w:sz w:val="22"/>
          <w:szCs w:val="22"/>
        </w:rPr>
        <w:t>α</w:t>
      </w:r>
      <w:r w:rsidRPr="00696359">
        <w:rPr>
          <w:sz w:val="22"/>
          <w:szCs w:val="22"/>
        </w:rPr>
        <w:t xml:space="preserve">κροχρόνιων ανισορροπιών της ελληνικής οικονομίας λόγω της πανδημίας (δημοσιονομική </w:t>
      </w:r>
      <w:r w:rsidR="00627745">
        <w:rPr>
          <w:sz w:val="22"/>
          <w:szCs w:val="22"/>
        </w:rPr>
        <w:t>αστάθεια</w:t>
      </w:r>
      <w:r w:rsidRPr="00696359">
        <w:rPr>
          <w:sz w:val="22"/>
          <w:szCs w:val="22"/>
        </w:rPr>
        <w:t>, υψηλό δημόσιο χρέος, υψηλή ανεργία, υψηλό επενδυτικό κενό).</w:t>
      </w:r>
    </w:p>
    <w:p w:rsidR="00157F8C" w:rsidRPr="00696359" w:rsidRDefault="00157F8C" w:rsidP="00157F8C">
      <w:pPr>
        <w:jc w:val="both"/>
        <w:rPr>
          <w:sz w:val="22"/>
          <w:szCs w:val="22"/>
        </w:rPr>
      </w:pPr>
    </w:p>
    <w:p w:rsidR="00157F8C" w:rsidRPr="00696359" w:rsidRDefault="00157F8C" w:rsidP="00157F8C">
      <w:pPr>
        <w:jc w:val="both"/>
        <w:rPr>
          <w:sz w:val="22"/>
          <w:szCs w:val="22"/>
        </w:rPr>
      </w:pPr>
      <w:r w:rsidRPr="00696359">
        <w:rPr>
          <w:sz w:val="22"/>
          <w:szCs w:val="22"/>
        </w:rPr>
        <w:t xml:space="preserve">Τα συνολικά εθνικά μέτρα </w:t>
      </w:r>
      <w:r w:rsidRPr="00696359">
        <w:rPr>
          <w:sz w:val="22"/>
        </w:rPr>
        <w:t>(δημοσιονομικά, αναστολής πληρωμής υποχρεώσεων, ρευστότητας)</w:t>
      </w:r>
      <w:r w:rsidRPr="00696359">
        <w:rPr>
          <w:sz w:val="22"/>
          <w:szCs w:val="22"/>
        </w:rPr>
        <w:t xml:space="preserve"> καλ</w:t>
      </w:r>
      <w:r w:rsidRPr="00696359">
        <w:rPr>
          <w:sz w:val="22"/>
          <w:szCs w:val="22"/>
        </w:rPr>
        <w:t>ύ</w:t>
      </w:r>
      <w:r w:rsidRPr="00696359">
        <w:rPr>
          <w:sz w:val="22"/>
          <w:szCs w:val="22"/>
        </w:rPr>
        <w:t>πτουν στο σύνολό τους ένα ευρύ φάσμα στήριξης εισοδήματος και κάλυψης δαπανών για τα φυσικά και νομικά πρόσωπα που επλήγησαν από την αναστολή λειτουργίας οικονομικών κλάδων και εργασ</w:t>
      </w:r>
      <w:r w:rsidRPr="00696359">
        <w:rPr>
          <w:sz w:val="22"/>
          <w:szCs w:val="22"/>
        </w:rPr>
        <w:t>ι</w:t>
      </w:r>
      <w:r w:rsidRPr="00696359">
        <w:rPr>
          <w:sz w:val="22"/>
          <w:szCs w:val="22"/>
        </w:rPr>
        <w:t>ακών συμβάσεων, λόγω της υγειονομικής κρίσης. Την ίδια στιγμή, ορισμένα εξ αυτών διαμορφώνουν ένα πλαίσιο «εγγυημένης απασχόλησης» για το κρίσιμο πρώτο διάστημα χαλάρωσης των μέτρων κο</w:t>
      </w:r>
      <w:r w:rsidRPr="00696359">
        <w:rPr>
          <w:sz w:val="22"/>
          <w:szCs w:val="22"/>
        </w:rPr>
        <w:t>ι</w:t>
      </w:r>
      <w:r w:rsidRPr="00696359">
        <w:rPr>
          <w:sz w:val="22"/>
          <w:szCs w:val="22"/>
        </w:rPr>
        <w:t>νωνικής αποστασιοποίησης, μέσω της ρήτρας μη απόλυσης εργαζομένων.</w:t>
      </w:r>
    </w:p>
    <w:p w:rsidR="00157F8C" w:rsidRPr="00696359" w:rsidRDefault="00157F8C" w:rsidP="00157F8C">
      <w:pPr>
        <w:jc w:val="both"/>
        <w:rPr>
          <w:sz w:val="22"/>
          <w:szCs w:val="22"/>
        </w:rPr>
      </w:pPr>
    </w:p>
    <w:p w:rsidR="00157F8C" w:rsidRPr="00696359" w:rsidRDefault="00157F8C" w:rsidP="00157F8C">
      <w:pPr>
        <w:jc w:val="both"/>
        <w:rPr>
          <w:sz w:val="22"/>
          <w:szCs w:val="22"/>
        </w:rPr>
      </w:pPr>
      <w:r w:rsidRPr="00696359">
        <w:rPr>
          <w:sz w:val="22"/>
          <w:szCs w:val="22"/>
        </w:rPr>
        <w:t>Σε αυτό το πλαίσιο εμπίπτει η αποζημίωση ειδικού σκοπού</w:t>
      </w:r>
      <w:r w:rsidRPr="00696359">
        <w:rPr>
          <w:sz w:val="22"/>
          <w:szCs w:val="22"/>
          <w:vertAlign w:val="superscript"/>
        </w:rPr>
        <w:footnoteReference w:id="16"/>
      </w:r>
      <w:r w:rsidRPr="00696359">
        <w:rPr>
          <w:sz w:val="22"/>
          <w:szCs w:val="22"/>
        </w:rPr>
        <w:t xml:space="preserve"> ύψους 534 </w:t>
      </w:r>
      <w:r w:rsidR="003106C0">
        <w:rPr>
          <w:sz w:val="22"/>
          <w:szCs w:val="22"/>
        </w:rPr>
        <w:t xml:space="preserve">ή 800 </w:t>
      </w:r>
      <w:r w:rsidRPr="00696359">
        <w:rPr>
          <w:sz w:val="22"/>
          <w:szCs w:val="22"/>
        </w:rPr>
        <w:t>ευρώ για αυτοαπασχ</w:t>
      </w:r>
      <w:r w:rsidRPr="00696359">
        <w:rPr>
          <w:sz w:val="22"/>
          <w:szCs w:val="22"/>
        </w:rPr>
        <w:t>ο</w:t>
      </w:r>
      <w:r w:rsidRPr="00696359">
        <w:rPr>
          <w:sz w:val="22"/>
          <w:szCs w:val="22"/>
        </w:rPr>
        <w:t>λούμενους, επιχειρηματίες που απασχολούν έως 20 άτομα και ατομικές επιχειρήσεις που επλήγησαν από την υγειονομική κρίση, καθώς και για εργαζόμενους που η σύμβασή τους τέθηκε σε αναστολή, με κάλυψη των ασφαλιστικών εισφορών τους από το κράτος, από τον Μάρτιο 2020 και μετά.</w:t>
      </w:r>
    </w:p>
    <w:p w:rsidR="00157F8C" w:rsidRPr="00696359" w:rsidRDefault="00157F8C" w:rsidP="00157F8C">
      <w:pPr>
        <w:jc w:val="both"/>
        <w:rPr>
          <w:sz w:val="22"/>
          <w:szCs w:val="22"/>
        </w:rPr>
      </w:pPr>
      <w:r w:rsidRPr="00696359">
        <w:rPr>
          <w:sz w:val="22"/>
          <w:szCs w:val="22"/>
        </w:rPr>
        <w:t>Άλλα κύρια μέτρα με δημοσιονομικό αντίκτυπο</w:t>
      </w:r>
      <w:r w:rsidRPr="00696359">
        <w:rPr>
          <w:sz w:val="22"/>
          <w:szCs w:val="22"/>
          <w:vertAlign w:val="superscript"/>
        </w:rPr>
        <w:footnoteReference w:id="17"/>
      </w:r>
      <w:r w:rsidRPr="00696359">
        <w:rPr>
          <w:sz w:val="22"/>
          <w:szCs w:val="22"/>
        </w:rPr>
        <w:t xml:space="preserve"> αποτέλεσαν η χρηματοδότηση επιχειρήσεων με τη μορφή επιστρεπτέας προκαταβολής, με τη διάθεση περί των 5,4 δισ. ευρώ έως τα τέλη το</w:t>
      </w:r>
      <w:r w:rsidR="0060739E">
        <w:rPr>
          <w:sz w:val="22"/>
          <w:szCs w:val="22"/>
        </w:rPr>
        <w:t>υ 2020 (εκ των οποίων τα 3,5 δισ</w:t>
      </w:r>
      <w:r w:rsidRPr="00696359">
        <w:rPr>
          <w:sz w:val="22"/>
          <w:szCs w:val="22"/>
        </w:rPr>
        <w:t>. ευρώ εντός του τέταρτου τριμήνου του 2020), η μείωση της προκαταβολής φόρου για επιχειρήσεις που επλήγησαν από την υγειονομική κρίση, το πρόγραμμα «Γέφυρα» για επ</w:t>
      </w:r>
      <w:r w:rsidRPr="00696359">
        <w:rPr>
          <w:sz w:val="22"/>
          <w:szCs w:val="22"/>
        </w:rPr>
        <w:t>ι</w:t>
      </w:r>
      <w:r w:rsidRPr="00696359">
        <w:rPr>
          <w:sz w:val="22"/>
          <w:szCs w:val="22"/>
        </w:rPr>
        <w:t>δότηση δανείων με υποθήκη την πρώτη κατοικία και ο μηχανισμός «ΣΥΝ-ΕΡΓΑΣΙΑ» για την οικ</w:t>
      </w:r>
      <w:r w:rsidRPr="00696359">
        <w:rPr>
          <w:sz w:val="22"/>
          <w:szCs w:val="22"/>
        </w:rPr>
        <w:t>ο</w:t>
      </w:r>
      <w:r w:rsidRPr="00696359">
        <w:rPr>
          <w:sz w:val="22"/>
          <w:szCs w:val="22"/>
        </w:rPr>
        <w:t>νομική ενίσχυση βραχυχρόνιας εργασίας, με στόχο τη διατήρηση θέσεων εργασίας πλήρους απασχ</w:t>
      </w:r>
      <w:r w:rsidRPr="00696359">
        <w:rPr>
          <w:sz w:val="22"/>
          <w:szCs w:val="22"/>
        </w:rPr>
        <w:t>ό</w:t>
      </w:r>
      <w:r w:rsidRPr="00696359">
        <w:rPr>
          <w:sz w:val="22"/>
          <w:szCs w:val="22"/>
        </w:rPr>
        <w:t>λησης</w:t>
      </w:r>
      <w:r w:rsidR="0060739E">
        <w:rPr>
          <w:sz w:val="22"/>
          <w:szCs w:val="22"/>
        </w:rPr>
        <w:t>,</w:t>
      </w:r>
      <w:r w:rsidRPr="00696359">
        <w:rPr>
          <w:sz w:val="22"/>
          <w:szCs w:val="22"/>
        </w:rPr>
        <w:t xml:space="preserve"> με χρηματοδότηση από το ευρωπαϊκό πρόγραμμα </w:t>
      </w:r>
      <w:r w:rsidRPr="00696359">
        <w:rPr>
          <w:sz w:val="22"/>
          <w:szCs w:val="22"/>
          <w:lang w:val="en-US"/>
        </w:rPr>
        <w:t>SURE</w:t>
      </w:r>
      <w:r w:rsidRPr="00696359">
        <w:rPr>
          <w:sz w:val="22"/>
          <w:szCs w:val="22"/>
        </w:rPr>
        <w:t>.</w:t>
      </w:r>
    </w:p>
    <w:p w:rsidR="00157F8C" w:rsidRDefault="00157F8C" w:rsidP="008771D5">
      <w:pPr>
        <w:jc w:val="both"/>
        <w:rPr>
          <w:sz w:val="22"/>
          <w:szCs w:val="22"/>
        </w:rPr>
      </w:pPr>
    </w:p>
    <w:p w:rsidR="00157F8C" w:rsidRPr="00696359" w:rsidRDefault="00157F8C" w:rsidP="00157F8C">
      <w:pPr>
        <w:jc w:val="both"/>
        <w:rPr>
          <w:sz w:val="22"/>
          <w:szCs w:val="22"/>
        </w:rPr>
      </w:pPr>
      <w:r w:rsidRPr="00696359">
        <w:rPr>
          <w:sz w:val="22"/>
          <w:szCs w:val="22"/>
        </w:rPr>
        <w:t>Τα μέτρα αυτά αναμένεται να έχουν επίδραση στο ΑΕΠ, κυρίως μέσω της στήριξης της απασχόλησης, του διαθέσιμου εισοδήματος και της ιδιωτικής κατανάλωσης, και δευτερευόντως μέσω των επενδ</w:t>
      </w:r>
      <w:r w:rsidRPr="00696359">
        <w:rPr>
          <w:sz w:val="22"/>
          <w:szCs w:val="22"/>
        </w:rPr>
        <w:t>ύ</w:t>
      </w:r>
      <w:r w:rsidRPr="00696359">
        <w:rPr>
          <w:sz w:val="22"/>
          <w:szCs w:val="22"/>
        </w:rPr>
        <w:t>σεων και των εξαγωγών. Επιπρόσθετα, στήριξη του ΑΕΠ μέσω της δημόσιας κατανάλωσης αναμέν</w:t>
      </w:r>
      <w:r w:rsidRPr="00696359">
        <w:rPr>
          <w:sz w:val="22"/>
          <w:szCs w:val="22"/>
        </w:rPr>
        <w:t>ε</w:t>
      </w:r>
      <w:r w:rsidRPr="00696359">
        <w:rPr>
          <w:sz w:val="22"/>
          <w:szCs w:val="22"/>
        </w:rPr>
        <w:t xml:space="preserve">ται να προέλθει από τις έκτακτες δημόσιες δαπάνες για την αντιμετώπιση του </w:t>
      </w:r>
      <w:r w:rsidRPr="00696359">
        <w:rPr>
          <w:sz w:val="22"/>
          <w:szCs w:val="22"/>
          <w:lang w:val="en-US"/>
        </w:rPr>
        <w:t>Covid</w:t>
      </w:r>
      <w:r w:rsidRPr="00696359">
        <w:rPr>
          <w:sz w:val="22"/>
          <w:szCs w:val="22"/>
        </w:rPr>
        <w:t>-19 (συμπεριλα</w:t>
      </w:r>
      <w:r w:rsidRPr="00696359">
        <w:rPr>
          <w:sz w:val="22"/>
          <w:szCs w:val="22"/>
        </w:rPr>
        <w:t>μ</w:t>
      </w:r>
      <w:r w:rsidRPr="00696359">
        <w:rPr>
          <w:sz w:val="22"/>
          <w:szCs w:val="22"/>
        </w:rPr>
        <w:t>βανομένων των νέων προσλήψεων στο Εθνικό Σύστημα Υγείας και του έκτακτου επιδόματος Πάσχα για τους υγειονομικούς υπαλλήλους και τους υπαλλήλους της Πολιτικής Προστασίας).</w:t>
      </w:r>
    </w:p>
    <w:p w:rsidR="00157F8C" w:rsidRPr="00696359" w:rsidRDefault="00157F8C" w:rsidP="00157F8C">
      <w:pPr>
        <w:jc w:val="both"/>
        <w:rPr>
          <w:sz w:val="22"/>
          <w:szCs w:val="22"/>
        </w:rPr>
      </w:pPr>
    </w:p>
    <w:p w:rsidR="00157F8C" w:rsidRPr="00696359" w:rsidRDefault="00157F8C" w:rsidP="00157F8C">
      <w:pPr>
        <w:jc w:val="both"/>
        <w:rPr>
          <w:sz w:val="22"/>
          <w:szCs w:val="22"/>
        </w:rPr>
      </w:pPr>
      <w:r w:rsidRPr="00696359">
        <w:rPr>
          <w:sz w:val="22"/>
          <w:szCs w:val="22"/>
        </w:rPr>
        <w:t>Από την άλλη πλευρά, στα μέτρα ρευστότητας που υιοθετήθηκαν συγκαταλέγεται, αφενός, το πρ</w:t>
      </w:r>
      <w:r w:rsidRPr="00696359">
        <w:rPr>
          <w:sz w:val="22"/>
          <w:szCs w:val="22"/>
        </w:rPr>
        <w:t>ό</w:t>
      </w:r>
      <w:r w:rsidRPr="00696359">
        <w:rPr>
          <w:sz w:val="22"/>
          <w:szCs w:val="22"/>
        </w:rPr>
        <w:t>γραμμα παροχής δανείων κεφαλαίου κίνησης με διετή επιδότηση επιτοκίου λόγω πανδημίας από το ΤΕΠΙΧ ΙΙ, προς μικρομεσαίες επιχειρήσεις σε αναστολή ή περιορισμό λειτουργίας. Αφετέρου, έχει συσταθεί το Ταμείο Εγγυοδοσίας Επιχειρήσεων Covid-19, ως ανεξάρτητη χρηματοδοτική μονάδα στο πλαίσιο της Ελληνικής Αναπτυξιακής Τράπεζας, για να χρηματοδοτηθούν με εγγυημένα δάνεια κεφ</w:t>
      </w:r>
      <w:r w:rsidRPr="00696359">
        <w:rPr>
          <w:sz w:val="22"/>
          <w:szCs w:val="22"/>
        </w:rPr>
        <w:t>α</w:t>
      </w:r>
      <w:r w:rsidRPr="00696359">
        <w:rPr>
          <w:sz w:val="22"/>
          <w:szCs w:val="22"/>
        </w:rPr>
        <w:t>λαίου κίνησης οι μικρές, μεσαίες και μεγάλες επιχειρήσεις της χώρας. Τα συνολικά διαθέσιμα κεφ</w:t>
      </w:r>
      <w:r w:rsidRPr="00696359">
        <w:rPr>
          <w:sz w:val="22"/>
          <w:szCs w:val="22"/>
        </w:rPr>
        <w:t>ά</w:t>
      </w:r>
      <w:r w:rsidRPr="00696359">
        <w:rPr>
          <w:sz w:val="22"/>
          <w:szCs w:val="22"/>
        </w:rPr>
        <w:t xml:space="preserve">λαια των δύο κύκλων του Ταμείου Εγγυοδοσίας Επιχειρήσεων Covid-19 ανέρχονται σε περίπου 2 δισ. ευρώ, που με τη μόχλευση αναμένεται </w:t>
      </w:r>
      <w:r w:rsidR="00C64078">
        <w:rPr>
          <w:sz w:val="22"/>
          <w:szCs w:val="22"/>
        </w:rPr>
        <w:t>να</w:t>
      </w:r>
      <w:r w:rsidR="00C64078" w:rsidRPr="00696359">
        <w:rPr>
          <w:sz w:val="22"/>
          <w:szCs w:val="22"/>
        </w:rPr>
        <w:t xml:space="preserve"> </w:t>
      </w:r>
      <w:r w:rsidRPr="00696359">
        <w:rPr>
          <w:sz w:val="22"/>
          <w:szCs w:val="22"/>
        </w:rPr>
        <w:t>ξεπεράσουν τα 6 δισ. ευρώ.</w:t>
      </w:r>
    </w:p>
    <w:p w:rsidR="00157F8C" w:rsidRPr="00696359" w:rsidRDefault="00157F8C" w:rsidP="00157F8C">
      <w:pPr>
        <w:jc w:val="both"/>
        <w:rPr>
          <w:sz w:val="22"/>
          <w:szCs w:val="22"/>
        </w:rPr>
      </w:pPr>
      <w:r w:rsidRPr="00696359">
        <w:rPr>
          <w:sz w:val="22"/>
          <w:szCs w:val="22"/>
        </w:rPr>
        <w:lastRenderedPageBreak/>
        <w:t>Πέραν των ανωτέρω μέτρων, θεσπίστηκε και το πλαίσιο χορήγησης μικροχρηματοδοτήσεων (ν. 4701/2020) για τη χορήγηση δανείων έως 25.000 ευρώ χωρίς εμπράγματες εξασφαλίσεις σε πολύ μ</w:t>
      </w:r>
      <w:r w:rsidRPr="00696359">
        <w:rPr>
          <w:sz w:val="22"/>
          <w:szCs w:val="22"/>
        </w:rPr>
        <w:t>ι</w:t>
      </w:r>
      <w:r w:rsidRPr="00696359">
        <w:rPr>
          <w:sz w:val="22"/>
          <w:szCs w:val="22"/>
        </w:rPr>
        <w:t>κρές επιχειρήσεις</w:t>
      </w:r>
      <w:r w:rsidRPr="00696359">
        <w:rPr>
          <w:sz w:val="22"/>
          <w:szCs w:val="22"/>
          <w:vertAlign w:val="superscript"/>
        </w:rPr>
        <w:footnoteReference w:id="18"/>
      </w:r>
      <w:r w:rsidRPr="00696359">
        <w:rPr>
          <w:sz w:val="22"/>
          <w:szCs w:val="22"/>
        </w:rPr>
        <w:t>. Οι χορηγήσεις αναμένεται να ξεκινήσουν ως το τέλος του τρέχοντος έτους, δίν</w:t>
      </w:r>
      <w:r w:rsidRPr="00696359">
        <w:rPr>
          <w:sz w:val="22"/>
          <w:szCs w:val="22"/>
        </w:rPr>
        <w:t>ο</w:t>
      </w:r>
      <w:r w:rsidRPr="00696359">
        <w:rPr>
          <w:sz w:val="22"/>
          <w:szCs w:val="22"/>
        </w:rPr>
        <w:t>ντας ώθηση στην ανάκαμψη των πληγεισών πολύ μικρών επιχειρήσεων με δυσκολία εύρεσης ρευστ</w:t>
      </w:r>
      <w:r w:rsidRPr="00696359">
        <w:rPr>
          <w:sz w:val="22"/>
          <w:szCs w:val="22"/>
        </w:rPr>
        <w:t>ό</w:t>
      </w:r>
      <w:r w:rsidRPr="00696359">
        <w:rPr>
          <w:sz w:val="22"/>
          <w:szCs w:val="22"/>
        </w:rPr>
        <w:t>τητας από άλλες πηγές.</w:t>
      </w:r>
    </w:p>
    <w:p w:rsidR="00157F8C" w:rsidRPr="00696359" w:rsidRDefault="00157F8C" w:rsidP="00157F8C">
      <w:pPr>
        <w:jc w:val="both"/>
        <w:rPr>
          <w:sz w:val="22"/>
          <w:szCs w:val="22"/>
        </w:rPr>
      </w:pPr>
    </w:p>
    <w:p w:rsidR="00157F8C" w:rsidRPr="00696359" w:rsidRDefault="00157F8C" w:rsidP="00157F8C">
      <w:pPr>
        <w:jc w:val="both"/>
        <w:rPr>
          <w:sz w:val="22"/>
          <w:szCs w:val="22"/>
        </w:rPr>
      </w:pPr>
      <w:r w:rsidRPr="00696359">
        <w:rPr>
          <w:sz w:val="22"/>
          <w:szCs w:val="22"/>
        </w:rPr>
        <w:t>Τα ως άνω εθνικά μέτρα συμπληρώνουν τα διαθέσιμα για την Ελλάδα εργαλεία στήριξης που έχουν υιοθετηθεί σε πανευρωπαϊκό επίπεδο, μεταξύ των οποίων το Πανευρωπαϊκό Ταμείο Εγγυήσεων υπό την Ευρωπαϊκή Τράπεζα Επενδύσεων (ΕΤΕπ) για τη χρηματοδότηση επιχειρήσεων, ιδιαίτερα μικρ</w:t>
      </w:r>
      <w:r w:rsidRPr="00696359">
        <w:rPr>
          <w:sz w:val="22"/>
          <w:szCs w:val="22"/>
        </w:rPr>
        <w:t>ο</w:t>
      </w:r>
      <w:r w:rsidRPr="00696359">
        <w:rPr>
          <w:sz w:val="22"/>
          <w:szCs w:val="22"/>
        </w:rPr>
        <w:t>μεσαίων και το μέσο για την παροχή χρηματοδότησης με τη μορφή δανείων για την προστασία της απασχόλησης (SURE).</w:t>
      </w:r>
    </w:p>
    <w:p w:rsidR="00157F8C" w:rsidRPr="00696359" w:rsidRDefault="00157F8C" w:rsidP="00157F8C">
      <w:pPr>
        <w:jc w:val="both"/>
        <w:rPr>
          <w:sz w:val="22"/>
          <w:szCs w:val="22"/>
        </w:rPr>
      </w:pPr>
    </w:p>
    <w:p w:rsidR="00157F8C" w:rsidRPr="00696359" w:rsidRDefault="00157F8C" w:rsidP="00157F8C">
      <w:pPr>
        <w:jc w:val="both"/>
        <w:rPr>
          <w:sz w:val="22"/>
          <w:szCs w:val="22"/>
        </w:rPr>
      </w:pPr>
      <w:r w:rsidRPr="00696359">
        <w:rPr>
          <w:sz w:val="22"/>
          <w:szCs w:val="22"/>
        </w:rPr>
        <w:t xml:space="preserve">Όφελος για την ελληνική οικονομία προκύπτει και από το έκτακτο πρόγραμμα αγοράς στοιχείων </w:t>
      </w:r>
      <w:r w:rsidRPr="00696359">
        <w:rPr>
          <w:sz w:val="22"/>
          <w:szCs w:val="22"/>
        </w:rPr>
        <w:t>ε</w:t>
      </w:r>
      <w:r w:rsidRPr="00696359">
        <w:rPr>
          <w:sz w:val="22"/>
          <w:szCs w:val="22"/>
        </w:rPr>
        <w:t>νεργητικού λόγω της πανδημίας (</w:t>
      </w:r>
      <w:r w:rsidRPr="00696359">
        <w:rPr>
          <w:sz w:val="22"/>
          <w:szCs w:val="22"/>
          <w:lang w:val="en-US"/>
        </w:rPr>
        <w:t>PEPP</w:t>
      </w:r>
      <w:r w:rsidRPr="00696359">
        <w:rPr>
          <w:sz w:val="22"/>
          <w:szCs w:val="22"/>
        </w:rPr>
        <w:t>), που αποφασίστηκε από την Ευρωπαϊκή Κεντρική Τράπεζα, με συνολικό ύψος 1.350</w:t>
      </w:r>
      <w:r w:rsidRPr="00696359">
        <w:rPr>
          <w:bCs/>
          <w:sz w:val="22"/>
          <w:szCs w:val="22"/>
        </w:rPr>
        <w:t xml:space="preserve"> δισ. ευρώ </w:t>
      </w:r>
      <w:r w:rsidRPr="00696359">
        <w:rPr>
          <w:sz w:val="22"/>
          <w:szCs w:val="22"/>
        </w:rPr>
        <w:t>για την αγορά ιδιωτικών και δημόσιων τίτλων κατά τη διάρκεια της κρίσης, επιπλέον του προγράμματος ύψους 120 δισ. ευρώ που είχε αποφασιστεί προηγουμένως. Η Ευρωπαϊκή Κεντρική Τράπεζα αποφάσισε υπέρ της επιλεξιμότητας των ελληνικών ομολόγων στο πρόγραμμα βάσει παρέκκλισης, αξιολογώντας τις προ της πανδημίας θετικές εξελίξεις στην ελληνική οικονομία και τις χρηματοπιστωτικές αγορές</w:t>
      </w:r>
      <w:r w:rsidRPr="00696359">
        <w:rPr>
          <w:sz w:val="22"/>
          <w:szCs w:val="22"/>
          <w:vertAlign w:val="superscript"/>
        </w:rPr>
        <w:footnoteReference w:id="19"/>
      </w:r>
      <w:r w:rsidRPr="00696359">
        <w:rPr>
          <w:sz w:val="22"/>
          <w:szCs w:val="22"/>
        </w:rPr>
        <w:t xml:space="preserve">. </w:t>
      </w:r>
      <w:r w:rsidRPr="00696359">
        <w:rPr>
          <w:sz w:val="22"/>
          <w:szCs w:val="22"/>
          <w:lang w:val="en-US"/>
        </w:rPr>
        <w:t>M</w:t>
      </w:r>
      <w:r w:rsidRPr="00696359">
        <w:rPr>
          <w:sz w:val="22"/>
          <w:szCs w:val="22"/>
        </w:rPr>
        <w:t>ετά τη συμπερίληψη των ελληνικών ομολόγων, οι χρηματοπιστωτικές συνθήκες στην Ελλάδα εξομαλύνθηκαν, με την απόδοση του δεκαετούς ομολόγου να υποχωρεί σημαντικά, φτάνοντας τον Νοέμβριο του 2020 κάτω από το 0,</w:t>
      </w:r>
      <w:r w:rsidR="00204A2C">
        <w:rPr>
          <w:sz w:val="22"/>
          <w:szCs w:val="22"/>
        </w:rPr>
        <w:t>7</w:t>
      </w:r>
      <w:r w:rsidRPr="00696359">
        <w:rPr>
          <w:sz w:val="22"/>
          <w:szCs w:val="22"/>
        </w:rPr>
        <w:t>%, χαμηλότερα από τα προ-πανδημίας επίπεδα.</w:t>
      </w:r>
    </w:p>
    <w:p w:rsidR="00157F8C" w:rsidRPr="00696359" w:rsidRDefault="00157F8C" w:rsidP="00157F8C">
      <w:pPr>
        <w:jc w:val="both"/>
        <w:rPr>
          <w:sz w:val="22"/>
          <w:szCs w:val="22"/>
        </w:rPr>
      </w:pPr>
    </w:p>
    <w:p w:rsidR="00157F8C" w:rsidRPr="00696359" w:rsidRDefault="00157F8C" w:rsidP="00157F8C">
      <w:pPr>
        <w:jc w:val="both"/>
        <w:rPr>
          <w:sz w:val="22"/>
          <w:szCs w:val="22"/>
        </w:rPr>
      </w:pPr>
      <w:r w:rsidRPr="00696359">
        <w:rPr>
          <w:sz w:val="22"/>
          <w:szCs w:val="22"/>
        </w:rPr>
        <w:t xml:space="preserve">Από το επόμενο έτος, η </w:t>
      </w:r>
      <w:r w:rsidR="00056876">
        <w:rPr>
          <w:sz w:val="22"/>
          <w:szCs w:val="22"/>
        </w:rPr>
        <w:t>ε</w:t>
      </w:r>
      <w:r w:rsidRPr="00696359">
        <w:rPr>
          <w:sz w:val="22"/>
          <w:szCs w:val="22"/>
        </w:rPr>
        <w:t>λληνική οικονομία αναμένεται να επιστρέψει σταδιακά σε πορεία ανάπτ</w:t>
      </w:r>
      <w:r w:rsidRPr="00696359">
        <w:rPr>
          <w:sz w:val="22"/>
          <w:szCs w:val="22"/>
        </w:rPr>
        <w:t>υ</w:t>
      </w:r>
      <w:r w:rsidRPr="00696359">
        <w:rPr>
          <w:sz w:val="22"/>
          <w:szCs w:val="22"/>
        </w:rPr>
        <w:t>ξης, με την εξέλιξη της πανδημίας σε διεθνές επίπεδο κατά τη διάρκεια του 2021 να παραμένει κρίσ</w:t>
      </w:r>
      <w:r w:rsidRPr="00696359">
        <w:rPr>
          <w:sz w:val="22"/>
          <w:szCs w:val="22"/>
        </w:rPr>
        <w:t>ι</w:t>
      </w:r>
      <w:r w:rsidRPr="00696359">
        <w:rPr>
          <w:sz w:val="22"/>
          <w:szCs w:val="22"/>
        </w:rPr>
        <w:t>μος παράγοντας για τον ρυθμό ανάκαμψης που θα διαμορφωθεί στο σύνολο του έτους. Συμβολή στην προσπάθεια ανασυγκρότησης</w:t>
      </w:r>
      <w:r w:rsidR="00AA6CA7">
        <w:rPr>
          <w:sz w:val="22"/>
          <w:szCs w:val="22"/>
        </w:rPr>
        <w:t>,</w:t>
      </w:r>
      <w:r w:rsidRPr="00696359">
        <w:rPr>
          <w:sz w:val="22"/>
          <w:szCs w:val="22"/>
        </w:rPr>
        <w:t xml:space="preserve"> μετά το τέλος της πανδημίας</w:t>
      </w:r>
      <w:r w:rsidR="00AA6CA7">
        <w:rPr>
          <w:sz w:val="22"/>
          <w:szCs w:val="22"/>
        </w:rPr>
        <w:t>,</w:t>
      </w:r>
      <w:r w:rsidRPr="00696359">
        <w:rPr>
          <w:sz w:val="22"/>
          <w:szCs w:val="22"/>
        </w:rPr>
        <w:t xml:space="preserve"> αναμένεται να προέλθει από τη συνεχιζ</w:t>
      </w:r>
      <w:r w:rsidRPr="00696359">
        <w:rPr>
          <w:sz w:val="22"/>
          <w:szCs w:val="22"/>
        </w:rPr>
        <w:t>ό</w:t>
      </w:r>
      <w:r w:rsidRPr="00696359">
        <w:rPr>
          <w:sz w:val="22"/>
          <w:szCs w:val="22"/>
        </w:rPr>
        <w:t>μενη πρόοδο στις διαρθρωτικές μεταρρυθμίσεις και τη βελτίωση της ανταγωνιστικότητας ακόμα και μέσα στην περίοδο της υγειονομικής κρίσης.</w:t>
      </w:r>
    </w:p>
    <w:p w:rsidR="00157F8C" w:rsidRPr="00696359" w:rsidRDefault="00157F8C" w:rsidP="00157F8C">
      <w:pPr>
        <w:jc w:val="both"/>
        <w:rPr>
          <w:sz w:val="22"/>
          <w:szCs w:val="22"/>
        </w:rPr>
      </w:pPr>
    </w:p>
    <w:p w:rsidR="00157F8C" w:rsidRPr="00696359" w:rsidRDefault="00157F8C" w:rsidP="00157F8C">
      <w:pPr>
        <w:jc w:val="both"/>
        <w:rPr>
          <w:sz w:val="22"/>
          <w:szCs w:val="22"/>
        </w:rPr>
      </w:pPr>
      <w:r w:rsidRPr="00696359">
        <w:rPr>
          <w:sz w:val="22"/>
          <w:szCs w:val="22"/>
        </w:rPr>
        <w:t>Σύμφωνα με τον ευρύ δείκτη πραγματικής σταθμισμένης συναλλαγματικής ισοτιμίας της Τράπεζας της Ελλάδος</w:t>
      </w:r>
      <w:r w:rsidRPr="00696359">
        <w:rPr>
          <w:rStyle w:val="ab"/>
          <w:sz w:val="22"/>
          <w:szCs w:val="22"/>
        </w:rPr>
        <w:footnoteReference w:id="20"/>
      </w:r>
      <w:r w:rsidRPr="00696359">
        <w:rPr>
          <w:sz w:val="22"/>
          <w:szCs w:val="22"/>
        </w:rPr>
        <w:t xml:space="preserve"> (με βάση τον δείκτη τιμών καταναλωτή), το 2020 εκτιμάται βελτίωση της ανταγωνιστ</w:t>
      </w:r>
      <w:r w:rsidRPr="00696359">
        <w:rPr>
          <w:sz w:val="22"/>
          <w:szCs w:val="22"/>
        </w:rPr>
        <w:t>ι</w:t>
      </w:r>
      <w:r w:rsidRPr="00696359">
        <w:rPr>
          <w:sz w:val="22"/>
          <w:szCs w:val="22"/>
        </w:rPr>
        <w:t>κότητας, χωρίς όμως τα οφέλη να κεφαλαιοποιούνται άμεσα, λόγω των επιπτώσεων της πανδημίας.</w:t>
      </w:r>
    </w:p>
    <w:p w:rsidR="00157F8C" w:rsidRPr="00696359" w:rsidRDefault="00157F8C" w:rsidP="00157F8C">
      <w:pPr>
        <w:jc w:val="both"/>
        <w:rPr>
          <w:sz w:val="22"/>
          <w:szCs w:val="22"/>
        </w:rPr>
      </w:pPr>
    </w:p>
    <w:p w:rsidR="00157F8C" w:rsidRPr="00696359" w:rsidRDefault="00157F8C" w:rsidP="00157F8C">
      <w:pPr>
        <w:jc w:val="both"/>
        <w:rPr>
          <w:sz w:val="22"/>
          <w:szCs w:val="22"/>
        </w:rPr>
      </w:pPr>
      <w:r w:rsidRPr="00696359">
        <w:rPr>
          <w:sz w:val="22"/>
          <w:szCs w:val="22"/>
        </w:rPr>
        <w:t>Ακόμα, σύμφωνα με την Έκθεση παρακολούθησης προόδου ως προς τους Στόχους Βιώσιμης Αν</w:t>
      </w:r>
      <w:r w:rsidRPr="00696359">
        <w:rPr>
          <w:sz w:val="22"/>
          <w:szCs w:val="22"/>
        </w:rPr>
        <w:t>ά</w:t>
      </w:r>
      <w:r w:rsidRPr="00696359">
        <w:rPr>
          <w:sz w:val="22"/>
          <w:szCs w:val="22"/>
        </w:rPr>
        <w:t>πτυξης της Ευρωπαϊκής Στατιστικής Αρχής (έκδοση Μαΐου 2020), η Ελλάδα καταγράφει πρόοδο και στους δεκαεπτά στόχους, με υψηλότερες επιδόσεις όσον αφορά τους στόχους της υγείας και ευημερ</w:t>
      </w:r>
      <w:r w:rsidRPr="00696359">
        <w:rPr>
          <w:sz w:val="22"/>
          <w:szCs w:val="22"/>
        </w:rPr>
        <w:t>ί</w:t>
      </w:r>
      <w:r w:rsidRPr="00696359">
        <w:rPr>
          <w:sz w:val="22"/>
          <w:szCs w:val="22"/>
        </w:rPr>
        <w:t>ας, της οικονομικά προσιτής και καθαρής ενέργειας, των μειωμένων ανισοτήτων, της μηδενικής πε</w:t>
      </w:r>
      <w:r w:rsidRPr="00696359">
        <w:rPr>
          <w:sz w:val="22"/>
          <w:szCs w:val="22"/>
        </w:rPr>
        <w:t>ί</w:t>
      </w:r>
      <w:r w:rsidRPr="00696359">
        <w:rPr>
          <w:sz w:val="22"/>
          <w:szCs w:val="22"/>
        </w:rPr>
        <w:t xml:space="preserve">νας και των βιώσιμων πόλεων και κοινοτήτων. </w:t>
      </w:r>
      <w:r w:rsidR="00204A2C">
        <w:rPr>
          <w:sz w:val="22"/>
          <w:szCs w:val="22"/>
        </w:rPr>
        <w:t>Θ</w:t>
      </w:r>
      <w:r w:rsidRPr="00696359">
        <w:rPr>
          <w:sz w:val="22"/>
          <w:szCs w:val="22"/>
        </w:rPr>
        <w:t xml:space="preserve">ετικά βήματα </w:t>
      </w:r>
      <w:r w:rsidR="00204A2C">
        <w:rPr>
          <w:sz w:val="22"/>
          <w:szCs w:val="22"/>
        </w:rPr>
        <w:t xml:space="preserve">επίσης έχει επιδείξει ως </w:t>
      </w:r>
      <w:r w:rsidRPr="00696359">
        <w:rPr>
          <w:sz w:val="22"/>
          <w:szCs w:val="22"/>
        </w:rPr>
        <w:t>προς την αξι</w:t>
      </w:r>
      <w:r w:rsidRPr="00696359">
        <w:rPr>
          <w:sz w:val="22"/>
          <w:szCs w:val="22"/>
        </w:rPr>
        <w:t>ο</w:t>
      </w:r>
      <w:r w:rsidRPr="00696359">
        <w:rPr>
          <w:sz w:val="22"/>
          <w:szCs w:val="22"/>
        </w:rPr>
        <w:t>πρεπή εργασία και την οικονομική ανάπτυξη, τη βιομηχανία, καινοτομία και δίκτυο υποδομών, και την ποιότητα της εκπαίδευσης.</w:t>
      </w:r>
    </w:p>
    <w:p w:rsidR="00157F8C" w:rsidRPr="00696359" w:rsidRDefault="00157F8C" w:rsidP="00157F8C">
      <w:pPr>
        <w:jc w:val="both"/>
        <w:rPr>
          <w:sz w:val="22"/>
          <w:szCs w:val="22"/>
        </w:rPr>
      </w:pPr>
    </w:p>
    <w:p w:rsidR="00157F8C" w:rsidRPr="00696359" w:rsidRDefault="00157F8C" w:rsidP="00157F8C">
      <w:pPr>
        <w:jc w:val="both"/>
        <w:rPr>
          <w:sz w:val="22"/>
          <w:szCs w:val="22"/>
        </w:rPr>
      </w:pPr>
      <w:r w:rsidRPr="00696359">
        <w:rPr>
          <w:sz w:val="22"/>
          <w:szCs w:val="22"/>
        </w:rPr>
        <w:t xml:space="preserve">Η διατήρηση του μεταρρυθμιστικού προσανατολισμού το 2020, παρά την επιδείνωση της οικονομικής συγκυρίας, αναγνωρίζεται και στην </w:t>
      </w:r>
      <w:r w:rsidR="00467B57">
        <w:rPr>
          <w:sz w:val="22"/>
          <w:szCs w:val="22"/>
        </w:rPr>
        <w:t>φθινοπωρινή</w:t>
      </w:r>
      <w:r w:rsidR="00467B57" w:rsidRPr="00696359">
        <w:rPr>
          <w:sz w:val="22"/>
          <w:szCs w:val="22"/>
        </w:rPr>
        <w:t xml:space="preserve"> </w:t>
      </w:r>
      <w:r w:rsidRPr="00696359">
        <w:rPr>
          <w:sz w:val="22"/>
          <w:szCs w:val="22"/>
        </w:rPr>
        <w:t>Έκθεση Ενισχυμένης Εποπτείας (Σεπτέμβριος 2020), με ειδικές αναφορές στα σημαντικά βήματα των τελευταίων μηνών όσον αφορά την πτωχευτ</w:t>
      </w:r>
      <w:r w:rsidRPr="00696359">
        <w:rPr>
          <w:sz w:val="22"/>
          <w:szCs w:val="22"/>
        </w:rPr>
        <w:t>ι</w:t>
      </w:r>
      <w:r w:rsidRPr="00696359">
        <w:rPr>
          <w:sz w:val="22"/>
          <w:szCs w:val="22"/>
        </w:rPr>
        <w:t>κή νομοθεσία, την απλούστευση της διαδικασίας αδειοδοτήσεων επενδυτικών έργων, την ενεργειακή πολιτική και τη δημόσια διοίκηση. Στην ίδια έκθεση, εξαίρεται η προώθηση επιπλέον μεταρρυθμίσ</w:t>
      </w:r>
      <w:r w:rsidRPr="00696359">
        <w:rPr>
          <w:sz w:val="22"/>
          <w:szCs w:val="22"/>
        </w:rPr>
        <w:t>ε</w:t>
      </w:r>
      <w:r w:rsidRPr="00696359">
        <w:rPr>
          <w:sz w:val="22"/>
          <w:szCs w:val="22"/>
        </w:rPr>
        <w:t xml:space="preserve">ων, οι οποίες δεν απορρέουν από τις δεσμεύσεις της Ελλάδας προς το </w:t>
      </w:r>
      <w:r w:rsidRPr="00696359">
        <w:rPr>
          <w:sz w:val="22"/>
          <w:szCs w:val="22"/>
          <w:lang w:val="en-US"/>
        </w:rPr>
        <w:t>Eurogroup</w:t>
      </w:r>
      <w:r w:rsidRPr="00696359">
        <w:rPr>
          <w:sz w:val="22"/>
          <w:szCs w:val="22"/>
        </w:rPr>
        <w:t xml:space="preserve"> (Ιούνιος 2018), αλλά αναμένεται να τονώσουν το επενδυτικό κλίμα και να αναβαθμίσουν το επιχειρηματικό περιβάλλον. </w:t>
      </w:r>
      <w:r w:rsidRPr="00696359">
        <w:rPr>
          <w:sz w:val="22"/>
          <w:szCs w:val="22"/>
        </w:rPr>
        <w:lastRenderedPageBreak/>
        <w:t xml:space="preserve">Αυτές αφορούν την ψηφιακή διακυβέρνηση, τη χάραξη της νέας αναπτυξιακής στρατηγικής, την </w:t>
      </w:r>
      <w:r w:rsidRPr="00696359">
        <w:rPr>
          <w:sz w:val="22"/>
          <w:szCs w:val="22"/>
        </w:rPr>
        <w:t>ε</w:t>
      </w:r>
      <w:r w:rsidRPr="00696359">
        <w:rPr>
          <w:sz w:val="22"/>
          <w:szCs w:val="22"/>
        </w:rPr>
        <w:t>παγγελματική εκπαίδευση και την επιτάχυνση της διαδικασίας δημοσίων επενδύσεων, που αποτελεί κρίσιμο παράγοντα για την επίτευξη του αναπτυξιακού στόχου του 2021.</w:t>
      </w:r>
    </w:p>
    <w:p w:rsidR="00157F8C" w:rsidRPr="00696359" w:rsidRDefault="00157F8C" w:rsidP="00157F8C">
      <w:pPr>
        <w:jc w:val="both"/>
        <w:rPr>
          <w:sz w:val="22"/>
          <w:szCs w:val="22"/>
        </w:rPr>
      </w:pPr>
    </w:p>
    <w:p w:rsidR="00157F8C" w:rsidRPr="00696359" w:rsidRDefault="00157F8C" w:rsidP="00157F8C">
      <w:pPr>
        <w:jc w:val="both"/>
        <w:rPr>
          <w:sz w:val="22"/>
          <w:szCs w:val="22"/>
        </w:rPr>
      </w:pPr>
      <w:r w:rsidRPr="00696359">
        <w:rPr>
          <w:sz w:val="22"/>
          <w:szCs w:val="22"/>
        </w:rPr>
        <w:t>Ο ρυθμός ανάπτυξης του 2021 συνδέεται άμεσα με τη βελτίωση της διαδικασίας δημοσίων επενδύσ</w:t>
      </w:r>
      <w:r w:rsidRPr="00696359">
        <w:rPr>
          <w:sz w:val="22"/>
          <w:szCs w:val="22"/>
        </w:rPr>
        <w:t>ε</w:t>
      </w:r>
      <w:r w:rsidRPr="00696359">
        <w:rPr>
          <w:sz w:val="22"/>
          <w:szCs w:val="22"/>
        </w:rPr>
        <w:t>ων λόγω των νέων ευρωπαϊκών πόρων που θα γίνουν διαθέσιμοι για την Ελλάδα το 2021 υπό το σχ</w:t>
      </w:r>
      <w:r w:rsidRPr="00696359">
        <w:rPr>
          <w:sz w:val="22"/>
          <w:szCs w:val="22"/>
        </w:rPr>
        <w:t>έ</w:t>
      </w:r>
      <w:r w:rsidRPr="00696359">
        <w:rPr>
          <w:sz w:val="22"/>
          <w:szCs w:val="22"/>
        </w:rPr>
        <w:t>διο ανάκαμψης της Ευρώπης ‘</w:t>
      </w:r>
      <w:r w:rsidRPr="00696359">
        <w:rPr>
          <w:sz w:val="22"/>
          <w:szCs w:val="22"/>
          <w:lang w:val="en-US"/>
        </w:rPr>
        <w:t>Next</w:t>
      </w:r>
      <w:r w:rsidRPr="00696359">
        <w:rPr>
          <w:sz w:val="22"/>
          <w:szCs w:val="22"/>
        </w:rPr>
        <w:t xml:space="preserve"> </w:t>
      </w:r>
      <w:r w:rsidRPr="00696359">
        <w:rPr>
          <w:sz w:val="22"/>
          <w:szCs w:val="22"/>
          <w:lang w:val="en-US"/>
        </w:rPr>
        <w:t>Generation</w:t>
      </w:r>
      <w:r w:rsidRPr="00696359">
        <w:rPr>
          <w:sz w:val="22"/>
          <w:szCs w:val="22"/>
        </w:rPr>
        <w:t xml:space="preserve"> </w:t>
      </w:r>
      <w:r w:rsidRPr="00696359">
        <w:rPr>
          <w:sz w:val="22"/>
          <w:szCs w:val="22"/>
          <w:lang w:val="en-US"/>
        </w:rPr>
        <w:t>EU</w:t>
      </w:r>
      <w:r w:rsidRPr="00696359">
        <w:rPr>
          <w:sz w:val="22"/>
          <w:szCs w:val="22"/>
        </w:rPr>
        <w:t>’. Το σχέδιο εγκρίθηκε από τη Σύνοδο Κορυφής της 17</w:t>
      </w:r>
      <w:r w:rsidRPr="00696359">
        <w:rPr>
          <w:sz w:val="22"/>
          <w:szCs w:val="22"/>
          <w:vertAlign w:val="superscript"/>
        </w:rPr>
        <w:t>ης</w:t>
      </w:r>
      <w:r w:rsidRPr="00696359">
        <w:rPr>
          <w:sz w:val="22"/>
          <w:szCs w:val="22"/>
        </w:rPr>
        <w:t xml:space="preserve"> - 21</w:t>
      </w:r>
      <w:r w:rsidRPr="00696359">
        <w:rPr>
          <w:sz w:val="22"/>
          <w:szCs w:val="22"/>
          <w:vertAlign w:val="superscript"/>
        </w:rPr>
        <w:t>ης</w:t>
      </w:r>
      <w:r w:rsidRPr="00696359">
        <w:rPr>
          <w:sz w:val="22"/>
          <w:szCs w:val="22"/>
        </w:rPr>
        <w:t xml:space="preserve"> Ιουλίου 2020, σε συνέχεια του πρώτου ευρωπαϊκού πακέτου για την αντιμετώπιση των οικονομικών επιπτώσεων της πανδημίας, με στόχο τη στήριξη της προσπάθειας των κρατών-μελών της Ευρωπαϊκής Ένωσης να ανακάμψουν από την υγειονομική κρίση, την ενίσχυση της ενιαίας αγ</w:t>
      </w:r>
      <w:r w:rsidRPr="00696359">
        <w:rPr>
          <w:sz w:val="22"/>
          <w:szCs w:val="22"/>
        </w:rPr>
        <w:t>ο</w:t>
      </w:r>
      <w:r w:rsidRPr="00696359">
        <w:rPr>
          <w:sz w:val="22"/>
          <w:szCs w:val="22"/>
        </w:rPr>
        <w:t>ράς και την επιτάχυνση της πράσινης και ψηφιακής μετάβασης. Τα συνολικά κονδύλια του σχεδίου, που είναι επιπρόσθετα του νέου Πολυετούς Δημοσιονομικού Πλαισίου, έχουν ύψος 750 δισ. ευρώ, εκ των οποίων 390 δισ. ευρώ υπό μορφή επιχορηγήσεων και 360 δισ. ευρώ υπό μορφή δανείων. Εξ α</w:t>
      </w:r>
      <w:r w:rsidRPr="00696359">
        <w:rPr>
          <w:sz w:val="22"/>
          <w:szCs w:val="22"/>
        </w:rPr>
        <w:t>υ</w:t>
      </w:r>
      <w:r w:rsidRPr="00696359">
        <w:rPr>
          <w:sz w:val="22"/>
          <w:szCs w:val="22"/>
        </w:rPr>
        <w:t>τών, στην Ελλάδα έχουν κατανεμηθεί 32 δισ. ευρώ, εκ των οποίων 19,3 δισ. ευρώ σε επιχορηγήσεις και 12,7 δισ. ευρώ υπό μορφή δανείου.</w:t>
      </w:r>
    </w:p>
    <w:p w:rsidR="00157F8C" w:rsidRPr="00696359" w:rsidRDefault="00157F8C" w:rsidP="00157F8C">
      <w:pPr>
        <w:jc w:val="both"/>
        <w:rPr>
          <w:sz w:val="22"/>
          <w:szCs w:val="22"/>
        </w:rPr>
      </w:pPr>
    </w:p>
    <w:p w:rsidR="00157F8C" w:rsidRPr="00696359" w:rsidRDefault="00157F8C" w:rsidP="00157F8C">
      <w:pPr>
        <w:jc w:val="both"/>
        <w:rPr>
          <w:sz w:val="22"/>
          <w:szCs w:val="22"/>
        </w:rPr>
      </w:pPr>
      <w:r w:rsidRPr="00696359">
        <w:rPr>
          <w:sz w:val="22"/>
          <w:szCs w:val="22"/>
        </w:rPr>
        <w:t>Με τα δεδομένα αυτά, η Ελλάδα επεξεργάζεται ένα συνεκτικό Εθνικό Στρατηγικό Σχέδιο για τη βέ</w:t>
      </w:r>
      <w:r w:rsidRPr="00696359">
        <w:rPr>
          <w:sz w:val="22"/>
          <w:szCs w:val="22"/>
        </w:rPr>
        <w:t>λ</w:t>
      </w:r>
      <w:r w:rsidRPr="00696359">
        <w:rPr>
          <w:sz w:val="22"/>
          <w:szCs w:val="22"/>
        </w:rPr>
        <w:t>τιστη παραγωγική αξιοποίηση και μόχλευση όλων των διαθέσιμων κεφαλαίων από το ‘</w:t>
      </w:r>
      <w:r w:rsidRPr="00696359">
        <w:rPr>
          <w:sz w:val="22"/>
          <w:szCs w:val="22"/>
          <w:lang w:val="en-US"/>
        </w:rPr>
        <w:t>Next</w:t>
      </w:r>
      <w:r w:rsidRPr="00696359">
        <w:rPr>
          <w:sz w:val="22"/>
          <w:szCs w:val="22"/>
        </w:rPr>
        <w:t xml:space="preserve"> </w:t>
      </w:r>
      <w:r w:rsidRPr="00696359">
        <w:rPr>
          <w:sz w:val="22"/>
          <w:szCs w:val="22"/>
          <w:lang w:val="en-US"/>
        </w:rPr>
        <w:t>Gener</w:t>
      </w:r>
      <w:r w:rsidRPr="00696359">
        <w:rPr>
          <w:sz w:val="22"/>
          <w:szCs w:val="22"/>
          <w:lang w:val="en-US"/>
        </w:rPr>
        <w:t>a</w:t>
      </w:r>
      <w:r w:rsidRPr="00696359">
        <w:rPr>
          <w:sz w:val="22"/>
          <w:szCs w:val="22"/>
          <w:lang w:val="en-US"/>
        </w:rPr>
        <w:t>tion</w:t>
      </w:r>
      <w:r w:rsidRPr="00696359">
        <w:rPr>
          <w:sz w:val="22"/>
          <w:szCs w:val="22"/>
        </w:rPr>
        <w:t xml:space="preserve"> </w:t>
      </w:r>
      <w:r w:rsidRPr="00696359">
        <w:rPr>
          <w:sz w:val="22"/>
          <w:szCs w:val="22"/>
          <w:lang w:val="en-US"/>
        </w:rPr>
        <w:t>EU</w:t>
      </w:r>
      <w:r w:rsidRPr="00696359">
        <w:rPr>
          <w:sz w:val="22"/>
          <w:szCs w:val="22"/>
        </w:rPr>
        <w:t>’, καθώς και των πόρων από το Πολυετές Δημοσιονομικό Πλαίσιο 2021-2027, βασισμένο στις προτάσεις και στις στρατηγικές κατευθύνσεις της Ευρωπαϊκής Επιτροπής για το Σχέδιο Ανάπτυξης της Ελληνικής Οικονομίας.</w:t>
      </w:r>
    </w:p>
    <w:p w:rsidR="00157F8C" w:rsidRPr="00696359" w:rsidRDefault="00157F8C" w:rsidP="00157F8C">
      <w:pPr>
        <w:jc w:val="both"/>
        <w:rPr>
          <w:sz w:val="22"/>
          <w:szCs w:val="22"/>
        </w:rPr>
      </w:pPr>
    </w:p>
    <w:p w:rsidR="00157F8C" w:rsidRPr="00696359" w:rsidRDefault="00157F8C" w:rsidP="00157F8C">
      <w:pPr>
        <w:jc w:val="both"/>
        <w:rPr>
          <w:sz w:val="22"/>
          <w:szCs w:val="22"/>
        </w:rPr>
      </w:pPr>
      <w:r w:rsidRPr="00696359">
        <w:rPr>
          <w:sz w:val="22"/>
          <w:szCs w:val="22"/>
        </w:rPr>
        <w:t>Η υλοποίηση του σχεδίου, η οποία θα συντελεστεί με συνεργασία όλων των συναρμόδιων Υπουργε</w:t>
      </w:r>
      <w:r w:rsidRPr="00696359">
        <w:rPr>
          <w:sz w:val="22"/>
          <w:szCs w:val="22"/>
        </w:rPr>
        <w:t>ί</w:t>
      </w:r>
      <w:r w:rsidRPr="00696359">
        <w:rPr>
          <w:sz w:val="22"/>
          <w:szCs w:val="22"/>
        </w:rPr>
        <w:t xml:space="preserve">ων, καθώς και τη συμμετοχή του ιδιωτικού τομέα, θα συντονίζεται από την αυτοτελή </w:t>
      </w:r>
      <w:r w:rsidRPr="00696359">
        <w:rPr>
          <w:sz w:val="22"/>
        </w:rPr>
        <w:t>Ειδική Υπηρ</w:t>
      </w:r>
      <w:r w:rsidRPr="00696359">
        <w:rPr>
          <w:sz w:val="22"/>
        </w:rPr>
        <w:t>ε</w:t>
      </w:r>
      <w:r w:rsidRPr="00696359">
        <w:rPr>
          <w:sz w:val="22"/>
        </w:rPr>
        <w:t>σία Συντονισμού Ταμείου Ανάκαμψης</w:t>
      </w:r>
      <w:r w:rsidRPr="00696359">
        <w:rPr>
          <w:sz w:val="22"/>
          <w:szCs w:val="22"/>
        </w:rPr>
        <w:t xml:space="preserve">, η οποία υπάγεται στον </w:t>
      </w:r>
      <w:r w:rsidR="00AA6CA7">
        <w:rPr>
          <w:sz w:val="22"/>
          <w:szCs w:val="22"/>
        </w:rPr>
        <w:t xml:space="preserve">Αναπληρωτή </w:t>
      </w:r>
      <w:r w:rsidRPr="00696359">
        <w:rPr>
          <w:sz w:val="22"/>
          <w:szCs w:val="22"/>
        </w:rPr>
        <w:t>Υπουργό Οικονομικών.</w:t>
      </w:r>
    </w:p>
    <w:p w:rsidR="00157F8C" w:rsidRPr="00696359" w:rsidRDefault="00157F8C" w:rsidP="00157F8C">
      <w:pPr>
        <w:jc w:val="both"/>
        <w:rPr>
          <w:sz w:val="22"/>
          <w:szCs w:val="22"/>
        </w:rPr>
      </w:pPr>
    </w:p>
    <w:p w:rsidR="00157F8C" w:rsidRPr="00696359" w:rsidRDefault="00157F8C" w:rsidP="00157F8C">
      <w:pPr>
        <w:jc w:val="both"/>
        <w:rPr>
          <w:sz w:val="22"/>
          <w:szCs w:val="22"/>
        </w:rPr>
      </w:pPr>
      <w:r w:rsidRPr="00696359">
        <w:rPr>
          <w:sz w:val="22"/>
          <w:szCs w:val="22"/>
        </w:rPr>
        <w:t>Οι προτεραιότητες του υπό διαμόρφωση σχεδίου αφορούν: α) τη στήριξη της επιχειρηματικότητας, την προσέλκυση ιδιωτικών επενδύσεων και την προώθηση της καινοτομίας, β) την ενίσχυση της απ</w:t>
      </w:r>
      <w:r w:rsidRPr="00696359">
        <w:rPr>
          <w:sz w:val="22"/>
          <w:szCs w:val="22"/>
        </w:rPr>
        <w:t>α</w:t>
      </w:r>
      <w:r w:rsidRPr="00696359">
        <w:rPr>
          <w:sz w:val="22"/>
          <w:szCs w:val="22"/>
        </w:rPr>
        <w:t>σχόλησης και της κοινωνικής συνοχής, γ) την πράσινη ανάπτυξη, δ) τον ψηφιακό μετασχηματισμό και την τεχνολογική αναβάθμιση δημόσιου και ιδιωτικού τομέα, ε) την αναβάθμιση των υποδομών και τη στήριξη της περιφέρειας, σε συνδυασμό και συμπληρωματικά με τα άλλα προγράμματα της Ευρωπα</w:t>
      </w:r>
      <w:r w:rsidRPr="00696359">
        <w:rPr>
          <w:sz w:val="22"/>
          <w:szCs w:val="22"/>
        </w:rPr>
        <w:t>ϊ</w:t>
      </w:r>
      <w:r w:rsidRPr="00696359">
        <w:rPr>
          <w:sz w:val="22"/>
          <w:szCs w:val="22"/>
        </w:rPr>
        <w:t>κής Ένωσης</w:t>
      </w:r>
      <w:r w:rsidR="00AA6CA7">
        <w:rPr>
          <w:sz w:val="22"/>
          <w:szCs w:val="22"/>
        </w:rPr>
        <w:t>,</w:t>
      </w:r>
      <w:r w:rsidRPr="00696359">
        <w:rPr>
          <w:sz w:val="22"/>
          <w:szCs w:val="22"/>
        </w:rPr>
        <w:t xml:space="preserve"> που αποτυπώνονται στο Πολυετές Δημοσιονομικό Πλαίσιο 2021-2027.</w:t>
      </w:r>
    </w:p>
    <w:p w:rsidR="00157F8C" w:rsidRPr="00696359" w:rsidRDefault="00157F8C" w:rsidP="00157F8C">
      <w:pPr>
        <w:jc w:val="both"/>
        <w:rPr>
          <w:sz w:val="22"/>
          <w:szCs w:val="22"/>
        </w:rPr>
      </w:pPr>
    </w:p>
    <w:p w:rsidR="00157F8C" w:rsidRPr="00696359" w:rsidRDefault="00157F8C" w:rsidP="00157F8C">
      <w:pPr>
        <w:jc w:val="both"/>
        <w:rPr>
          <w:sz w:val="22"/>
          <w:szCs w:val="22"/>
        </w:rPr>
      </w:pPr>
      <w:r w:rsidRPr="00696359">
        <w:rPr>
          <w:sz w:val="22"/>
          <w:szCs w:val="22"/>
        </w:rPr>
        <w:t>Η επιτυχία του εν λόγω σχεδίου αποτελεί κλειδί ώστε να καταστεί πρόσκαιρη η επιδείνωση, λόγω της πανδημίας, των ανισορροπιών της ελληνικής οικονομίας που κληροδότησε η οικονομική κρίση του 2009 στην Ελλάδα. Στο ίδιο πλαίσιο, οι στόχοι ενσωματώνουν πτυχές ισόρροπης ανάπτυξης και εν</w:t>
      </w:r>
      <w:r w:rsidRPr="00696359">
        <w:rPr>
          <w:sz w:val="22"/>
          <w:szCs w:val="22"/>
        </w:rPr>
        <w:t>ί</w:t>
      </w:r>
      <w:r w:rsidRPr="00696359">
        <w:rPr>
          <w:sz w:val="22"/>
          <w:szCs w:val="22"/>
        </w:rPr>
        <w:t xml:space="preserve">σχυσης της κοινωνικής συνοχής, που αποτελούν αναπόσπαστο μέρος της οικονομικής μεγέθυνσης </w:t>
      </w:r>
      <w:r w:rsidRPr="00696359">
        <w:rPr>
          <w:sz w:val="22"/>
          <w:szCs w:val="22"/>
        </w:rPr>
        <w:t>ε</w:t>
      </w:r>
      <w:r w:rsidRPr="00696359">
        <w:rPr>
          <w:sz w:val="22"/>
          <w:szCs w:val="22"/>
        </w:rPr>
        <w:t>ντός του ευρωπαϊκού οικοδομήματος.</w:t>
      </w:r>
    </w:p>
    <w:p w:rsidR="00157F8C" w:rsidRDefault="00157F8C" w:rsidP="00157F8C">
      <w:pPr>
        <w:jc w:val="both"/>
      </w:pPr>
    </w:p>
    <w:p w:rsidR="00157F8C" w:rsidRPr="000224C7" w:rsidRDefault="00157F8C" w:rsidP="00157F8C">
      <w:pPr>
        <w:jc w:val="both"/>
        <w:rPr>
          <w:sz w:val="22"/>
          <w:szCs w:val="22"/>
        </w:rPr>
      </w:pPr>
      <w:r w:rsidRPr="000224C7">
        <w:rPr>
          <w:rFonts w:ascii="Arial Narrow" w:hAnsi="Arial Narrow"/>
          <w:b/>
          <w:color w:val="180795"/>
          <w:szCs w:val="22"/>
        </w:rPr>
        <w:t>2.2     Οι εξελίξεις το 2019</w:t>
      </w:r>
    </w:p>
    <w:p w:rsidR="00157F8C" w:rsidRDefault="00157F8C" w:rsidP="00157F8C">
      <w:pPr>
        <w:jc w:val="both"/>
      </w:pPr>
    </w:p>
    <w:p w:rsidR="00157F8C" w:rsidRPr="00696359" w:rsidRDefault="00157F8C" w:rsidP="00157F8C">
      <w:pPr>
        <w:jc w:val="both"/>
        <w:rPr>
          <w:sz w:val="22"/>
          <w:szCs w:val="22"/>
        </w:rPr>
      </w:pPr>
      <w:r w:rsidRPr="00696359">
        <w:rPr>
          <w:sz w:val="22"/>
          <w:szCs w:val="22"/>
        </w:rPr>
        <w:t xml:space="preserve">Σύμφωνα με την αναθεωρημένη δεύτερη εκτίμηση ετήσιων εθνικών λογαριασμών της Ελληνικής Στατιστικής Αρχής για το 2019, ο ετήσιος ρυθμός πραγματικής ανάπτυξης παρέμεινε αμετάβλητος έναντι της πρώτης εκτίμησης του Μαρτίου 2020, στο 1,9%, εμφανίζοντας τάση επιτάχυνσης κατά 0,3 ποσοστιαίες μονάδες έναντι του προς τα κάτω αναθεωρημένου </w:t>
      </w:r>
      <w:r w:rsidR="00D62508">
        <w:rPr>
          <w:sz w:val="22"/>
          <w:szCs w:val="22"/>
        </w:rPr>
        <w:t xml:space="preserve">ρυθμού του </w:t>
      </w:r>
      <w:r w:rsidRPr="00696359">
        <w:rPr>
          <w:sz w:val="22"/>
          <w:szCs w:val="22"/>
        </w:rPr>
        <w:t>2018.</w:t>
      </w:r>
    </w:p>
    <w:p w:rsidR="00157F8C" w:rsidRPr="00696359" w:rsidRDefault="00157F8C" w:rsidP="00157F8C">
      <w:pPr>
        <w:jc w:val="both"/>
        <w:rPr>
          <w:sz w:val="22"/>
          <w:szCs w:val="22"/>
        </w:rPr>
      </w:pPr>
    </w:p>
    <w:p w:rsidR="00157F8C" w:rsidRPr="00696359" w:rsidRDefault="00157F8C" w:rsidP="00157F8C">
      <w:pPr>
        <w:jc w:val="both"/>
        <w:rPr>
          <w:sz w:val="22"/>
          <w:szCs w:val="22"/>
        </w:rPr>
      </w:pPr>
      <w:r w:rsidRPr="00696359">
        <w:rPr>
          <w:sz w:val="22"/>
          <w:szCs w:val="22"/>
        </w:rPr>
        <w:t>Ωστόσο, αναθεώρηση έχει επέλθει ως προς τους προσδιοριστικούς παράγοντες της ανάπτυξης. Σύ</w:t>
      </w:r>
      <w:r w:rsidRPr="00696359">
        <w:rPr>
          <w:sz w:val="22"/>
          <w:szCs w:val="22"/>
        </w:rPr>
        <w:t>μ</w:t>
      </w:r>
      <w:r w:rsidRPr="00696359">
        <w:rPr>
          <w:sz w:val="22"/>
          <w:szCs w:val="22"/>
        </w:rPr>
        <w:t>φωνα με αυτήν, η τάση στήριξης της ανάπτυξης στη μεγέθυνση της καταναλωτικής δαπάνης τα προ</w:t>
      </w:r>
      <w:r w:rsidRPr="00696359">
        <w:rPr>
          <w:sz w:val="22"/>
          <w:szCs w:val="22"/>
        </w:rPr>
        <w:t>η</w:t>
      </w:r>
      <w:r w:rsidRPr="00696359">
        <w:rPr>
          <w:sz w:val="22"/>
          <w:szCs w:val="22"/>
        </w:rPr>
        <w:t>γούμενα έτη παραμένει και το 2019. Με βάση τα αναθεωρημένα στοιχεία, ο ρυθμός ανάπτυξης του 2019 απορρέει πρωτίστως από την ιδιωτική κατανάλωση (+1,9% έναντι του 2018, έναντι +0,8% πρ</w:t>
      </w:r>
      <w:r w:rsidRPr="00696359">
        <w:rPr>
          <w:sz w:val="22"/>
          <w:szCs w:val="22"/>
        </w:rPr>
        <w:t>ο</w:t>
      </w:r>
      <w:r w:rsidRPr="00696359">
        <w:rPr>
          <w:sz w:val="22"/>
          <w:szCs w:val="22"/>
        </w:rPr>
        <w:t>ηγουμένως) και δευτερευόντως από τη δημόσια κατανάλωση (+1,2%, έναντι 2,1% προηγουμένως), χωρίς να παραγνωρίζεται η παράλληλη αύξηση της συμβολής του εξωτερικού τομέα έναντι του 2018, από τις 0,3 στις 0,7 ποσοστιαίες μονάδες.</w:t>
      </w:r>
    </w:p>
    <w:p w:rsidR="00157F8C" w:rsidRPr="00696359" w:rsidRDefault="00157F8C" w:rsidP="00157F8C">
      <w:pPr>
        <w:jc w:val="both"/>
        <w:rPr>
          <w:sz w:val="22"/>
          <w:szCs w:val="22"/>
        </w:rPr>
      </w:pPr>
    </w:p>
    <w:p w:rsidR="00157F8C" w:rsidRPr="00696359" w:rsidRDefault="00157F8C" w:rsidP="00157F8C">
      <w:pPr>
        <w:jc w:val="both"/>
        <w:rPr>
          <w:sz w:val="22"/>
          <w:szCs w:val="22"/>
        </w:rPr>
      </w:pPr>
      <w:r w:rsidRPr="00696359">
        <w:rPr>
          <w:sz w:val="22"/>
          <w:szCs w:val="22"/>
        </w:rPr>
        <w:lastRenderedPageBreak/>
        <w:t>Την ίδια στιγμή, η διαμορφούμενη εικόνα είναι επιδεινωμένη έναντι των προηγούμενων στοιχείων για το 2019 όσον αφορά το κλείσιμο του</w:t>
      </w:r>
      <w:r w:rsidR="009C03A6">
        <w:rPr>
          <w:sz w:val="22"/>
          <w:szCs w:val="22"/>
        </w:rPr>
        <w:t xml:space="preserve"> επενδυτικού κενού στην Ελλάδα, ενώ α</w:t>
      </w:r>
      <w:r w:rsidRPr="00696359">
        <w:rPr>
          <w:sz w:val="22"/>
          <w:szCs w:val="22"/>
        </w:rPr>
        <w:t>ρνητικές συνέπειες από την αναθεώρηση στοιχείων προκύπτουν και για την αγορά εργασίας το 2019.</w:t>
      </w:r>
    </w:p>
    <w:p w:rsidR="00157F8C" w:rsidRPr="00696359" w:rsidRDefault="00157F8C" w:rsidP="00157F8C">
      <w:pPr>
        <w:jc w:val="both"/>
        <w:rPr>
          <w:sz w:val="22"/>
          <w:szCs w:val="22"/>
        </w:rPr>
      </w:pPr>
    </w:p>
    <w:p w:rsidR="00157F8C" w:rsidRPr="00696359" w:rsidRDefault="00157F8C" w:rsidP="00157F8C">
      <w:pPr>
        <w:jc w:val="both"/>
        <w:rPr>
          <w:sz w:val="22"/>
          <w:szCs w:val="22"/>
        </w:rPr>
      </w:pPr>
      <w:r w:rsidRPr="00696359">
        <w:rPr>
          <w:sz w:val="22"/>
          <w:szCs w:val="22"/>
        </w:rPr>
        <w:t>Η μεταβολή των τιμών μέσα στο 2019 υπήρξε οριακά θετική (+0,3% βάσει του εθνικού ΔΤΚ), με τον πυρήνα του πληθωρισμού να παρουσιάζει στασιμότητα (+0,1%). Αντίθετα, ο μέσος ονομαστικός μ</w:t>
      </w:r>
      <w:r w:rsidRPr="00696359">
        <w:rPr>
          <w:sz w:val="22"/>
          <w:szCs w:val="22"/>
        </w:rPr>
        <w:t>ι</w:t>
      </w:r>
      <w:r w:rsidRPr="00696359">
        <w:rPr>
          <w:sz w:val="22"/>
          <w:szCs w:val="22"/>
        </w:rPr>
        <w:t>σθός αυξήθηκε περισσότερο, κατά 1,0% σε ετήσια βάση, υποδηλώνοντας κέρδη σε όρους πραγματ</w:t>
      </w:r>
      <w:r w:rsidRPr="00696359">
        <w:rPr>
          <w:sz w:val="22"/>
          <w:szCs w:val="22"/>
        </w:rPr>
        <w:t>ι</w:t>
      </w:r>
      <w:r w:rsidRPr="00696359">
        <w:rPr>
          <w:sz w:val="22"/>
          <w:szCs w:val="22"/>
        </w:rPr>
        <w:t>κού μέσου μισθού κατά 0,8% έναντι του 2018.</w:t>
      </w:r>
    </w:p>
    <w:p w:rsidR="00157F8C" w:rsidRPr="00696359" w:rsidRDefault="00157F8C" w:rsidP="00157F8C">
      <w:pPr>
        <w:jc w:val="both"/>
        <w:rPr>
          <w:sz w:val="22"/>
          <w:szCs w:val="22"/>
        </w:rPr>
      </w:pPr>
    </w:p>
    <w:p w:rsidR="00157F8C" w:rsidRPr="00696359" w:rsidRDefault="00157F8C" w:rsidP="00157F8C">
      <w:pPr>
        <w:jc w:val="both"/>
        <w:rPr>
          <w:sz w:val="22"/>
          <w:szCs w:val="22"/>
        </w:rPr>
      </w:pPr>
      <w:r w:rsidRPr="00696359">
        <w:rPr>
          <w:sz w:val="22"/>
          <w:szCs w:val="22"/>
        </w:rPr>
        <w:t xml:space="preserve">Προκειμένου να εξαχθούν συμπεράσματα για την επιμέρους τάση κάθε συνιστώσας του ΑΕΠ κατά τη διάρκεια του 2019 μετά την αναθεώρηση των στοιχείων, απαιτείται ανάλυση των εναρμονισμένων προς την ετήσια αναθεώρηση τριμηνιαίων στοιχείων εθνικών λογαριασμών για το 2019, τα οποία </w:t>
      </w:r>
      <w:r w:rsidRPr="00696359">
        <w:rPr>
          <w:sz w:val="22"/>
          <w:szCs w:val="22"/>
        </w:rPr>
        <w:t>ό</w:t>
      </w:r>
      <w:r w:rsidRPr="00696359">
        <w:rPr>
          <w:sz w:val="22"/>
          <w:szCs w:val="22"/>
        </w:rPr>
        <w:t>μως αναμένεται να γίνουν διαθέσιμα από την Ελληνική Στατιστική Αρχή στις 4 Δεκεμβρίου 2020.</w:t>
      </w:r>
    </w:p>
    <w:p w:rsidR="00157F8C" w:rsidRPr="00696359" w:rsidRDefault="00157F8C" w:rsidP="00157F8C">
      <w:pPr>
        <w:jc w:val="both"/>
        <w:rPr>
          <w:sz w:val="22"/>
          <w:szCs w:val="22"/>
        </w:rPr>
      </w:pPr>
    </w:p>
    <w:p w:rsidR="00157F8C" w:rsidRPr="00696359" w:rsidRDefault="00157F8C" w:rsidP="00157F8C">
      <w:pPr>
        <w:jc w:val="both"/>
        <w:rPr>
          <w:sz w:val="22"/>
          <w:szCs w:val="22"/>
        </w:rPr>
      </w:pPr>
      <w:r w:rsidRPr="00696359">
        <w:rPr>
          <w:sz w:val="22"/>
          <w:szCs w:val="22"/>
        </w:rPr>
        <w:t>Πάντως, από την εξέταση των διαθέσιμων δεικτών υψηλής συχνότητας, υποδηλώνεται επιτάχυνση της δυναμικής της οικονομίας στο δεύτερο εξάμηνο του 2019 έναντι του προηγουμένου εξαμήνου. Στις ευνοϊκές εξελίξεις συγκαταλέγεται η ενίσχυση των επιχειρηματικών προσδοκιών στον κλάδο των κ</w:t>
      </w:r>
      <w:r w:rsidRPr="00696359">
        <w:rPr>
          <w:sz w:val="22"/>
          <w:szCs w:val="22"/>
        </w:rPr>
        <w:t>α</w:t>
      </w:r>
      <w:r w:rsidRPr="00696359">
        <w:rPr>
          <w:sz w:val="22"/>
          <w:szCs w:val="22"/>
        </w:rPr>
        <w:t>τασκευών, οι οποίες τον Δεκέμβριο του 2019  ήταν βελτιωμένες κατά 35,4 μονάδες βάσης έναντι του τέλους του πρώτου εξαμήνου 2019. Αντίστοιχα, το επίπεδο του Δείκτη Οικονομικού Κλίματος δι</w:t>
      </w:r>
      <w:r w:rsidRPr="00696359">
        <w:rPr>
          <w:sz w:val="22"/>
          <w:szCs w:val="22"/>
        </w:rPr>
        <w:t>α</w:t>
      </w:r>
      <w:r w:rsidRPr="00696359">
        <w:rPr>
          <w:sz w:val="22"/>
          <w:szCs w:val="22"/>
        </w:rPr>
        <w:t>μορφώθηκε στο τέλος του 2019 υψηλότερα κατά 7,7 μονάδες βάσης από ότι στο τέλος του πρώτου εξαμήνου 2019, παρά τη μέση μείωση 2,0 μονάδων βάσης του αντίστοιχου δείκτη για την Ευρωζώνη εντός του ίδιου διαστήματος.</w:t>
      </w:r>
    </w:p>
    <w:p w:rsidR="00157F8C" w:rsidRPr="00696359" w:rsidRDefault="00157F8C" w:rsidP="00157F8C">
      <w:pPr>
        <w:jc w:val="both"/>
        <w:rPr>
          <w:sz w:val="22"/>
          <w:szCs w:val="22"/>
        </w:rPr>
      </w:pPr>
    </w:p>
    <w:p w:rsidR="00157F8C" w:rsidRPr="00696359" w:rsidRDefault="00157F8C" w:rsidP="00157F8C">
      <w:pPr>
        <w:jc w:val="both"/>
        <w:rPr>
          <w:sz w:val="22"/>
          <w:szCs w:val="22"/>
        </w:rPr>
      </w:pPr>
      <w:r w:rsidRPr="00696359">
        <w:rPr>
          <w:sz w:val="22"/>
          <w:szCs w:val="22"/>
        </w:rPr>
        <w:t xml:space="preserve">Οι συνθήκες ρευστότητας των ελληνικών τραπεζών </w:t>
      </w:r>
      <w:r w:rsidR="00AA6CA7">
        <w:rPr>
          <w:sz w:val="22"/>
          <w:szCs w:val="22"/>
        </w:rPr>
        <w:t>επίσης,</w:t>
      </w:r>
      <w:r w:rsidRPr="00696359">
        <w:rPr>
          <w:sz w:val="22"/>
          <w:szCs w:val="22"/>
        </w:rPr>
        <w:t xml:space="preserve"> είδαν βελτίωση μέσα στο δεύτερο εξάμ</w:t>
      </w:r>
      <w:r w:rsidRPr="00696359">
        <w:rPr>
          <w:sz w:val="22"/>
          <w:szCs w:val="22"/>
        </w:rPr>
        <w:t>η</w:t>
      </w:r>
      <w:r w:rsidRPr="00696359">
        <w:rPr>
          <w:sz w:val="22"/>
          <w:szCs w:val="22"/>
        </w:rPr>
        <w:t>νο του 2019, με το υπόλοιπο καταθέσεων/ρέπος στο σύνολο της οικονομίας αυξημένο τον Δεκέμβριο του 2019 κατά 6,5 δισ. ευρώ ή 4,3% έναντι του Ιουνίου του 2019, εν μέσω αντίστοιχων αυξήσεων στις καταθέσεις των νοικοκυριών (κατά 4,2 δισ. ευρώ) και των επιχειρήσεων (κατά 2,0 δισ. ευρώ) στο ίδιο διάστημα</w:t>
      </w:r>
      <w:r w:rsidRPr="00696359">
        <w:rPr>
          <w:rStyle w:val="ab"/>
          <w:sz w:val="22"/>
          <w:szCs w:val="22"/>
        </w:rPr>
        <w:footnoteReference w:id="21"/>
      </w:r>
      <w:r w:rsidRPr="00696359">
        <w:rPr>
          <w:sz w:val="22"/>
          <w:szCs w:val="22"/>
        </w:rPr>
        <w:t>. Σε αυτό εκτιμάται ότι συνέβαλε η αύξηση της εμπιστοσύνης στο τραπεζικό σύστημα από τον Σεπτέμβριο του 2019, οπότε συντελέστηκε η πλήρης άρση των περιορισμών στην κίνηση κ</w:t>
      </w:r>
      <w:r w:rsidRPr="00696359">
        <w:rPr>
          <w:sz w:val="22"/>
          <w:szCs w:val="22"/>
        </w:rPr>
        <w:t>ε</w:t>
      </w:r>
      <w:r w:rsidRPr="00696359">
        <w:rPr>
          <w:sz w:val="22"/>
          <w:szCs w:val="22"/>
        </w:rPr>
        <w:t>φαλαίων.</w:t>
      </w:r>
    </w:p>
    <w:p w:rsidR="00157F8C" w:rsidRPr="00696359" w:rsidRDefault="00157F8C" w:rsidP="00157F8C">
      <w:pPr>
        <w:jc w:val="both"/>
        <w:rPr>
          <w:sz w:val="22"/>
          <w:szCs w:val="22"/>
        </w:rPr>
      </w:pPr>
    </w:p>
    <w:p w:rsidR="00157F8C" w:rsidRPr="00696359" w:rsidRDefault="00157F8C" w:rsidP="00157F8C">
      <w:pPr>
        <w:jc w:val="both"/>
        <w:rPr>
          <w:sz w:val="22"/>
          <w:szCs w:val="22"/>
        </w:rPr>
      </w:pPr>
      <w:r w:rsidRPr="00696359">
        <w:rPr>
          <w:sz w:val="22"/>
          <w:szCs w:val="22"/>
        </w:rPr>
        <w:t xml:space="preserve">Ακόμα, η βελτίωση της διεθνούς εμπιστοσύνης στην </w:t>
      </w:r>
      <w:r w:rsidR="00056876">
        <w:rPr>
          <w:sz w:val="22"/>
          <w:szCs w:val="22"/>
        </w:rPr>
        <w:t>ε</w:t>
      </w:r>
      <w:r w:rsidRPr="00696359">
        <w:rPr>
          <w:sz w:val="22"/>
          <w:szCs w:val="22"/>
        </w:rPr>
        <w:t xml:space="preserve">λληνική οικονομία επικυρώθηκε τον Οκτώβριο του 2019 με την επιτυχή έκδοση δεκαετούς ομολόγου, μέσω του οποίου αντλήθηκε 1,5 δισ. ευρώ με ιστορικά χαμηλή απόδοση 1,5% και αυξημένη συμμετοχή θεσμικών χαρτοφυλακίων. Τον ίδιο μήνα, ο οίκος αξιολόγησης </w:t>
      </w:r>
      <w:r w:rsidRPr="00696359">
        <w:rPr>
          <w:sz w:val="22"/>
          <w:szCs w:val="22"/>
          <w:lang w:val="en-US"/>
        </w:rPr>
        <w:t>S</w:t>
      </w:r>
      <w:r w:rsidRPr="00696359">
        <w:rPr>
          <w:sz w:val="22"/>
          <w:szCs w:val="22"/>
        </w:rPr>
        <w:t>&amp;</w:t>
      </w:r>
      <w:r w:rsidRPr="00696359">
        <w:rPr>
          <w:sz w:val="22"/>
          <w:szCs w:val="22"/>
          <w:lang w:val="en-US"/>
        </w:rPr>
        <w:t>P</w:t>
      </w:r>
      <w:r w:rsidRPr="00696359">
        <w:rPr>
          <w:sz w:val="22"/>
          <w:szCs w:val="22"/>
        </w:rPr>
        <w:t xml:space="preserve"> αναβάθμισε την πιστοληπτική ικανότητα της Ελλάδας από Β+ σε ΒΒ- με θ</w:t>
      </w:r>
      <w:r w:rsidRPr="00696359">
        <w:rPr>
          <w:sz w:val="22"/>
          <w:szCs w:val="22"/>
        </w:rPr>
        <w:t>ε</w:t>
      </w:r>
      <w:r w:rsidRPr="00696359">
        <w:rPr>
          <w:sz w:val="22"/>
          <w:szCs w:val="22"/>
        </w:rPr>
        <w:t xml:space="preserve">τική προοπτική, ακολουθούμενος από τον οίκο </w:t>
      </w:r>
      <w:r w:rsidRPr="00696359">
        <w:rPr>
          <w:sz w:val="22"/>
          <w:szCs w:val="22"/>
          <w:lang w:val="en-US"/>
        </w:rPr>
        <w:t>DBRS</w:t>
      </w:r>
      <w:r w:rsidRPr="00696359">
        <w:rPr>
          <w:sz w:val="22"/>
          <w:szCs w:val="22"/>
        </w:rPr>
        <w:t xml:space="preserve"> που αναβάθμισε την προοπτική της ελληνικής οικονομίας από σταθερή σε θετική εντός της βαθμίδας </w:t>
      </w:r>
      <w:r w:rsidRPr="00696359">
        <w:rPr>
          <w:sz w:val="22"/>
          <w:szCs w:val="22"/>
          <w:lang w:val="en-US"/>
        </w:rPr>
        <w:t>BB</w:t>
      </w:r>
      <w:r w:rsidRPr="00696359">
        <w:rPr>
          <w:sz w:val="22"/>
          <w:szCs w:val="22"/>
        </w:rPr>
        <w:t xml:space="preserve"> (χαμηλό), την 1η Νοεμβρίου 2019.</w:t>
      </w:r>
    </w:p>
    <w:p w:rsidR="00157F8C" w:rsidRPr="00696359" w:rsidRDefault="00157F8C" w:rsidP="00157F8C">
      <w:pPr>
        <w:jc w:val="both"/>
        <w:rPr>
          <w:sz w:val="22"/>
          <w:szCs w:val="22"/>
        </w:rPr>
      </w:pPr>
    </w:p>
    <w:p w:rsidR="00AF5291" w:rsidRPr="00FA79B9" w:rsidRDefault="00AF5291" w:rsidP="00AF5291">
      <w:pPr>
        <w:ind w:left="567" w:hanging="567"/>
        <w:jc w:val="both"/>
        <w:rPr>
          <w:rFonts w:ascii="Arial Narrow" w:hAnsi="Arial Narrow"/>
          <w:b/>
          <w:color w:val="000080"/>
          <w:szCs w:val="22"/>
        </w:rPr>
      </w:pPr>
      <w:r w:rsidRPr="006E219D">
        <w:rPr>
          <w:rFonts w:ascii="Arial Narrow" w:hAnsi="Arial Narrow"/>
          <w:b/>
          <w:color w:val="000080"/>
          <w:szCs w:val="22"/>
        </w:rPr>
        <w:t>2.3</w:t>
      </w:r>
      <w:r w:rsidRPr="006E219D">
        <w:rPr>
          <w:rFonts w:ascii="Arial Narrow" w:hAnsi="Arial Narrow"/>
          <w:b/>
          <w:color w:val="000080"/>
          <w:szCs w:val="22"/>
        </w:rPr>
        <w:tab/>
        <w:t>Οι εξ</w:t>
      </w:r>
      <w:r w:rsidR="00AA6CA7">
        <w:rPr>
          <w:rFonts w:ascii="Arial Narrow" w:hAnsi="Arial Narrow"/>
          <w:b/>
          <w:color w:val="000080"/>
          <w:szCs w:val="22"/>
        </w:rPr>
        <w:t>ελίξεις το 2020</w:t>
      </w:r>
    </w:p>
    <w:p w:rsidR="00AF5291" w:rsidRPr="00AD40BF" w:rsidRDefault="00AF5291" w:rsidP="00AF5291">
      <w:pPr>
        <w:jc w:val="both"/>
        <w:rPr>
          <w:sz w:val="22"/>
          <w:szCs w:val="22"/>
        </w:rPr>
      </w:pPr>
    </w:p>
    <w:p w:rsidR="00AF5291" w:rsidRPr="009D21EE" w:rsidRDefault="00AF5291" w:rsidP="00AF5291">
      <w:pPr>
        <w:jc w:val="both"/>
        <w:rPr>
          <w:rFonts w:ascii="Arial Narrow" w:hAnsi="Arial Narrow"/>
          <w:b/>
          <w:bCs/>
          <w:i/>
          <w:sz w:val="22"/>
          <w:szCs w:val="22"/>
        </w:rPr>
      </w:pPr>
      <w:r w:rsidRPr="009D21EE">
        <w:rPr>
          <w:rFonts w:ascii="Arial Narrow" w:hAnsi="Arial Narrow"/>
          <w:b/>
          <w:bCs/>
          <w:i/>
          <w:sz w:val="22"/>
          <w:szCs w:val="22"/>
        </w:rPr>
        <w:t>Το ΑΕΠ και οι συνιστώσες του</w:t>
      </w:r>
    </w:p>
    <w:p w:rsidR="00AF5291" w:rsidRDefault="00AF5291" w:rsidP="00AF5291">
      <w:pPr>
        <w:jc w:val="both"/>
        <w:rPr>
          <w:szCs w:val="22"/>
        </w:rPr>
      </w:pPr>
    </w:p>
    <w:p w:rsidR="00AF5291" w:rsidRPr="00B855C7" w:rsidRDefault="00AF5291" w:rsidP="00AF5291">
      <w:pPr>
        <w:jc w:val="both"/>
        <w:rPr>
          <w:sz w:val="22"/>
          <w:szCs w:val="22"/>
        </w:rPr>
      </w:pPr>
      <w:r w:rsidRPr="00B855C7">
        <w:rPr>
          <w:sz w:val="22"/>
          <w:szCs w:val="22"/>
        </w:rPr>
        <w:t>Στην αρχή του 2020 και πριν το ξέσπασμα της πανδημίας, ο ετήσιος ρυθμός ανάπτυξης του πραγματ</w:t>
      </w:r>
      <w:r w:rsidRPr="00B855C7">
        <w:rPr>
          <w:sz w:val="22"/>
          <w:szCs w:val="22"/>
        </w:rPr>
        <w:t>ι</w:t>
      </w:r>
      <w:r w:rsidRPr="00B855C7">
        <w:rPr>
          <w:sz w:val="22"/>
          <w:szCs w:val="22"/>
        </w:rPr>
        <w:t xml:space="preserve">κού ΑΕΠ αναμενόταν στο 2,8% </w:t>
      </w:r>
      <w:r w:rsidR="00A53DC9">
        <w:rPr>
          <w:sz w:val="22"/>
          <w:szCs w:val="22"/>
        </w:rPr>
        <w:t xml:space="preserve">για φέτος </w:t>
      </w:r>
      <w:r w:rsidRPr="00B855C7">
        <w:rPr>
          <w:sz w:val="22"/>
          <w:szCs w:val="22"/>
        </w:rPr>
        <w:t xml:space="preserve">(πρόβλεψη Κρατικού Προϋπολογισμού 2020), με κύρια τη συνεισφορά των επενδύσεων και της </w:t>
      </w:r>
      <w:r w:rsidR="00A53DC9">
        <w:rPr>
          <w:sz w:val="22"/>
          <w:szCs w:val="22"/>
        </w:rPr>
        <w:t xml:space="preserve">ενίσχυσης </w:t>
      </w:r>
      <w:r w:rsidRPr="00B855C7">
        <w:rPr>
          <w:sz w:val="22"/>
          <w:szCs w:val="22"/>
        </w:rPr>
        <w:t>της απασχόλησης στην ανάπτυξη.</w:t>
      </w:r>
    </w:p>
    <w:p w:rsidR="00AF5291" w:rsidRPr="00B855C7" w:rsidRDefault="00AF5291" w:rsidP="00AF5291">
      <w:pPr>
        <w:jc w:val="both"/>
        <w:rPr>
          <w:sz w:val="22"/>
          <w:szCs w:val="22"/>
        </w:rPr>
      </w:pPr>
    </w:p>
    <w:p w:rsidR="00AF5291" w:rsidRPr="00B855C7" w:rsidRDefault="00AF5291" w:rsidP="00AF5291">
      <w:pPr>
        <w:jc w:val="both"/>
        <w:rPr>
          <w:sz w:val="22"/>
          <w:szCs w:val="22"/>
        </w:rPr>
      </w:pPr>
      <w:r w:rsidRPr="00B855C7">
        <w:rPr>
          <w:sz w:val="22"/>
          <w:szCs w:val="22"/>
        </w:rPr>
        <w:t>Ωστόσο, η υγειονομική κρίση ανέτρεψε τις βραχυπρόθεσμες προοπτικές ανάπτυξης του τέλους του 2019 και τις μακροοικονομικές εκτιμήσεις για το τρέχον έτος. Η διάρκεια της κρίσης, που συσχετίζ</w:t>
      </w:r>
      <w:r w:rsidRPr="00B855C7">
        <w:rPr>
          <w:sz w:val="22"/>
          <w:szCs w:val="22"/>
        </w:rPr>
        <w:t>ε</w:t>
      </w:r>
      <w:r w:rsidRPr="00B855C7">
        <w:rPr>
          <w:sz w:val="22"/>
          <w:szCs w:val="22"/>
        </w:rPr>
        <w:t>ται με το χρονικό σημείο εξάλειψης του υγειονομικού κινδύνου, αποτελεί σήμερα την πιο σημαντική, αλλά άγνωστη παράμετρο για τη διαδικασία οικονομικών προβλέψεων. Σε αυτό το περιβάλλον, κάθε άσκηση προβλέψεων για την πορεία της οικονομίας συνοδεύεται από επισφάλεια, όπως αποδεικνύεται από τις συνεχείς επί το χείρον αναθεωρήσεις των μακροοικονομικών προσομοιώσεων όλων των δι</w:t>
      </w:r>
      <w:r w:rsidRPr="00B855C7">
        <w:rPr>
          <w:sz w:val="22"/>
          <w:szCs w:val="22"/>
        </w:rPr>
        <w:t>ε</w:t>
      </w:r>
      <w:r w:rsidRPr="00B855C7">
        <w:rPr>
          <w:sz w:val="22"/>
          <w:szCs w:val="22"/>
        </w:rPr>
        <w:t xml:space="preserve">θνών οργανισμών </w:t>
      </w:r>
      <w:r w:rsidR="00131D9B">
        <w:rPr>
          <w:sz w:val="22"/>
          <w:szCs w:val="22"/>
        </w:rPr>
        <w:t>κατά τη διάρκεια του</w:t>
      </w:r>
      <w:r w:rsidRPr="00B855C7">
        <w:rPr>
          <w:sz w:val="22"/>
          <w:szCs w:val="22"/>
        </w:rPr>
        <w:t xml:space="preserve"> 2020.</w:t>
      </w:r>
    </w:p>
    <w:p w:rsidR="00AF5291" w:rsidRPr="00B855C7" w:rsidRDefault="00AF5291" w:rsidP="00AF5291">
      <w:pPr>
        <w:jc w:val="both"/>
        <w:rPr>
          <w:sz w:val="22"/>
          <w:szCs w:val="22"/>
        </w:rPr>
      </w:pPr>
      <w:r w:rsidRPr="00B855C7">
        <w:rPr>
          <w:sz w:val="22"/>
          <w:szCs w:val="22"/>
        </w:rPr>
        <w:lastRenderedPageBreak/>
        <w:t>Ένας επιπρόσθετος περιοριστικός παράγοντας για τη μακροοικονομική προβλεπτική διαδικασία για το 2020 προστέθηκε από την αναθεώρηση των Εθνικών Λογαριασμών του 2019 όσον αφορά τις συν</w:t>
      </w:r>
      <w:r w:rsidRPr="00B855C7">
        <w:rPr>
          <w:sz w:val="22"/>
          <w:szCs w:val="22"/>
        </w:rPr>
        <w:t>ι</w:t>
      </w:r>
      <w:r w:rsidRPr="00B855C7">
        <w:rPr>
          <w:sz w:val="22"/>
          <w:szCs w:val="22"/>
        </w:rPr>
        <w:t>στώσες του πραγματικού ΑΕΠ, δεδομένου ότι κατά την κατάθεση του Κρατικού Προϋπολογισμού δεν είναι ακόμα διαθέσιμα τα αντίστοιχα αναθεωρημένα τριμηνιαία στοιχεία (για το 2019 και το πρώτο εξάμηνο του 2020), που αποτελούν τη βάση για τη διενέργεια των ετήσιων προβλέψεων.</w:t>
      </w:r>
    </w:p>
    <w:p w:rsidR="00AF5291" w:rsidRPr="00B855C7" w:rsidRDefault="00AF5291" w:rsidP="00AF5291">
      <w:pPr>
        <w:jc w:val="both"/>
        <w:rPr>
          <w:sz w:val="22"/>
          <w:szCs w:val="22"/>
        </w:rPr>
      </w:pPr>
    </w:p>
    <w:p w:rsidR="00AF5291" w:rsidRPr="00B855C7" w:rsidRDefault="00AF5291" w:rsidP="00AF5291">
      <w:pPr>
        <w:jc w:val="both"/>
        <w:rPr>
          <w:sz w:val="22"/>
          <w:szCs w:val="22"/>
        </w:rPr>
      </w:pPr>
      <w:r w:rsidRPr="00B855C7">
        <w:rPr>
          <w:sz w:val="22"/>
          <w:szCs w:val="22"/>
        </w:rPr>
        <w:t>Για την ελληνική οικονομία, η πρώτη εθνική μακροοικονομική πρόβλεψη για την επίπτωση της πα</w:t>
      </w:r>
      <w:r w:rsidRPr="00B855C7">
        <w:rPr>
          <w:sz w:val="22"/>
          <w:szCs w:val="22"/>
        </w:rPr>
        <w:t>ν</w:t>
      </w:r>
      <w:r w:rsidRPr="00B855C7">
        <w:rPr>
          <w:sz w:val="22"/>
          <w:szCs w:val="22"/>
        </w:rPr>
        <w:t>δημίας έγινε στα μέσα Απριλίου 2020, υπό την υπόθεση της εξάντλησης της υγειονομικής κρίσης μ</w:t>
      </w:r>
      <w:r w:rsidRPr="00B855C7">
        <w:rPr>
          <w:sz w:val="22"/>
          <w:szCs w:val="22"/>
        </w:rPr>
        <w:t>έ</w:t>
      </w:r>
      <w:r w:rsidRPr="00B855C7">
        <w:rPr>
          <w:sz w:val="22"/>
          <w:szCs w:val="22"/>
        </w:rPr>
        <w:t>σα στο δεύτερο τρίμηνο του 2020 και αντιστοιχούσε σε ύφεση 4,7% για το 2020, σύμφωνα με το σ</w:t>
      </w:r>
      <w:r w:rsidRPr="00B855C7">
        <w:rPr>
          <w:sz w:val="22"/>
          <w:szCs w:val="22"/>
        </w:rPr>
        <w:t>ε</w:t>
      </w:r>
      <w:r w:rsidRPr="00B855C7">
        <w:rPr>
          <w:sz w:val="22"/>
          <w:szCs w:val="22"/>
        </w:rPr>
        <w:t>νάριο βάσης του Προγράμματος Σταθερότητας 2020. Μία δεύτερη εκτίμηση για ύφεση 7,9% του ΑΕΠ συμπεριλήφθηκε ως εναλλακτικό σενάριο στο Πρόγραμμα Σταθερότητας, στη βάση δυσμεν</w:t>
      </w:r>
      <w:r w:rsidRPr="00B855C7">
        <w:rPr>
          <w:sz w:val="22"/>
          <w:szCs w:val="22"/>
        </w:rPr>
        <w:t>έ</w:t>
      </w:r>
      <w:r w:rsidRPr="00B855C7">
        <w:rPr>
          <w:sz w:val="22"/>
          <w:szCs w:val="22"/>
        </w:rPr>
        <w:t xml:space="preserve">στερων υποθέσεων έναντι του βασικού σεναρίου, όσον αφορά την ύφεση στην Ευρωζώνη και την </w:t>
      </w:r>
      <w:r w:rsidRPr="00B855C7">
        <w:rPr>
          <w:sz w:val="22"/>
          <w:szCs w:val="22"/>
        </w:rPr>
        <w:t>ε</w:t>
      </w:r>
      <w:r w:rsidRPr="00B855C7">
        <w:rPr>
          <w:sz w:val="22"/>
          <w:szCs w:val="22"/>
        </w:rPr>
        <w:t>πίπτωση της πανδημίας στον εξωτερικό τουρισμό της χώρας.</w:t>
      </w:r>
    </w:p>
    <w:p w:rsidR="00AF5291" w:rsidRPr="00B855C7" w:rsidRDefault="00AF5291" w:rsidP="00AF5291">
      <w:pPr>
        <w:jc w:val="both"/>
        <w:rPr>
          <w:sz w:val="22"/>
          <w:szCs w:val="22"/>
        </w:rPr>
      </w:pPr>
    </w:p>
    <w:p w:rsidR="00AF5291" w:rsidRPr="00B855C7" w:rsidRDefault="00AF5291" w:rsidP="00AF5291">
      <w:pPr>
        <w:jc w:val="both"/>
        <w:rPr>
          <w:sz w:val="22"/>
          <w:szCs w:val="22"/>
        </w:rPr>
      </w:pPr>
      <w:r w:rsidRPr="00B855C7">
        <w:rPr>
          <w:sz w:val="22"/>
          <w:szCs w:val="22"/>
        </w:rPr>
        <w:t xml:space="preserve">Ωστόσο, οι διαμορφούμενες εξελίξεις πέραν του Απριλίου 2020 συνέτειναν στην ανάγκη για προς τα κάτω αναθεώρηση του </w:t>
      </w:r>
      <w:r w:rsidRPr="00B855C7">
        <w:rPr>
          <w:iCs/>
          <w:sz w:val="22"/>
          <w:szCs w:val="22"/>
        </w:rPr>
        <w:t>βασικού</w:t>
      </w:r>
      <w:r w:rsidRPr="00B855C7">
        <w:rPr>
          <w:sz w:val="22"/>
          <w:szCs w:val="22"/>
        </w:rPr>
        <w:t xml:space="preserve"> μακροοικονομικού σεναρίου του Προγράμματος Σταθερότητας. Τα αίτια επανεξέτασης του βασικού σεναρίου σχετίζονταν με τη διάρκεια της υγειονομικής κρίσης και τη μετατόπιση των εξωτερικών υποθέσεων από μία βραχύβια διαταραχή που δεν θα εκτεινόταν πέραν του δεύτερου τριμήνου 2020 σε μία νέα πραγματικότητα μεγαλύτερης διάρκειας παγκοσμίως. Ήδη τον Σεπτέμβριο του 2020, η νέα έξαρση της νόσου </w:t>
      </w:r>
      <w:r w:rsidRPr="00B855C7">
        <w:rPr>
          <w:sz w:val="22"/>
          <w:szCs w:val="22"/>
          <w:lang w:val="en-US"/>
        </w:rPr>
        <w:t>Covid</w:t>
      </w:r>
      <w:r w:rsidRPr="00B855C7">
        <w:rPr>
          <w:sz w:val="22"/>
          <w:szCs w:val="22"/>
        </w:rPr>
        <w:t>-19 στην Ευρώπη και παγκοσμίως οδήγησε σε νέα εκτίμηση για την ύφεση του 2020 της τάξης του 8,2% έναντι του 2019, στο πλαίσιο του Πρ</w:t>
      </w:r>
      <w:r w:rsidRPr="00B855C7">
        <w:rPr>
          <w:sz w:val="22"/>
          <w:szCs w:val="22"/>
        </w:rPr>
        <w:t>ο</w:t>
      </w:r>
      <w:r w:rsidRPr="00B855C7">
        <w:rPr>
          <w:sz w:val="22"/>
          <w:szCs w:val="22"/>
        </w:rPr>
        <w:t>σχεδίου του Κρατικού Προϋπολογισμού 2021, στη βάση της βαθύτερης ύφεσης στην Ευρωζώνη και της μεγαλύτερης επίπτωσης στις διεθνείς ταξιδιωτικές αφίξεις</w:t>
      </w:r>
      <w:r w:rsidR="00131D9B">
        <w:rPr>
          <w:sz w:val="22"/>
          <w:szCs w:val="22"/>
        </w:rPr>
        <w:t>,</w:t>
      </w:r>
      <w:r w:rsidRPr="00B855C7">
        <w:rPr>
          <w:sz w:val="22"/>
          <w:szCs w:val="22"/>
        </w:rPr>
        <w:t xml:space="preserve"> </w:t>
      </w:r>
      <w:r w:rsidR="00A53DC9">
        <w:rPr>
          <w:sz w:val="22"/>
          <w:szCs w:val="22"/>
        </w:rPr>
        <w:t xml:space="preserve">δυσμενέστερη </w:t>
      </w:r>
      <w:r w:rsidRPr="00B855C7">
        <w:rPr>
          <w:sz w:val="22"/>
          <w:szCs w:val="22"/>
        </w:rPr>
        <w:t>ακόμη και από εκείνες του σεναρίου του Προγράμματος Σταθερότητας.</w:t>
      </w:r>
    </w:p>
    <w:p w:rsidR="00AF5291" w:rsidRPr="00B855C7" w:rsidRDefault="00AF5291" w:rsidP="00AF5291">
      <w:pPr>
        <w:jc w:val="both"/>
        <w:rPr>
          <w:sz w:val="22"/>
          <w:szCs w:val="22"/>
        </w:rPr>
      </w:pPr>
    </w:p>
    <w:p w:rsidR="00AF5291" w:rsidRPr="00B855C7" w:rsidRDefault="00AF5291" w:rsidP="00AF5291">
      <w:pPr>
        <w:jc w:val="both"/>
        <w:rPr>
          <w:sz w:val="22"/>
          <w:szCs w:val="22"/>
        </w:rPr>
      </w:pPr>
      <w:r w:rsidRPr="00B855C7">
        <w:rPr>
          <w:sz w:val="22"/>
          <w:szCs w:val="22"/>
        </w:rPr>
        <w:t>Οι νέες υποθέσεις του Προσχεδίου του Κρατικού Προϋπολογισμού αναθεωρήθηκαν περαιτέρω προς το δυσμενέστερο κατά τη διάρκεια του Νοεμβρίου 2020, ενσωματώνοντας την επίπτωση του εκτυλι</w:t>
      </w:r>
      <w:r w:rsidRPr="00B855C7">
        <w:rPr>
          <w:sz w:val="22"/>
          <w:szCs w:val="22"/>
        </w:rPr>
        <w:t>σ</w:t>
      </w:r>
      <w:r w:rsidRPr="00B855C7">
        <w:rPr>
          <w:sz w:val="22"/>
          <w:szCs w:val="22"/>
        </w:rPr>
        <w:t xml:space="preserve">σόμενου δεύτερου </w:t>
      </w:r>
      <w:r w:rsidRPr="00B855C7">
        <w:rPr>
          <w:sz w:val="22"/>
          <w:szCs w:val="22"/>
          <w:lang w:val="en-US"/>
        </w:rPr>
        <w:t>lockdown</w:t>
      </w:r>
      <w:r w:rsidRPr="00B855C7">
        <w:rPr>
          <w:sz w:val="22"/>
          <w:szCs w:val="22"/>
        </w:rPr>
        <w:t xml:space="preserve"> για τον περιορισμό του νέου, μεγαλύτερου κύματος της πανδημίας. Ως εκ τούτου, οι τρέχουσες υποθέσεις </w:t>
      </w:r>
      <w:r w:rsidRPr="00A53DC9">
        <w:rPr>
          <w:sz w:val="22"/>
          <w:szCs w:val="22"/>
        </w:rPr>
        <w:t>ενσωματώνουν βαθύτερη ύφεση στην Ευρωζώνη έναντι των προ</w:t>
      </w:r>
      <w:r w:rsidRPr="00A53DC9">
        <w:rPr>
          <w:sz w:val="22"/>
          <w:szCs w:val="22"/>
        </w:rPr>
        <w:t>η</w:t>
      </w:r>
      <w:r w:rsidRPr="00A53DC9">
        <w:rPr>
          <w:sz w:val="22"/>
          <w:szCs w:val="22"/>
        </w:rPr>
        <w:t>γούμενων εκτιμήσεων</w:t>
      </w:r>
      <w:r w:rsidRPr="00B855C7">
        <w:rPr>
          <w:sz w:val="22"/>
          <w:szCs w:val="22"/>
          <w:vertAlign w:val="superscript"/>
        </w:rPr>
        <w:footnoteReference w:id="22"/>
      </w:r>
      <w:r w:rsidRPr="00B855C7">
        <w:rPr>
          <w:sz w:val="22"/>
          <w:szCs w:val="22"/>
        </w:rPr>
        <w:t>, μεγαλύτερη μείωση ταξιδιωτικών αφίξεων μη κατοίκων</w:t>
      </w:r>
      <w:r w:rsidR="00A53DC9">
        <w:rPr>
          <w:sz w:val="22"/>
          <w:szCs w:val="22"/>
        </w:rPr>
        <w:t>,</w:t>
      </w:r>
      <w:r w:rsidRPr="00B855C7">
        <w:rPr>
          <w:sz w:val="22"/>
          <w:szCs w:val="22"/>
        </w:rPr>
        <w:t xml:space="preserve"> στο δεύτερο εξάμ</w:t>
      </w:r>
      <w:r w:rsidRPr="00B855C7">
        <w:rPr>
          <w:sz w:val="22"/>
          <w:szCs w:val="22"/>
        </w:rPr>
        <w:t>η</w:t>
      </w:r>
      <w:r w:rsidRPr="00B855C7">
        <w:rPr>
          <w:sz w:val="22"/>
          <w:szCs w:val="22"/>
        </w:rPr>
        <w:t>νο του έτους</w:t>
      </w:r>
      <w:r w:rsidR="00A53DC9">
        <w:rPr>
          <w:sz w:val="22"/>
          <w:szCs w:val="22"/>
        </w:rPr>
        <w:t>,</w:t>
      </w:r>
      <w:r w:rsidRPr="00B855C7">
        <w:rPr>
          <w:sz w:val="22"/>
          <w:szCs w:val="22"/>
        </w:rPr>
        <w:t xml:space="preserve"> άνω του 70% έναντι του 2019 (που επιφέρουν απώλεια 78% των εισπράξεων του 2019 στο σύνολο του 2020), πτώση της οικονομικής δραστηριότητας του τέταρτου τριμήνου 2020 λόγω του νέου </w:t>
      </w:r>
      <w:r w:rsidRPr="00B855C7">
        <w:rPr>
          <w:sz w:val="22"/>
          <w:szCs w:val="22"/>
          <w:lang w:val="en-US"/>
        </w:rPr>
        <w:t>lockdown</w:t>
      </w:r>
      <w:r w:rsidRPr="00B855C7">
        <w:rPr>
          <w:sz w:val="22"/>
          <w:szCs w:val="22"/>
        </w:rPr>
        <w:t xml:space="preserve"> και πιο αργή επαναφορά της οικονομίας σε συνθήκες κανονικότητας, λόγω της επ</w:t>
      </w:r>
      <w:r w:rsidRPr="00B855C7">
        <w:rPr>
          <w:sz w:val="22"/>
          <w:szCs w:val="22"/>
        </w:rPr>
        <w:t>α</w:t>
      </w:r>
      <w:r w:rsidRPr="00B855C7">
        <w:rPr>
          <w:sz w:val="22"/>
          <w:szCs w:val="22"/>
        </w:rPr>
        <w:t xml:space="preserve">πειλούμενης </w:t>
      </w:r>
      <w:r w:rsidR="00644F5F">
        <w:rPr>
          <w:sz w:val="22"/>
          <w:szCs w:val="22"/>
        </w:rPr>
        <w:t>συνέχισης της πανδημίας</w:t>
      </w:r>
      <w:r w:rsidRPr="00B855C7">
        <w:rPr>
          <w:sz w:val="22"/>
          <w:szCs w:val="22"/>
        </w:rPr>
        <w:t xml:space="preserve"> ως τον Απρίλιο του 2021. Λόγω αυτών, η προηγουμένως εκτ</w:t>
      </w:r>
      <w:r w:rsidRPr="00B855C7">
        <w:rPr>
          <w:sz w:val="22"/>
          <w:szCs w:val="22"/>
        </w:rPr>
        <w:t>ι</w:t>
      </w:r>
      <w:r w:rsidRPr="00B855C7">
        <w:rPr>
          <w:sz w:val="22"/>
          <w:szCs w:val="22"/>
        </w:rPr>
        <w:t>μώμενη οικονομική ανάκαμψη του τέταρτου τριμήνου του 2020 (Προσχέδιο Κρατικού Προϋπολογ</w:t>
      </w:r>
      <w:r w:rsidRPr="00B855C7">
        <w:rPr>
          <w:sz w:val="22"/>
          <w:szCs w:val="22"/>
        </w:rPr>
        <w:t>ι</w:t>
      </w:r>
      <w:r w:rsidRPr="00B855C7">
        <w:rPr>
          <w:sz w:val="22"/>
          <w:szCs w:val="22"/>
        </w:rPr>
        <w:t>σμού 2021) έχει πλέον αναθεωρηθεί σε τριμηνιαία ύφεση, που εν συνεχεία καθιστά σημαντικά δυσμ</w:t>
      </w:r>
      <w:r w:rsidRPr="00B855C7">
        <w:rPr>
          <w:sz w:val="22"/>
          <w:szCs w:val="22"/>
        </w:rPr>
        <w:t>ε</w:t>
      </w:r>
      <w:r w:rsidRPr="00B855C7">
        <w:rPr>
          <w:sz w:val="22"/>
          <w:szCs w:val="22"/>
        </w:rPr>
        <w:t>νέστερη την επίδραση μεταφοράς στο 2021.</w:t>
      </w:r>
    </w:p>
    <w:p w:rsidR="00AF5291" w:rsidRPr="00B855C7" w:rsidRDefault="00AF5291" w:rsidP="00AF5291">
      <w:pPr>
        <w:jc w:val="both"/>
        <w:rPr>
          <w:sz w:val="22"/>
          <w:szCs w:val="22"/>
        </w:rPr>
      </w:pPr>
    </w:p>
    <w:p w:rsidR="00AF5291" w:rsidRPr="00B855C7" w:rsidRDefault="00AF5291" w:rsidP="00AF5291">
      <w:pPr>
        <w:jc w:val="both"/>
        <w:rPr>
          <w:sz w:val="22"/>
          <w:szCs w:val="22"/>
        </w:rPr>
      </w:pPr>
      <w:r w:rsidRPr="00B855C7">
        <w:rPr>
          <w:sz w:val="22"/>
          <w:szCs w:val="22"/>
        </w:rPr>
        <w:t>Σημαντική κρίνεται η εξέταση των έως σήμερα διαθέσιμων στοιχείων εθνικών λογαριασμών για τα δύο πρώτα τρίμηνα του 2020, καθώς σε αυτά αποτυπώνεται η αρχική επίδραση των μέτρων περιορ</w:t>
      </w:r>
      <w:r w:rsidRPr="00B855C7">
        <w:rPr>
          <w:sz w:val="22"/>
          <w:szCs w:val="22"/>
        </w:rPr>
        <w:t>ι</w:t>
      </w:r>
      <w:r w:rsidRPr="00B855C7">
        <w:rPr>
          <w:sz w:val="22"/>
          <w:szCs w:val="22"/>
        </w:rPr>
        <w:t xml:space="preserve">σμού της πανδημίας στην ελληνική οικονομία. Ωστόσο, κατόπιν της αναθεώρησης των στοιχείων </w:t>
      </w:r>
      <w:r w:rsidRPr="00B855C7">
        <w:rPr>
          <w:sz w:val="22"/>
          <w:szCs w:val="22"/>
        </w:rPr>
        <w:t>έ</w:t>
      </w:r>
      <w:r w:rsidRPr="00B855C7">
        <w:rPr>
          <w:sz w:val="22"/>
          <w:szCs w:val="22"/>
        </w:rPr>
        <w:t>τους 2019 από την Ελληνική Στατιστική Αρχή, τα εν λόγω στοιχεία θα πρέπει να αξιολογούνται μόνο ως μία αδρή πρώτη εικόνα των τάσεων στην οικονομία, έως ότου εναρμονιστούν με την αναθεώρηση του 2019.</w:t>
      </w:r>
    </w:p>
    <w:p w:rsidR="00AF5291" w:rsidRPr="00B855C7" w:rsidRDefault="00AF5291" w:rsidP="00AF5291">
      <w:pPr>
        <w:jc w:val="both"/>
        <w:rPr>
          <w:sz w:val="22"/>
          <w:szCs w:val="22"/>
        </w:rPr>
      </w:pPr>
    </w:p>
    <w:p w:rsidR="00AF5291" w:rsidRPr="00B855C7" w:rsidRDefault="00AF5291" w:rsidP="00AF5291">
      <w:pPr>
        <w:jc w:val="both"/>
        <w:rPr>
          <w:sz w:val="22"/>
          <w:szCs w:val="22"/>
        </w:rPr>
      </w:pPr>
      <w:r w:rsidRPr="00B855C7">
        <w:rPr>
          <w:sz w:val="22"/>
          <w:szCs w:val="22"/>
        </w:rPr>
        <w:t>Με την επιφύλαξη των ανωτέρω, στο πρώτο τρίμηνο του 2020 η ανθεκτικότητα της ελληνικής οικ</w:t>
      </w:r>
      <w:r w:rsidRPr="00B855C7">
        <w:rPr>
          <w:sz w:val="22"/>
          <w:szCs w:val="22"/>
        </w:rPr>
        <w:t>ο</w:t>
      </w:r>
      <w:r w:rsidRPr="00B855C7">
        <w:rPr>
          <w:sz w:val="22"/>
          <w:szCs w:val="22"/>
        </w:rPr>
        <w:t>νομίας ήταν σημαντικά μεγαλύτερη από ό</w:t>
      </w:r>
      <w:r w:rsidR="00644F5F">
        <w:rPr>
          <w:sz w:val="22"/>
          <w:szCs w:val="22"/>
        </w:rPr>
        <w:t>,</w:t>
      </w:r>
      <w:r w:rsidRPr="00B855C7">
        <w:rPr>
          <w:sz w:val="22"/>
          <w:szCs w:val="22"/>
        </w:rPr>
        <w:t xml:space="preserve">τι για τον μέσο όρο της Ευρωζώνης (-0,7% σε σχέση με το προηγούμενο τρίμηνο, έναντι -3,7% για την Ευρωζώνη). Το ευνοϊκότερο αυτό αποτέλεσμα πρώτου τριμήνου είναι συμβατό, αφενός, με τις θετικές προοπτικές στην αγορά εργασίας στην Ελλάδα στο </w:t>
      </w:r>
      <w:r w:rsidRPr="00B855C7">
        <w:rPr>
          <w:sz w:val="22"/>
          <w:szCs w:val="22"/>
        </w:rPr>
        <w:t>ί</w:t>
      </w:r>
      <w:r w:rsidRPr="00B855C7">
        <w:rPr>
          <w:sz w:val="22"/>
          <w:szCs w:val="22"/>
        </w:rPr>
        <w:t>διο διάστημα. Αφετέρου, είναι συμβατό με τη βελτίωση του οικονομικού κλίματος τους πρώτους μ</w:t>
      </w:r>
      <w:r w:rsidRPr="00B855C7">
        <w:rPr>
          <w:sz w:val="22"/>
          <w:szCs w:val="22"/>
        </w:rPr>
        <w:t>ή</w:t>
      </w:r>
      <w:r w:rsidRPr="00B855C7">
        <w:rPr>
          <w:sz w:val="22"/>
          <w:szCs w:val="22"/>
        </w:rPr>
        <w:t>νες του 2020, ιδίως σε ό,τι αφορά τις επιχειρηματικές προσδοκίες στη βιομηχανία, τον δείκτη υπεύθ</w:t>
      </w:r>
      <w:r w:rsidRPr="00B855C7">
        <w:rPr>
          <w:sz w:val="22"/>
          <w:szCs w:val="22"/>
        </w:rPr>
        <w:t>υ</w:t>
      </w:r>
      <w:r w:rsidRPr="00B855C7">
        <w:rPr>
          <w:sz w:val="22"/>
          <w:szCs w:val="22"/>
        </w:rPr>
        <w:lastRenderedPageBreak/>
        <w:t xml:space="preserve">νων προμηθειών και τη βελτίωση των συνθηκών χρηματοδότησης της οικονομίας. Ενδεικτικά, στις αρχές του 2020, οι αποδόσεις των ελληνικών ομολόγων συνέχιζαν να κινούνται σε ιστορικά χαμηλά επίπεδα, ωθώντας τον οίκο αξιολόγησης </w:t>
      </w:r>
      <w:r w:rsidRPr="00B855C7">
        <w:rPr>
          <w:sz w:val="22"/>
          <w:szCs w:val="22"/>
          <w:lang w:val="en-US"/>
        </w:rPr>
        <w:t>Fi</w:t>
      </w:r>
      <w:r w:rsidR="00C7392D">
        <w:rPr>
          <w:sz w:val="22"/>
          <w:szCs w:val="22"/>
          <w:lang w:val="en-US"/>
        </w:rPr>
        <w:t>t</w:t>
      </w:r>
      <w:r w:rsidRPr="00B855C7">
        <w:rPr>
          <w:sz w:val="22"/>
          <w:szCs w:val="22"/>
          <w:lang w:val="en-US"/>
        </w:rPr>
        <w:t>ch</w:t>
      </w:r>
      <w:r w:rsidRPr="00B855C7">
        <w:rPr>
          <w:sz w:val="22"/>
          <w:szCs w:val="22"/>
        </w:rPr>
        <w:t xml:space="preserve"> να αναβαθμίσει, στις 24 Ιανουαρίου 2020, την πιστ</w:t>
      </w:r>
      <w:r w:rsidRPr="00B855C7">
        <w:rPr>
          <w:sz w:val="22"/>
          <w:szCs w:val="22"/>
        </w:rPr>
        <w:t>ο</w:t>
      </w:r>
      <w:r w:rsidRPr="00B855C7">
        <w:rPr>
          <w:sz w:val="22"/>
          <w:szCs w:val="22"/>
        </w:rPr>
        <w:t xml:space="preserve">ληπτική ικανότητα της Ελλάδας από </w:t>
      </w:r>
      <w:r w:rsidRPr="00B855C7">
        <w:rPr>
          <w:sz w:val="22"/>
          <w:szCs w:val="22"/>
          <w:lang w:val="en-US"/>
        </w:rPr>
        <w:t>BB</w:t>
      </w:r>
      <w:r w:rsidRPr="00B855C7">
        <w:rPr>
          <w:sz w:val="22"/>
          <w:szCs w:val="22"/>
        </w:rPr>
        <w:t>- σε ΒΒ με θετική προοπτική.</w:t>
      </w:r>
    </w:p>
    <w:p w:rsidR="00AF5291" w:rsidRPr="00B855C7" w:rsidRDefault="00AF5291" w:rsidP="00AF5291">
      <w:pPr>
        <w:jc w:val="both"/>
        <w:rPr>
          <w:sz w:val="22"/>
          <w:szCs w:val="22"/>
        </w:rPr>
      </w:pPr>
    </w:p>
    <w:p w:rsidR="00AF5291" w:rsidRPr="00B855C7" w:rsidRDefault="00AF5291" w:rsidP="00AF5291">
      <w:pPr>
        <w:jc w:val="both"/>
        <w:rPr>
          <w:sz w:val="22"/>
          <w:szCs w:val="22"/>
        </w:rPr>
      </w:pPr>
      <w:r w:rsidRPr="00B855C7">
        <w:rPr>
          <w:sz w:val="22"/>
          <w:szCs w:val="22"/>
        </w:rPr>
        <w:t>Ωστόσο, η παρούσα κρίση, με τις αναπόφευκτες άμεσες επιπτώσεις σε όρους διεθνών χρηματοπιστ</w:t>
      </w:r>
      <w:r w:rsidRPr="00B855C7">
        <w:rPr>
          <w:sz w:val="22"/>
          <w:szCs w:val="22"/>
        </w:rPr>
        <w:t>ω</w:t>
      </w:r>
      <w:r w:rsidRPr="00B855C7">
        <w:rPr>
          <w:sz w:val="22"/>
          <w:szCs w:val="22"/>
        </w:rPr>
        <w:t>τικών συνθηκών και αγοράς εργασίας, ανέκοψε προσωρινά τόσο την προ πανδημίας δυναμική βελτ</w:t>
      </w:r>
      <w:r w:rsidRPr="00B855C7">
        <w:rPr>
          <w:sz w:val="22"/>
          <w:szCs w:val="22"/>
        </w:rPr>
        <w:t>ί</w:t>
      </w:r>
      <w:r w:rsidRPr="00B855C7">
        <w:rPr>
          <w:sz w:val="22"/>
          <w:szCs w:val="22"/>
        </w:rPr>
        <w:t>ωσης της καμπύλης αποδόσεων των ελληνικών ομολόγων όσο και τη δυναμική αύξησης της απασχ</w:t>
      </w:r>
      <w:r w:rsidRPr="00B855C7">
        <w:rPr>
          <w:sz w:val="22"/>
          <w:szCs w:val="22"/>
        </w:rPr>
        <w:t>ό</w:t>
      </w:r>
      <w:r w:rsidRPr="00B855C7">
        <w:rPr>
          <w:sz w:val="22"/>
          <w:szCs w:val="22"/>
        </w:rPr>
        <w:t>λησης. Κι ενώ οι αποδόσεις των ελληνικών ομολόγων ήδη τον Ιούνιο του 2020 είχαν επανέλθει στα αρχικά επίπεδα του 2020, λόγω της έγκαιρης λήψης μέτρων από την Ευρωπαϊκή Κεντρική Τράπεζα, η αγορά εργασίας αναμένεται να πληγεί για μεγαλύτερο διάστημα, τόσο λόγω της σημαντικής συμμετ</w:t>
      </w:r>
      <w:r w:rsidRPr="00B855C7">
        <w:rPr>
          <w:sz w:val="22"/>
          <w:szCs w:val="22"/>
        </w:rPr>
        <w:t>ο</w:t>
      </w:r>
      <w:r w:rsidRPr="00B855C7">
        <w:rPr>
          <w:sz w:val="22"/>
          <w:szCs w:val="22"/>
        </w:rPr>
        <w:t>χής της τουριστικής απασχόλησης στη συνολική απασχόληση κατά το τρίτο τρίμηνο του έτους, όσο και λόγω της αναστολής λειτουργίας κλάδων και μείωσης της προσφοράς εργασίας λόγω του υγει</w:t>
      </w:r>
      <w:r w:rsidRPr="00B855C7">
        <w:rPr>
          <w:sz w:val="22"/>
          <w:szCs w:val="22"/>
        </w:rPr>
        <w:t>ο</w:t>
      </w:r>
      <w:r w:rsidRPr="00B855C7">
        <w:rPr>
          <w:sz w:val="22"/>
          <w:szCs w:val="22"/>
        </w:rPr>
        <w:t>νομικού κινδύνου στο τέταρτο τρίμηνο.</w:t>
      </w:r>
    </w:p>
    <w:p w:rsidR="00AF5291" w:rsidRPr="00B855C7" w:rsidRDefault="00AF5291" w:rsidP="00AF5291">
      <w:pPr>
        <w:jc w:val="both"/>
        <w:rPr>
          <w:sz w:val="22"/>
          <w:szCs w:val="22"/>
        </w:rPr>
      </w:pPr>
    </w:p>
    <w:p w:rsidR="00AF5291" w:rsidRPr="00B855C7" w:rsidRDefault="00AF5291" w:rsidP="00AF5291">
      <w:pPr>
        <w:jc w:val="both"/>
        <w:rPr>
          <w:sz w:val="22"/>
          <w:szCs w:val="22"/>
        </w:rPr>
      </w:pPr>
      <w:r w:rsidRPr="00B855C7">
        <w:rPr>
          <w:sz w:val="22"/>
          <w:szCs w:val="22"/>
        </w:rPr>
        <w:t>Οι απώλειες για τον κλάδο του τουρισμού στο τρίτο τρίμηνο του 2020 αναμένεται να είναι μεγάλες, λόγω της διαχρονικής συγκέντρωσης υψηλού ποσοστού διεθνών ταξιδιωτικών αφίξεων εντός αυτού του τριμήνου</w:t>
      </w:r>
      <w:r w:rsidRPr="00B855C7">
        <w:rPr>
          <w:sz w:val="22"/>
          <w:szCs w:val="22"/>
          <w:vertAlign w:val="superscript"/>
        </w:rPr>
        <w:footnoteReference w:id="23"/>
      </w:r>
      <w:r w:rsidRPr="00B855C7">
        <w:rPr>
          <w:sz w:val="22"/>
          <w:szCs w:val="22"/>
        </w:rPr>
        <w:t>. Την περίοδο Ιουλίου – Αυγούστου, κατά την οποία υπήρξε σταδιακή άρση των περι</w:t>
      </w:r>
      <w:r w:rsidRPr="00B855C7">
        <w:rPr>
          <w:sz w:val="22"/>
          <w:szCs w:val="22"/>
        </w:rPr>
        <w:t>ο</w:t>
      </w:r>
      <w:r w:rsidRPr="00B855C7">
        <w:rPr>
          <w:sz w:val="22"/>
          <w:szCs w:val="22"/>
        </w:rPr>
        <w:t>ρισμών στις διεθνείς μετακινήσεις, τα στοιχεία Ισοζυγίου Πληρωμών της Τράπεζας της Ελλάδος δε</w:t>
      </w:r>
      <w:r w:rsidRPr="00B855C7">
        <w:rPr>
          <w:sz w:val="22"/>
          <w:szCs w:val="22"/>
        </w:rPr>
        <w:t>ί</w:t>
      </w:r>
      <w:r w:rsidRPr="00B855C7">
        <w:rPr>
          <w:sz w:val="22"/>
          <w:szCs w:val="22"/>
        </w:rPr>
        <w:t>χνουν μείωση ταξιδιωτικών εισπράξεων κατά 75% έναντι της αντίστοιχης περιόδου του 2019, με την πτώση στο σύνολο του πρώτου οκταμήνου του 2020 να αν</w:t>
      </w:r>
      <w:r w:rsidR="00D30BFC">
        <w:rPr>
          <w:sz w:val="22"/>
          <w:szCs w:val="22"/>
        </w:rPr>
        <w:t>έρχεται</w:t>
      </w:r>
      <w:r w:rsidRPr="00B855C7">
        <w:rPr>
          <w:sz w:val="22"/>
          <w:szCs w:val="22"/>
        </w:rPr>
        <w:t xml:space="preserve"> στο 79,7%.</w:t>
      </w:r>
    </w:p>
    <w:p w:rsidR="00AF5291" w:rsidRPr="00B855C7" w:rsidRDefault="00AF5291" w:rsidP="00AF5291">
      <w:pPr>
        <w:jc w:val="both"/>
        <w:rPr>
          <w:sz w:val="22"/>
          <w:szCs w:val="22"/>
        </w:rPr>
      </w:pPr>
    </w:p>
    <w:p w:rsidR="00AF5291" w:rsidRPr="00B855C7" w:rsidRDefault="00AF5291" w:rsidP="00AF5291">
      <w:pPr>
        <w:jc w:val="both"/>
        <w:rPr>
          <w:sz w:val="22"/>
          <w:szCs w:val="22"/>
        </w:rPr>
      </w:pPr>
      <w:r w:rsidRPr="00B855C7">
        <w:rPr>
          <w:sz w:val="22"/>
          <w:szCs w:val="22"/>
        </w:rPr>
        <w:t>Η ύφεση στο σύνολο του 2020 οδηγείται από την κάμψη της οικονομικής δραστηριότητας στο δεύτ</w:t>
      </w:r>
      <w:r w:rsidRPr="00B855C7">
        <w:rPr>
          <w:sz w:val="22"/>
          <w:szCs w:val="22"/>
        </w:rPr>
        <w:t>ε</w:t>
      </w:r>
      <w:r w:rsidRPr="00B855C7">
        <w:rPr>
          <w:sz w:val="22"/>
          <w:szCs w:val="22"/>
        </w:rPr>
        <w:t xml:space="preserve">ρο και το τέταρτο τρίμηνο του έτους, η οποία αντανακλά το καθολικό «πάγωμα» της δραστηριότητας σε συγκεκριμένους κλάδους παραγωγής </w:t>
      </w:r>
      <w:r w:rsidR="00CB55D5" w:rsidRPr="00CB55D5">
        <w:rPr>
          <w:sz w:val="22"/>
          <w:szCs w:val="22"/>
        </w:rPr>
        <w:t xml:space="preserve">(lockdown) </w:t>
      </w:r>
      <w:r w:rsidRPr="00B855C7">
        <w:rPr>
          <w:sz w:val="22"/>
          <w:szCs w:val="22"/>
        </w:rPr>
        <w:t xml:space="preserve">εντός αυτών των τριμήνων τόσο στην Ελλάδα, όσο και διεθνώς. </w:t>
      </w:r>
      <w:r w:rsidRPr="00B855C7">
        <w:rPr>
          <w:bCs/>
          <w:iCs/>
          <w:sz w:val="22"/>
          <w:szCs w:val="22"/>
        </w:rPr>
        <w:t xml:space="preserve">Η μεγαλύτερη επίδραση του </w:t>
      </w:r>
      <w:r w:rsidRPr="00B855C7">
        <w:rPr>
          <w:bCs/>
          <w:iCs/>
          <w:sz w:val="22"/>
          <w:szCs w:val="22"/>
          <w:lang w:val="en-US"/>
        </w:rPr>
        <w:t>lockdown</w:t>
      </w:r>
      <w:r w:rsidRPr="00B855C7">
        <w:rPr>
          <w:bCs/>
          <w:iCs/>
          <w:sz w:val="22"/>
          <w:szCs w:val="22"/>
        </w:rPr>
        <w:t xml:space="preserve"> φαίνεται να καταγράφεται στους κλάδους του εμπορίου, του τουρισμού και των τεχνών, με τους κλάδους των ορυχείων/μεταποίησης και των επα</w:t>
      </w:r>
      <w:r w:rsidRPr="00B855C7">
        <w:rPr>
          <w:bCs/>
          <w:iCs/>
          <w:sz w:val="22"/>
          <w:szCs w:val="22"/>
        </w:rPr>
        <w:t>γ</w:t>
      </w:r>
      <w:r w:rsidRPr="00B855C7">
        <w:rPr>
          <w:bCs/>
          <w:iCs/>
          <w:sz w:val="22"/>
          <w:szCs w:val="22"/>
        </w:rPr>
        <w:t>γελματικών/επιστημονικών δραστηριοτήτων να ακολουθούν.</w:t>
      </w:r>
    </w:p>
    <w:p w:rsidR="00AF5291" w:rsidRPr="00B855C7" w:rsidRDefault="00AF5291" w:rsidP="00AF5291">
      <w:pPr>
        <w:jc w:val="both"/>
        <w:rPr>
          <w:bCs/>
          <w:iCs/>
          <w:sz w:val="22"/>
          <w:szCs w:val="22"/>
        </w:rPr>
      </w:pPr>
    </w:p>
    <w:p w:rsidR="00AF5291" w:rsidRPr="00B855C7" w:rsidRDefault="00AF5291" w:rsidP="00AF5291">
      <w:pPr>
        <w:suppressAutoHyphens/>
        <w:ind w:right="-58"/>
        <w:jc w:val="both"/>
        <w:rPr>
          <w:bCs/>
          <w:sz w:val="22"/>
        </w:rPr>
      </w:pPr>
      <w:r w:rsidRPr="00B855C7">
        <w:rPr>
          <w:sz w:val="22"/>
          <w:szCs w:val="22"/>
        </w:rPr>
        <w:t xml:space="preserve">Ως εκ τούτου, και κατ’ αναλογία των έως σήμερα διαθέσιμων τριμηνιαίων στοιχείων για το δεύτερο τρίμηνο, αρνητική πορεία εκτιμάται για όλες τις μεταβλητές του ΑΕΠ κατά τη διάρκεια των </w:t>
      </w:r>
      <w:r w:rsidRPr="00B855C7">
        <w:rPr>
          <w:sz w:val="22"/>
          <w:szCs w:val="22"/>
          <w:lang w:val="en-US"/>
        </w:rPr>
        <w:t>lockdown</w:t>
      </w:r>
      <w:r w:rsidRPr="00B855C7">
        <w:rPr>
          <w:sz w:val="22"/>
          <w:szCs w:val="22"/>
        </w:rPr>
        <w:t xml:space="preserve"> (και στο σύνολο του έτους), εξαιτίας της διαταραχής στην παραγωγή και της δευτερογενούς μετάδοσής της σε μη άμεσα πληττόμενους κλάδους μέσω της μείωσης της ζήτησης. Μόνη εξαίρεση αναμένεται να αποτελέσει ο</w:t>
      </w:r>
      <w:r w:rsidRPr="00B855C7">
        <w:rPr>
          <w:bCs/>
          <w:sz w:val="22"/>
        </w:rPr>
        <w:t xml:space="preserve"> όγκος δημόσιας κατανάλωσης, δεδομένων των αυξημένων δαπανών για την αντιμετώπιση της πανδημίας. Η παροδική συρρίκνωση της ζήτησης αναμένεται να επηρεάσει καθοδικά τον πληθωρισμό, πέραν των ήδη αυξημένων καθοδικών πιέσεων από την πορεία των διεθνών τιμών του πετρελαίου. </w:t>
      </w:r>
      <w:bookmarkStart w:id="1" w:name="_Hlk50045320"/>
      <w:r w:rsidRPr="00B855C7">
        <w:rPr>
          <w:bCs/>
          <w:sz w:val="22"/>
        </w:rPr>
        <w:t>Ως αποτέλεσμα, το βάθος της ύφεσης αναμένεται μεγαλύτερο σε ονομαστικούς όρους έναντι των όρων όγκου εγχώριου προϊόντος.</w:t>
      </w:r>
    </w:p>
    <w:bookmarkEnd w:id="1"/>
    <w:p w:rsidR="00AF5291" w:rsidRPr="00B855C7" w:rsidRDefault="00AF5291" w:rsidP="00AF5291">
      <w:pPr>
        <w:suppressAutoHyphens/>
        <w:ind w:right="-58"/>
        <w:jc w:val="both"/>
        <w:rPr>
          <w:sz w:val="22"/>
        </w:rPr>
      </w:pPr>
    </w:p>
    <w:p w:rsidR="00AF5291" w:rsidRDefault="00AF5291" w:rsidP="00AF5291">
      <w:pPr>
        <w:suppressAutoHyphens/>
        <w:ind w:right="-58"/>
        <w:jc w:val="both"/>
        <w:rPr>
          <w:sz w:val="22"/>
        </w:rPr>
      </w:pPr>
      <w:r w:rsidRPr="00B855C7">
        <w:rPr>
          <w:sz w:val="22"/>
        </w:rPr>
        <w:t xml:space="preserve">Ενδεικτικά, στο Διάγραμμα </w:t>
      </w:r>
      <w:r w:rsidR="00CE5C7F">
        <w:rPr>
          <w:sz w:val="22"/>
        </w:rPr>
        <w:t>1.2</w:t>
      </w:r>
      <w:r w:rsidRPr="00B855C7">
        <w:rPr>
          <w:sz w:val="22"/>
        </w:rPr>
        <w:t xml:space="preserve"> δίνεται η εικόνα των τάσεων των συνιστωσών του ΑΕΠ στο σύνολο πρώτου εξαμήνου 2020, με βάση τα (υποκείμενα σε αναθεώρηση) διαθέσιμα τριμηνιαία στοιχεία εθνικών λογαριασμών.</w:t>
      </w:r>
    </w:p>
    <w:p w:rsidR="00C02E47" w:rsidRDefault="00C02E47" w:rsidP="00AF5291">
      <w:pPr>
        <w:suppressAutoHyphens/>
        <w:ind w:right="-58"/>
        <w:jc w:val="both"/>
        <w:rPr>
          <w:sz w:val="22"/>
        </w:rPr>
      </w:pPr>
    </w:p>
    <w:p w:rsidR="00C02E47" w:rsidRDefault="00C02E47" w:rsidP="00AF5291">
      <w:pPr>
        <w:suppressAutoHyphens/>
        <w:ind w:right="-58"/>
        <w:jc w:val="both"/>
        <w:rPr>
          <w:sz w:val="22"/>
        </w:rPr>
      </w:pPr>
    </w:p>
    <w:p w:rsidR="00C02E47" w:rsidRDefault="00C02E47" w:rsidP="00AF5291">
      <w:pPr>
        <w:suppressAutoHyphens/>
        <w:ind w:right="-58"/>
        <w:jc w:val="both"/>
        <w:rPr>
          <w:sz w:val="22"/>
        </w:rPr>
      </w:pPr>
    </w:p>
    <w:p w:rsidR="00C02E47" w:rsidRDefault="00C02E47" w:rsidP="00AF5291">
      <w:pPr>
        <w:suppressAutoHyphens/>
        <w:ind w:right="-58"/>
        <w:jc w:val="both"/>
        <w:rPr>
          <w:sz w:val="22"/>
        </w:rPr>
      </w:pPr>
    </w:p>
    <w:p w:rsidR="00C02E47" w:rsidRDefault="00C02E47" w:rsidP="00AF5291">
      <w:pPr>
        <w:suppressAutoHyphens/>
        <w:ind w:right="-58"/>
        <w:jc w:val="both"/>
        <w:rPr>
          <w:sz w:val="22"/>
        </w:rPr>
      </w:pPr>
    </w:p>
    <w:p w:rsidR="00C02E47" w:rsidRDefault="00C02E47" w:rsidP="00AF5291">
      <w:pPr>
        <w:suppressAutoHyphens/>
        <w:ind w:right="-58"/>
        <w:jc w:val="both"/>
        <w:rPr>
          <w:sz w:val="22"/>
        </w:rPr>
      </w:pPr>
    </w:p>
    <w:p w:rsidR="00C02E47" w:rsidRDefault="00C02E47" w:rsidP="00AF5291">
      <w:pPr>
        <w:suppressAutoHyphens/>
        <w:ind w:right="-58"/>
        <w:jc w:val="both"/>
        <w:rPr>
          <w:sz w:val="22"/>
        </w:rPr>
      </w:pPr>
    </w:p>
    <w:p w:rsidR="00C02E47" w:rsidRDefault="00C02E47" w:rsidP="00AF5291">
      <w:pPr>
        <w:suppressAutoHyphens/>
        <w:ind w:right="-58"/>
        <w:jc w:val="both"/>
        <w:rPr>
          <w:sz w:val="22"/>
        </w:rPr>
      </w:pPr>
    </w:p>
    <w:p w:rsidR="00C02E47" w:rsidRDefault="00C02E47" w:rsidP="00AF5291">
      <w:pPr>
        <w:suppressAutoHyphens/>
        <w:ind w:right="-58"/>
        <w:jc w:val="both"/>
        <w:rPr>
          <w:sz w:val="22"/>
        </w:rPr>
      </w:pPr>
    </w:p>
    <w:p w:rsidR="00C02E47" w:rsidRPr="00B855C7" w:rsidRDefault="00C02E47" w:rsidP="00AF5291">
      <w:pPr>
        <w:suppressAutoHyphens/>
        <w:ind w:right="-58"/>
        <w:jc w:val="both"/>
        <w:rPr>
          <w:sz w:val="22"/>
        </w:rPr>
      </w:pPr>
    </w:p>
    <w:p w:rsidR="00157F8C" w:rsidRDefault="00157F8C" w:rsidP="00157F8C">
      <w:pPr>
        <w:jc w:val="both"/>
        <w:rPr>
          <w:sz w:val="22"/>
          <w:szCs w:val="22"/>
        </w:rPr>
      </w:pPr>
    </w:p>
    <w:tbl>
      <w:tblPr>
        <w:tblW w:w="0" w:type="auto"/>
        <w:tblLook w:val="04A0"/>
      </w:tblPr>
      <w:tblGrid>
        <w:gridCol w:w="9287"/>
      </w:tblGrid>
      <w:tr w:rsidR="00AF5291" w:rsidTr="009B2251">
        <w:tc>
          <w:tcPr>
            <w:tcW w:w="9286" w:type="dxa"/>
            <w:shd w:val="clear" w:color="auto" w:fill="auto"/>
          </w:tcPr>
          <w:p w:rsidR="00AF5291" w:rsidRPr="009B2251" w:rsidRDefault="00EB2E7F" w:rsidP="005D4266">
            <w:pPr>
              <w:jc w:val="center"/>
              <w:rPr>
                <w:rFonts w:ascii="Arial Narrow" w:hAnsi="Arial Narrow"/>
                <w:b/>
                <w:sz w:val="22"/>
                <w:szCs w:val="22"/>
              </w:rPr>
            </w:pPr>
            <w:r>
              <w:rPr>
                <w:rFonts w:ascii="Arial Narrow" w:hAnsi="Arial Narrow"/>
                <w:b/>
                <w:sz w:val="22"/>
                <w:szCs w:val="22"/>
              </w:rPr>
              <w:t>Διάγραμμα 1.2</w:t>
            </w:r>
            <w:r w:rsidR="00AF5291" w:rsidRPr="009B2251">
              <w:rPr>
                <w:rFonts w:ascii="Arial Narrow" w:hAnsi="Arial Narrow"/>
                <w:b/>
                <w:sz w:val="22"/>
                <w:szCs w:val="22"/>
              </w:rPr>
              <w:t xml:space="preserve"> Συμβολή των συνιστωσών ΑΕΠ στον ρυθμό ανάπτυξης, </w:t>
            </w:r>
          </w:p>
          <w:p w:rsidR="00AF5291" w:rsidRPr="009B2251" w:rsidRDefault="00AF5291" w:rsidP="005D4266">
            <w:pPr>
              <w:jc w:val="center"/>
              <w:rPr>
                <w:rFonts w:ascii="Arial Narrow" w:hAnsi="Arial Narrow"/>
                <w:b/>
                <w:sz w:val="22"/>
                <w:szCs w:val="22"/>
              </w:rPr>
            </w:pPr>
            <w:r w:rsidRPr="009B2251">
              <w:rPr>
                <w:rFonts w:ascii="Arial Narrow" w:hAnsi="Arial Narrow"/>
                <w:b/>
                <w:sz w:val="22"/>
                <w:szCs w:val="22"/>
              </w:rPr>
              <w:t>πρώτο εξάμηνο 2020</w:t>
            </w:r>
          </w:p>
          <w:p w:rsidR="00AF5291" w:rsidRPr="009B2251" w:rsidRDefault="00AF5291" w:rsidP="005D4266">
            <w:pPr>
              <w:jc w:val="center"/>
              <w:rPr>
                <w:sz w:val="22"/>
                <w:szCs w:val="22"/>
              </w:rPr>
            </w:pPr>
            <w:r w:rsidRPr="009B2251">
              <w:rPr>
                <w:rFonts w:ascii="Arial Narrow" w:hAnsi="Arial Narrow"/>
                <w:sz w:val="22"/>
                <w:szCs w:val="22"/>
              </w:rPr>
              <w:t>(% ΑΕΠ πρώτου εξαμήνου προηγούμενου έτους, σε σταθερές τιμές)</w:t>
            </w:r>
          </w:p>
        </w:tc>
      </w:tr>
      <w:tr w:rsidR="00AF5291" w:rsidTr="005D4266">
        <w:tc>
          <w:tcPr>
            <w:tcW w:w="9286" w:type="dxa"/>
          </w:tcPr>
          <w:p w:rsidR="00AF5291" w:rsidRPr="007D5EBD" w:rsidRDefault="00AF5291" w:rsidP="005D4266">
            <w:pPr>
              <w:jc w:val="both"/>
              <w:rPr>
                <w:szCs w:val="22"/>
              </w:rPr>
            </w:pPr>
          </w:p>
          <w:p w:rsidR="00AF5291" w:rsidRPr="007D5EBD" w:rsidRDefault="00AF5291" w:rsidP="005D4266">
            <w:pPr>
              <w:tabs>
                <w:tab w:val="left" w:pos="709"/>
              </w:tabs>
              <w:ind w:left="709" w:right="425" w:hanging="284"/>
              <w:jc w:val="both"/>
              <w:rPr>
                <w:szCs w:val="22"/>
              </w:rPr>
            </w:pPr>
            <w:r>
              <w:rPr>
                <w:noProof/>
                <w:szCs w:val="22"/>
              </w:rPr>
              <w:drawing>
                <wp:inline distT="0" distB="0" distL="0" distR="0">
                  <wp:extent cx="5286375" cy="2905125"/>
                  <wp:effectExtent l="0" t="0" r="9525" b="9525"/>
                  <wp:docPr id="4" name="Γράφημ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Γράφημα 1"/>
                          <pic:cNvPicPr>
                            <a:picLocks noChangeArrowheads="1"/>
                          </pic:cNvPicPr>
                        </pic:nvPicPr>
                        <pic:blipFill>
                          <a:blip r:embed="rId10" cstate="print"/>
                          <a:srcRect/>
                          <a:stretch>
                            <a:fillRect/>
                          </a:stretch>
                        </pic:blipFill>
                        <pic:spPr bwMode="auto">
                          <a:xfrm>
                            <a:off x="0" y="0"/>
                            <a:ext cx="5286375" cy="2905125"/>
                          </a:xfrm>
                          <a:prstGeom prst="rect">
                            <a:avLst/>
                          </a:prstGeom>
                          <a:noFill/>
                          <a:ln w="9525">
                            <a:noFill/>
                            <a:miter lim="800000"/>
                            <a:headEnd/>
                            <a:tailEnd/>
                          </a:ln>
                        </pic:spPr>
                      </pic:pic>
                    </a:graphicData>
                  </a:graphic>
                </wp:inline>
              </w:drawing>
            </w:r>
          </w:p>
          <w:p w:rsidR="00AF5291" w:rsidRPr="004168D7" w:rsidRDefault="00AF5291" w:rsidP="005D4266">
            <w:pPr>
              <w:tabs>
                <w:tab w:val="left" w:pos="709"/>
              </w:tabs>
              <w:ind w:left="709" w:right="425" w:hanging="284"/>
              <w:jc w:val="both"/>
              <w:rPr>
                <w:rFonts w:ascii="Arial Narrow" w:hAnsi="Arial Narrow"/>
                <w:sz w:val="14"/>
                <w:szCs w:val="14"/>
              </w:rPr>
            </w:pPr>
            <w:r w:rsidRPr="004168D7">
              <w:rPr>
                <w:rFonts w:ascii="Arial Narrow" w:hAnsi="Arial Narrow"/>
                <w:sz w:val="14"/>
                <w:szCs w:val="14"/>
              </w:rPr>
              <w:t>Πηγή:  Τριμηνιαίοι Εθνικοί Λογαριασμοί 2ου τριμήνου 2020 (Ελληνική Στατιστική Αρχή).</w:t>
            </w:r>
          </w:p>
        </w:tc>
      </w:tr>
    </w:tbl>
    <w:p w:rsidR="00AF5291" w:rsidRDefault="00AF5291" w:rsidP="00AF5291">
      <w:pPr>
        <w:jc w:val="both"/>
        <w:rPr>
          <w:szCs w:val="22"/>
        </w:rPr>
      </w:pPr>
    </w:p>
    <w:p w:rsidR="00AF5291" w:rsidRPr="00B855C7" w:rsidRDefault="00AF5291" w:rsidP="00AF5291">
      <w:pPr>
        <w:jc w:val="both"/>
        <w:rPr>
          <w:sz w:val="22"/>
          <w:szCs w:val="22"/>
        </w:rPr>
      </w:pPr>
      <w:r w:rsidRPr="00B855C7">
        <w:rPr>
          <w:sz w:val="22"/>
          <w:szCs w:val="22"/>
        </w:rPr>
        <w:t>Στη βάση των ανωτέρω, η συνισταμένη των οικονομικών επιπτώσεων από τα τρία βασικά κανάλια μετάδοσης της υγειονομικής κρίσης (παραγωγή, απασχόληση και εγχώρια ζήτηση, εξωτερικός τομ</w:t>
      </w:r>
      <w:r w:rsidRPr="00B855C7">
        <w:rPr>
          <w:sz w:val="22"/>
          <w:szCs w:val="22"/>
        </w:rPr>
        <w:t>έ</w:t>
      </w:r>
      <w:r w:rsidRPr="00B855C7">
        <w:rPr>
          <w:sz w:val="22"/>
          <w:szCs w:val="22"/>
        </w:rPr>
        <w:t>ας)</w:t>
      </w:r>
      <w:r w:rsidR="009B2251">
        <w:rPr>
          <w:sz w:val="22"/>
          <w:szCs w:val="22"/>
        </w:rPr>
        <w:t xml:space="preserve"> και η μερικώς αντισταθμιστική δράση</w:t>
      </w:r>
      <w:r w:rsidRPr="00B855C7">
        <w:rPr>
          <w:sz w:val="22"/>
          <w:szCs w:val="22"/>
        </w:rPr>
        <w:t xml:space="preserve"> των μέτρων οικονομικής στήριξης, τοποθετεί την ύφεση για το σύνολο του 2020 στο 10,5%, κατά 2,3 ποσοστιαίες μονάδες του ΑΕΠ χαμηλότερα από ότι στο Προσχέδιο του Κρατικού Προϋπολογισμού. Στον μεγαλύτερο βαθμό της, η απόκλιση αυτή αντικατ</w:t>
      </w:r>
      <w:r w:rsidRPr="00B855C7">
        <w:rPr>
          <w:sz w:val="22"/>
          <w:szCs w:val="22"/>
        </w:rPr>
        <w:t>ο</w:t>
      </w:r>
      <w:r w:rsidRPr="00B855C7">
        <w:rPr>
          <w:sz w:val="22"/>
          <w:szCs w:val="22"/>
        </w:rPr>
        <w:t xml:space="preserve">πτρίζει την εκτιμώμενη επίπτωση του δεύτερου </w:t>
      </w:r>
      <w:r w:rsidRPr="00B855C7">
        <w:rPr>
          <w:sz w:val="22"/>
          <w:szCs w:val="22"/>
          <w:lang w:val="en-US"/>
        </w:rPr>
        <w:t>lockdown</w:t>
      </w:r>
      <w:r w:rsidRPr="00B855C7">
        <w:rPr>
          <w:sz w:val="22"/>
          <w:szCs w:val="22"/>
        </w:rPr>
        <w:t xml:space="preserve"> του 2020 στη μεταβολή του ετήσιου πρα</w:t>
      </w:r>
      <w:r w:rsidRPr="00B855C7">
        <w:rPr>
          <w:sz w:val="22"/>
          <w:szCs w:val="22"/>
        </w:rPr>
        <w:t>γ</w:t>
      </w:r>
      <w:r w:rsidRPr="00B855C7">
        <w:rPr>
          <w:sz w:val="22"/>
          <w:szCs w:val="22"/>
        </w:rPr>
        <w:t>ματικού εγχώριου προϊόντος. Σε ονομαστικούς όρους, ο ρυθμός μείωσης του ΑΕΠ αναμένεται να ε</w:t>
      </w:r>
      <w:r w:rsidRPr="00B855C7">
        <w:rPr>
          <w:sz w:val="22"/>
          <w:szCs w:val="22"/>
        </w:rPr>
        <w:t>ί</w:t>
      </w:r>
      <w:r w:rsidRPr="00B855C7">
        <w:rPr>
          <w:sz w:val="22"/>
          <w:szCs w:val="22"/>
        </w:rPr>
        <w:t>ναι συγκριτικά μεγαλύτερος (-11,3%), με τον αποπληθωριστή σε αρνητικό έδαφος (-0,8%).</w:t>
      </w:r>
    </w:p>
    <w:p w:rsidR="00AF5291" w:rsidRPr="00B855C7" w:rsidRDefault="00AF5291" w:rsidP="00AF5291">
      <w:pPr>
        <w:jc w:val="both"/>
        <w:rPr>
          <w:sz w:val="22"/>
          <w:szCs w:val="22"/>
        </w:rPr>
      </w:pPr>
    </w:p>
    <w:p w:rsidR="00AF5291" w:rsidRPr="00B855C7" w:rsidRDefault="00AF5291" w:rsidP="00AF5291">
      <w:pPr>
        <w:jc w:val="both"/>
        <w:rPr>
          <w:sz w:val="22"/>
          <w:szCs w:val="22"/>
        </w:rPr>
      </w:pPr>
      <w:r w:rsidRPr="00B855C7">
        <w:rPr>
          <w:sz w:val="22"/>
          <w:szCs w:val="22"/>
        </w:rPr>
        <w:t>Η εγχώρια ζήτηση αναμένεται να έχει μεγαλύτερη αρνητική συμβολή στο ΑΕΠ στο σύνολο του έτους σε σχέση με τον εξωτερικό τομέα της οικονομίας, εξηγώντας το 60% της ύφεσης. Η πραγματική ιδι</w:t>
      </w:r>
      <w:r w:rsidRPr="00B855C7">
        <w:rPr>
          <w:sz w:val="22"/>
          <w:szCs w:val="22"/>
        </w:rPr>
        <w:t>ω</w:t>
      </w:r>
      <w:r w:rsidRPr="00B855C7">
        <w:rPr>
          <w:sz w:val="22"/>
          <w:szCs w:val="22"/>
        </w:rPr>
        <w:t xml:space="preserve">τική κατανάλωση αναμένεται να μειωθεί κατά 7,6% έναντι του 2019, </w:t>
      </w:r>
      <w:r w:rsidR="009B2251">
        <w:rPr>
          <w:sz w:val="22"/>
          <w:szCs w:val="22"/>
        </w:rPr>
        <w:t xml:space="preserve">λόγω </w:t>
      </w:r>
      <w:r w:rsidRPr="00B855C7">
        <w:rPr>
          <w:sz w:val="22"/>
          <w:szCs w:val="22"/>
        </w:rPr>
        <w:t xml:space="preserve">μειωμένων ευκαιριών για κατανάλωση και μείωσης του μέσου ονομαστικού μισθού εν μέσω </w:t>
      </w:r>
      <w:r w:rsidRPr="00B855C7">
        <w:rPr>
          <w:sz w:val="22"/>
          <w:szCs w:val="22"/>
          <w:lang w:val="en-US"/>
        </w:rPr>
        <w:t>lockdown</w:t>
      </w:r>
      <w:r w:rsidRPr="00B855C7">
        <w:rPr>
          <w:sz w:val="22"/>
          <w:szCs w:val="22"/>
        </w:rPr>
        <w:t xml:space="preserve">. </w:t>
      </w:r>
      <w:r w:rsidRPr="00B855C7">
        <w:rPr>
          <w:sz w:val="22"/>
          <w:szCs w:val="22"/>
          <w:lang w:val="en-US"/>
        </w:rPr>
        <w:t>H</w:t>
      </w:r>
      <w:r w:rsidRPr="00B855C7">
        <w:rPr>
          <w:sz w:val="22"/>
          <w:szCs w:val="22"/>
        </w:rPr>
        <w:t xml:space="preserve"> συνολική απασχόλ</w:t>
      </w:r>
      <w:r w:rsidRPr="00B855C7">
        <w:rPr>
          <w:sz w:val="22"/>
          <w:szCs w:val="22"/>
        </w:rPr>
        <w:t>η</w:t>
      </w:r>
      <w:r w:rsidRPr="00B855C7">
        <w:rPr>
          <w:sz w:val="22"/>
          <w:szCs w:val="22"/>
        </w:rPr>
        <w:t>ση εκτιμάται ότι θα μειωθεί κατά 5,1% και η απασχόληση των μισθωτών κατά 5,2%, επιφέροντας μείωση των αμοιβών εξαρτημένης εργασίας κατά 8,1%. Ο πραγματικός μέσος μισθός εκτιμάται ότι θα μειωθεί λιγότερο από τον ονομαστικό, κατά 2,1% έναντι του 2019, εν μέσω μείωσης του Εν. ΔΤΚ κ</w:t>
      </w:r>
      <w:r w:rsidRPr="00B855C7">
        <w:rPr>
          <w:sz w:val="22"/>
          <w:szCs w:val="22"/>
        </w:rPr>
        <w:t>α</w:t>
      </w:r>
      <w:r w:rsidRPr="00B855C7">
        <w:rPr>
          <w:sz w:val="22"/>
          <w:szCs w:val="22"/>
        </w:rPr>
        <w:t>τά 1,1%. Η μέση παραγωγικότητα της εργασίας αναμένεται να υποχωρήσει κατά 5,7%.</w:t>
      </w:r>
    </w:p>
    <w:p w:rsidR="00AF5291" w:rsidRPr="00B855C7" w:rsidRDefault="00AF5291" w:rsidP="00AF5291">
      <w:pPr>
        <w:jc w:val="both"/>
        <w:rPr>
          <w:sz w:val="22"/>
          <w:szCs w:val="22"/>
        </w:rPr>
      </w:pPr>
    </w:p>
    <w:p w:rsidR="00AF5291" w:rsidRDefault="00AF5291" w:rsidP="00AF5291">
      <w:pPr>
        <w:jc w:val="both"/>
        <w:rPr>
          <w:sz w:val="22"/>
          <w:szCs w:val="22"/>
        </w:rPr>
      </w:pPr>
      <w:r w:rsidRPr="00B855C7">
        <w:rPr>
          <w:sz w:val="22"/>
          <w:szCs w:val="22"/>
        </w:rPr>
        <w:t>Οι πραγματικές επενδύσεις αναμένεται να σημειώσουν περαιτέρω απώλειες στο δεύτερο εξάμηνο του έτους, φτάνοντας στο σύνολο του 2020 στο -14,3% έναντι του 2019, ως αντανάκλαση του χαμηλού επιπέδου δραστηριότητας στον κλάδο του τουρισμού, της μειωμένης ζήτησης και της αναζωπύρωσης της αβεβαιότητας διεθνώς όσον αφορά την επιδημιολογική εξέλιξη της κρίσης. Ωστόσο, οι επενδύσεις στον κλάδο των κατασκευών αναμένεται να παραμείνουν σε θετική πορεία στο σύνολο του έτους, λ</w:t>
      </w:r>
      <w:r w:rsidRPr="00B855C7">
        <w:rPr>
          <w:sz w:val="22"/>
          <w:szCs w:val="22"/>
        </w:rPr>
        <w:t>ό</w:t>
      </w:r>
      <w:r w:rsidRPr="00B855C7">
        <w:rPr>
          <w:sz w:val="22"/>
          <w:szCs w:val="22"/>
        </w:rPr>
        <w:t>γω του ιδιαίτερα θετικού πρώτου εξαμήνου του 2020.</w:t>
      </w:r>
    </w:p>
    <w:p w:rsidR="009B2251" w:rsidRPr="00B855C7" w:rsidRDefault="009B2251" w:rsidP="00AF5291">
      <w:pPr>
        <w:jc w:val="both"/>
        <w:rPr>
          <w:sz w:val="22"/>
          <w:szCs w:val="22"/>
        </w:rPr>
      </w:pPr>
    </w:p>
    <w:p w:rsidR="00AF5291" w:rsidRPr="00B855C7" w:rsidRDefault="00AF5291" w:rsidP="00AF5291">
      <w:pPr>
        <w:jc w:val="both"/>
        <w:rPr>
          <w:sz w:val="22"/>
          <w:szCs w:val="22"/>
        </w:rPr>
      </w:pPr>
      <w:r w:rsidRPr="00B855C7">
        <w:rPr>
          <w:sz w:val="22"/>
          <w:szCs w:val="22"/>
        </w:rPr>
        <w:t xml:space="preserve">Οι εξαγωγές υπηρεσιών αναμένεται να υποστούν καθίζηση στο σύνολο του έτους (-47,0%), με κύρια την επίδραση της εισερχόμενης ταξιδιωτικής κίνησης και τις μικρότερες απώλειες των εισαγωγών </w:t>
      </w:r>
      <w:r w:rsidRPr="00B855C7">
        <w:rPr>
          <w:sz w:val="22"/>
          <w:szCs w:val="22"/>
        </w:rPr>
        <w:t>υ</w:t>
      </w:r>
      <w:r w:rsidRPr="00B855C7">
        <w:rPr>
          <w:sz w:val="22"/>
          <w:szCs w:val="22"/>
        </w:rPr>
        <w:t>πηρεσιών να οδηγούν σε αρνητική συμβολή του ισοζυγίου υπηρεσιών στο ΑΕΠ κατά 7,5% του ΑΕΠ. Η μεγάλη αρνητική συμβολή υπεραντισταθμίζει την κατά 2,7% του ΑΕΠ θετική συμβολή των καθ</w:t>
      </w:r>
      <w:r w:rsidRPr="00B855C7">
        <w:rPr>
          <w:sz w:val="22"/>
          <w:szCs w:val="22"/>
        </w:rPr>
        <w:t>α</w:t>
      </w:r>
      <w:r w:rsidRPr="00B855C7">
        <w:rPr>
          <w:sz w:val="22"/>
          <w:szCs w:val="22"/>
        </w:rPr>
        <w:lastRenderedPageBreak/>
        <w:t>ρών εξαγωγών αγαθών, που οφείλεται στη συγκριτικά μεγαλύτερη πτώση του όγκου των εισαγωγών αγαθών</w:t>
      </w:r>
      <w:r w:rsidRPr="00B855C7">
        <w:rPr>
          <w:sz w:val="22"/>
          <w:szCs w:val="22"/>
          <w:vertAlign w:val="superscript"/>
        </w:rPr>
        <w:footnoteReference w:id="24"/>
      </w:r>
      <w:r w:rsidRPr="00B855C7">
        <w:rPr>
          <w:sz w:val="22"/>
          <w:szCs w:val="22"/>
        </w:rPr>
        <w:t xml:space="preserve"> (-14,2%) έναντι των εξαγωγών αγαθών (-9,2%).</w:t>
      </w:r>
    </w:p>
    <w:p w:rsidR="00AF5291" w:rsidRPr="00B855C7" w:rsidRDefault="00AF5291" w:rsidP="00AF5291">
      <w:pPr>
        <w:jc w:val="both"/>
        <w:rPr>
          <w:sz w:val="22"/>
          <w:szCs w:val="22"/>
        </w:rPr>
      </w:pPr>
    </w:p>
    <w:p w:rsidR="00AF5291" w:rsidRPr="00B855C7" w:rsidRDefault="00AF5291" w:rsidP="00AF5291">
      <w:pPr>
        <w:jc w:val="both"/>
        <w:rPr>
          <w:sz w:val="22"/>
          <w:szCs w:val="22"/>
        </w:rPr>
      </w:pPr>
      <w:r w:rsidRPr="00B855C7">
        <w:rPr>
          <w:sz w:val="22"/>
          <w:szCs w:val="22"/>
        </w:rPr>
        <w:t>Η προ της πανδημίας δυναμική μείωσης της ανεργίας αναμένεται να αναστραφεί προσωρινά το 2020, με την αύξηση των ανέργων να φτάνει τις 1,6 ποσοστιαίες μονάδες του εργατικού δυναμικού, παρά</w:t>
      </w:r>
      <w:r w:rsidRPr="00B855C7">
        <w:rPr>
          <w:sz w:val="22"/>
          <w:szCs w:val="22"/>
        </w:rPr>
        <w:t>λ</w:t>
      </w:r>
      <w:r w:rsidRPr="00B855C7">
        <w:rPr>
          <w:sz w:val="22"/>
          <w:szCs w:val="22"/>
        </w:rPr>
        <w:t>ληλα με τη μείωση του εργατικού δυναμικού κατά 3,2% έναντι του 2019 εξαιτίας της επιφυλακτικ</w:t>
      </w:r>
      <w:r w:rsidRPr="00B855C7">
        <w:rPr>
          <w:sz w:val="22"/>
          <w:szCs w:val="22"/>
        </w:rPr>
        <w:t>ό</w:t>
      </w:r>
      <w:r w:rsidRPr="00B855C7">
        <w:rPr>
          <w:sz w:val="22"/>
          <w:szCs w:val="22"/>
        </w:rPr>
        <w:t>τητας στην προσφορά εργασίας σε περιόδους έξαρσης της πανδημίας.</w:t>
      </w:r>
    </w:p>
    <w:p w:rsidR="00AF5291" w:rsidRPr="00B855C7" w:rsidRDefault="00AF5291" w:rsidP="00AF5291">
      <w:pPr>
        <w:jc w:val="both"/>
        <w:rPr>
          <w:sz w:val="22"/>
          <w:szCs w:val="22"/>
        </w:rPr>
      </w:pPr>
    </w:p>
    <w:p w:rsidR="00AF5291" w:rsidRPr="00B855C7" w:rsidRDefault="00AF5291" w:rsidP="00AF5291">
      <w:pPr>
        <w:jc w:val="both"/>
        <w:rPr>
          <w:sz w:val="22"/>
          <w:szCs w:val="22"/>
        </w:rPr>
      </w:pPr>
      <w:r w:rsidRPr="00B855C7">
        <w:rPr>
          <w:sz w:val="22"/>
          <w:szCs w:val="22"/>
        </w:rPr>
        <w:t>Η προσωρινή διακοπή της ανάκαμψης κατά το τέταρτο τρίμηνο του 2020 αναμένεται να επιδράσει στον ετήσιο ρυθμό ανάκαμψης του επόμενου έτους, μέσω της αρνητικής επίδρασης μεταφοράς</w:t>
      </w:r>
      <w:r w:rsidR="00793143" w:rsidRPr="00793143">
        <w:rPr>
          <w:sz w:val="22"/>
          <w:szCs w:val="22"/>
        </w:rPr>
        <w:t xml:space="preserve"> (</w:t>
      </w:r>
      <w:r w:rsidR="00793143">
        <w:rPr>
          <w:sz w:val="22"/>
          <w:szCs w:val="22"/>
          <w:lang w:val="en-US"/>
        </w:rPr>
        <w:t>carry</w:t>
      </w:r>
      <w:r w:rsidR="00793143" w:rsidRPr="00793143">
        <w:rPr>
          <w:sz w:val="22"/>
          <w:szCs w:val="22"/>
        </w:rPr>
        <w:t xml:space="preserve"> </w:t>
      </w:r>
      <w:r w:rsidR="00793143">
        <w:rPr>
          <w:sz w:val="22"/>
          <w:szCs w:val="22"/>
          <w:lang w:val="en-US"/>
        </w:rPr>
        <w:t>over</w:t>
      </w:r>
      <w:r w:rsidR="00793143" w:rsidRPr="00793143">
        <w:rPr>
          <w:sz w:val="22"/>
          <w:szCs w:val="22"/>
        </w:rPr>
        <w:t>)</w:t>
      </w:r>
      <w:r w:rsidRPr="00B855C7">
        <w:rPr>
          <w:sz w:val="22"/>
          <w:szCs w:val="22"/>
        </w:rPr>
        <w:t>. Ωστόσο, η ισχυρή επαναφορά σε θετικούς τριμηνιαίους ρυθμούς ανάπτυξης σε ετήσια βάση από το δεύτερο τρίμηνο του 2021, όπως είχε εκτιμηθεί στο Προσχέδιο του Κρατικού Προϋπολογ</w:t>
      </w:r>
      <w:r w:rsidRPr="00B855C7">
        <w:rPr>
          <w:sz w:val="22"/>
          <w:szCs w:val="22"/>
        </w:rPr>
        <w:t>ι</w:t>
      </w:r>
      <w:r w:rsidRPr="00B855C7">
        <w:rPr>
          <w:sz w:val="22"/>
          <w:szCs w:val="22"/>
        </w:rPr>
        <w:t>σμού, συνεχίζει να αποτελεί εκτίμηση του βασικού μακροοικονομικού σεναρίου.</w:t>
      </w:r>
    </w:p>
    <w:p w:rsidR="00AF5291" w:rsidRDefault="00AF5291" w:rsidP="00AF5291">
      <w:pPr>
        <w:jc w:val="both"/>
        <w:rPr>
          <w:rFonts w:ascii="Arial Narrow" w:hAnsi="Arial Narrow"/>
          <w:b/>
          <w:i/>
          <w:iCs/>
          <w:sz w:val="26"/>
          <w:szCs w:val="22"/>
        </w:rPr>
      </w:pPr>
    </w:p>
    <w:p w:rsidR="00AF5291" w:rsidRPr="004A514C" w:rsidRDefault="00AF5291" w:rsidP="00AF5291">
      <w:pPr>
        <w:jc w:val="both"/>
        <w:rPr>
          <w:i/>
          <w:iCs/>
          <w:sz w:val="22"/>
        </w:rPr>
      </w:pPr>
      <w:r w:rsidRPr="004A514C">
        <w:rPr>
          <w:rFonts w:ascii="Arial Narrow" w:hAnsi="Arial Narrow"/>
          <w:b/>
          <w:i/>
          <w:iCs/>
          <w:sz w:val="22"/>
        </w:rPr>
        <w:t>Πληθωρισμός - Τιμές</w:t>
      </w:r>
    </w:p>
    <w:p w:rsidR="00AF5291" w:rsidRPr="00B855C7" w:rsidRDefault="00AF5291" w:rsidP="00AF5291">
      <w:pPr>
        <w:jc w:val="both"/>
        <w:rPr>
          <w:sz w:val="22"/>
        </w:rPr>
      </w:pPr>
    </w:p>
    <w:p w:rsidR="00AF5291" w:rsidRPr="00B855C7" w:rsidRDefault="00AF5291" w:rsidP="00AF5291">
      <w:pPr>
        <w:jc w:val="both"/>
        <w:rPr>
          <w:rStyle w:val="jlqj4b"/>
          <w:sz w:val="22"/>
        </w:rPr>
      </w:pPr>
      <w:r w:rsidRPr="00B855C7">
        <w:rPr>
          <w:rStyle w:val="jlqj4b"/>
          <w:sz w:val="22"/>
        </w:rPr>
        <w:t xml:space="preserve">Η υφεσιακή επίδραση των μέτρων κατά της πανδημίας αντέστρεψε, </w:t>
      </w:r>
      <w:r w:rsidRPr="00B855C7">
        <w:rPr>
          <w:rStyle w:val="a5"/>
          <w:sz w:val="22"/>
        </w:rPr>
        <w:t>από τον Απρίλιο του 2020</w:t>
      </w:r>
      <w:r w:rsidRPr="00B855C7">
        <w:rPr>
          <w:rStyle w:val="jlqj4b"/>
          <w:sz w:val="22"/>
        </w:rPr>
        <w:t xml:space="preserve">, την προηγουμένως ανοδική τάση του Εν.ΔΤΚ, οδηγώντας τους μέσους ρυθμούς Εν. ΔΤΚ και εθνικού ΔΤΚ στο -1,1% για το πρώτο δεκάμηνο του 2020, χαμηλότερα από τον μέσο όρο της Ευρωζώνης (+0,4%). Η μείωση της διεθνούς τιμής του πετρελαίου, που συντέλεσε προς αυτήν την κατεύθυνση, αντανακλάται στον σημαντικά λιγότερο αρνητικό πυρήνα του πληθωρισμού, που κυμάνθηκε στο </w:t>
      </w:r>
      <w:r w:rsidR="009B2251">
        <w:rPr>
          <w:rStyle w:val="jlqj4b"/>
          <w:sz w:val="22"/>
        </w:rPr>
        <w:t xml:space="preserve">         </w:t>
      </w:r>
      <w:r w:rsidRPr="00B855C7">
        <w:rPr>
          <w:rStyle w:val="jlqj4b"/>
          <w:sz w:val="22"/>
        </w:rPr>
        <w:t>-0,2% την ίδια περίοδο.</w:t>
      </w:r>
    </w:p>
    <w:p w:rsidR="00AF5291" w:rsidRPr="00B855C7" w:rsidRDefault="00AF5291" w:rsidP="00AF5291">
      <w:pPr>
        <w:jc w:val="both"/>
        <w:rPr>
          <w:rStyle w:val="jlqj4b"/>
          <w:sz w:val="22"/>
        </w:rPr>
      </w:pPr>
    </w:p>
    <w:p w:rsidR="00AF5291" w:rsidRPr="00B855C7" w:rsidRDefault="00AF5291" w:rsidP="00AF5291">
      <w:pPr>
        <w:jc w:val="both"/>
        <w:rPr>
          <w:rStyle w:val="jlqj4b"/>
          <w:sz w:val="22"/>
        </w:rPr>
      </w:pPr>
      <w:r w:rsidRPr="00B855C7">
        <w:rPr>
          <w:rStyle w:val="jlqj4b"/>
          <w:sz w:val="22"/>
          <w:lang w:val="en-US"/>
        </w:rPr>
        <w:t>H</w:t>
      </w:r>
      <w:r w:rsidRPr="00B855C7">
        <w:rPr>
          <w:rStyle w:val="jlqj4b"/>
          <w:sz w:val="22"/>
        </w:rPr>
        <w:t xml:space="preserve"> αρνητική πορεία των τιμών εντάθηκε από τον Ιούνιο του 2020, με τον ρυθμό πληθωρισμού της π</w:t>
      </w:r>
      <w:r w:rsidRPr="00B855C7">
        <w:rPr>
          <w:rStyle w:val="jlqj4b"/>
          <w:sz w:val="22"/>
        </w:rPr>
        <w:t>ε</w:t>
      </w:r>
      <w:r w:rsidRPr="00B855C7">
        <w:rPr>
          <w:rStyle w:val="jlqj4b"/>
          <w:sz w:val="22"/>
        </w:rPr>
        <w:t>ριόδου Ιουνίου – Οκτωβρίου στο -2,1% έναντι της αντίστοιχης περιόδου του 2019. Στην εξέλιξη αυτή συν</w:t>
      </w:r>
      <w:r w:rsidR="008C08FD">
        <w:rPr>
          <w:rStyle w:val="jlqj4b"/>
          <w:sz w:val="22"/>
        </w:rPr>
        <w:t xml:space="preserve">έβαλαν </w:t>
      </w:r>
      <w:r w:rsidRPr="00B855C7">
        <w:rPr>
          <w:rStyle w:val="jlqj4b"/>
          <w:sz w:val="22"/>
        </w:rPr>
        <w:t>οι μειωμένοι συντελεστές έμμεσης φορολογίας στις μεταφορές προσώπων, στα οργανωμ</w:t>
      </w:r>
      <w:r w:rsidRPr="00B855C7">
        <w:rPr>
          <w:rStyle w:val="jlqj4b"/>
          <w:sz w:val="22"/>
        </w:rPr>
        <w:t>έ</w:t>
      </w:r>
      <w:r w:rsidRPr="00B855C7">
        <w:rPr>
          <w:rStyle w:val="jlqj4b"/>
          <w:sz w:val="22"/>
        </w:rPr>
        <w:t>να τουριστικά πακέτα, στα εισιτήρια των κινηματογράφων και σε συγκεκριμένες κατηγορίες προϊ</w:t>
      </w:r>
      <w:r w:rsidRPr="00B855C7">
        <w:rPr>
          <w:rStyle w:val="jlqj4b"/>
          <w:sz w:val="22"/>
        </w:rPr>
        <w:t>ό</w:t>
      </w:r>
      <w:r w:rsidRPr="00B855C7">
        <w:rPr>
          <w:rStyle w:val="jlqj4b"/>
          <w:sz w:val="22"/>
        </w:rPr>
        <w:t>ντων και υπηρεσιών εστίασης (μη αλκοολούχα ποτά), που εφαρμόστηκαν από τον Ιούνιο του 2020 ως μέτρο αντιστάθμισης των επιπτώσεων της πανδημίας.</w:t>
      </w:r>
    </w:p>
    <w:p w:rsidR="00AF5291" w:rsidRPr="00B855C7" w:rsidRDefault="00AF5291" w:rsidP="00AF5291">
      <w:pPr>
        <w:jc w:val="both"/>
        <w:rPr>
          <w:rStyle w:val="jlqj4b"/>
          <w:sz w:val="22"/>
        </w:rPr>
      </w:pPr>
    </w:p>
    <w:p w:rsidR="00AF5291" w:rsidRPr="00B855C7" w:rsidRDefault="00AF5291" w:rsidP="00AF5291">
      <w:pPr>
        <w:jc w:val="both"/>
        <w:rPr>
          <w:rStyle w:val="jlqj4b"/>
          <w:sz w:val="22"/>
        </w:rPr>
      </w:pPr>
      <w:r w:rsidRPr="00B855C7">
        <w:rPr>
          <w:rStyle w:val="jlqj4b"/>
          <w:sz w:val="22"/>
        </w:rPr>
        <w:t>Στο σύνολο του έτους, ο ρυθμός πληθωρισμού αναμένεται να διαμορφωθεί κοντά στο επίπεδο δεκ</w:t>
      </w:r>
      <w:r w:rsidRPr="00B855C7">
        <w:rPr>
          <w:rStyle w:val="jlqj4b"/>
          <w:sz w:val="22"/>
        </w:rPr>
        <w:t>α</w:t>
      </w:r>
      <w:r w:rsidRPr="00B855C7">
        <w:rPr>
          <w:rStyle w:val="jlqj4b"/>
          <w:sz w:val="22"/>
        </w:rPr>
        <w:t>μήνου (-1,1%), περιορίζοντας τις απώλειες του πραγματικού μέσου μισθού σε σχέση με τις αντίστο</w:t>
      </w:r>
      <w:r w:rsidRPr="00B855C7">
        <w:rPr>
          <w:rStyle w:val="jlqj4b"/>
          <w:sz w:val="22"/>
        </w:rPr>
        <w:t>ι</w:t>
      </w:r>
      <w:r w:rsidRPr="00B855C7">
        <w:rPr>
          <w:rStyle w:val="jlqj4b"/>
          <w:sz w:val="22"/>
        </w:rPr>
        <w:t>χες σε όρους ονομαστικού μισθού, στο 2,0% σε ετήσια βάση.</w:t>
      </w:r>
    </w:p>
    <w:p w:rsidR="00AF5291" w:rsidRPr="00B855C7" w:rsidRDefault="00AF5291" w:rsidP="00AF5291">
      <w:pPr>
        <w:jc w:val="both"/>
        <w:rPr>
          <w:rStyle w:val="jlqj4b"/>
          <w:sz w:val="22"/>
        </w:rPr>
      </w:pPr>
    </w:p>
    <w:p w:rsidR="00AF5291" w:rsidRDefault="00AF5291" w:rsidP="00AF5291">
      <w:pPr>
        <w:jc w:val="both"/>
        <w:rPr>
          <w:rFonts w:ascii="Arial Narrow" w:hAnsi="Arial Narrow"/>
          <w:b/>
          <w:i/>
          <w:iCs/>
          <w:sz w:val="22"/>
        </w:rPr>
      </w:pPr>
      <w:r w:rsidRPr="004A514C">
        <w:rPr>
          <w:rFonts w:ascii="Arial Narrow" w:hAnsi="Arial Narrow"/>
          <w:b/>
          <w:i/>
          <w:iCs/>
          <w:sz w:val="22"/>
        </w:rPr>
        <w:t>Απασχόληση – Ανεργία</w:t>
      </w:r>
    </w:p>
    <w:p w:rsidR="00C02E47" w:rsidRPr="004A514C" w:rsidRDefault="00C02E47" w:rsidP="00AF5291">
      <w:pPr>
        <w:jc w:val="both"/>
        <w:rPr>
          <w:rFonts w:ascii="Arial Narrow" w:hAnsi="Arial Narrow"/>
          <w:b/>
          <w:i/>
          <w:iCs/>
          <w:sz w:val="22"/>
        </w:rPr>
      </w:pPr>
    </w:p>
    <w:p w:rsidR="00AF5291" w:rsidRPr="00B855C7" w:rsidRDefault="00AF5291" w:rsidP="00AF5291">
      <w:pPr>
        <w:jc w:val="both"/>
        <w:rPr>
          <w:rStyle w:val="jlqj4b"/>
          <w:sz w:val="22"/>
        </w:rPr>
      </w:pPr>
      <w:r w:rsidRPr="00B855C7">
        <w:rPr>
          <w:rStyle w:val="jlqj4b"/>
          <w:sz w:val="22"/>
        </w:rPr>
        <w:t>Η ανεργία μειώθηκε μεταξύ Φεβρουαρίου και Απριλίου 2020 στο 15,7% του εργατικού δυναμικού έναντι 16,1% τον Ιανουάριο του 2020, παρά την εξάπλωση της πανδημίας και την αναστολή λειτου</w:t>
      </w:r>
      <w:r w:rsidRPr="00B855C7">
        <w:rPr>
          <w:rStyle w:val="jlqj4b"/>
          <w:sz w:val="22"/>
        </w:rPr>
        <w:t>ρ</w:t>
      </w:r>
      <w:r w:rsidRPr="00B855C7">
        <w:rPr>
          <w:rStyle w:val="jlqj4b"/>
          <w:sz w:val="22"/>
        </w:rPr>
        <w:t>γίας οικονομικών κλάδων την ίδια περίοδο. Αυτό εξηγείται από τη μειωμένη διαθεσιμότητα ενός τμ</w:t>
      </w:r>
      <w:r w:rsidRPr="00B855C7">
        <w:rPr>
          <w:rStyle w:val="jlqj4b"/>
          <w:sz w:val="22"/>
        </w:rPr>
        <w:t>ή</w:t>
      </w:r>
      <w:r w:rsidRPr="00B855C7">
        <w:rPr>
          <w:rStyle w:val="jlqj4b"/>
          <w:sz w:val="22"/>
        </w:rPr>
        <w:t>ματος του πληθυσμού να προσφέρει εργασία κατά την πρώτη έξαρση της πανδημίας, με αποτέλεσμα το τμήμα αυτό να καταγραφεί στατιστικά ως οικονομικά ανενεργός πληθυσμός τους αντίστοιχους μ</w:t>
      </w:r>
      <w:r w:rsidRPr="00B855C7">
        <w:rPr>
          <w:rStyle w:val="jlqj4b"/>
          <w:sz w:val="22"/>
        </w:rPr>
        <w:t>ή</w:t>
      </w:r>
      <w:r w:rsidRPr="00B855C7">
        <w:rPr>
          <w:rStyle w:val="jlqj4b"/>
          <w:sz w:val="22"/>
        </w:rPr>
        <w:t>νες. Ως εκ τούτου, το εργατικό δυναμικό υποχώρησε κατά 2,7% την περίοδο Φεβρουαρίου – Απριλίου 2020 έναντι της αντίστοιχης περιόδου του 2019 και ο μέσος αριθμός των ανέργων μειώθηκε κατά 30,7 χιλιάδες έναντι του Ιανουαρίου 2020.</w:t>
      </w:r>
    </w:p>
    <w:p w:rsidR="00AF5291" w:rsidRDefault="00AF5291" w:rsidP="00AF5291">
      <w:pPr>
        <w:jc w:val="both"/>
        <w:rPr>
          <w:rStyle w:val="jlqj4b"/>
        </w:rPr>
      </w:pPr>
    </w:p>
    <w:p w:rsidR="00AF5291" w:rsidRPr="003E2D65" w:rsidRDefault="00AF5291" w:rsidP="00AF5291">
      <w:pPr>
        <w:jc w:val="both"/>
        <w:rPr>
          <w:rStyle w:val="jlqj4b"/>
          <w:sz w:val="22"/>
        </w:rPr>
      </w:pPr>
      <w:r w:rsidRPr="003E2D65">
        <w:rPr>
          <w:rStyle w:val="jlqj4b"/>
          <w:sz w:val="22"/>
        </w:rPr>
        <w:t xml:space="preserve">Τον Μάιο 2020, η τάση στατιστικής καταγραφής μειωμένου αριθμού ανέργων εξέλειψε, </w:t>
      </w:r>
      <w:r w:rsidR="008C08FD">
        <w:rPr>
          <w:rStyle w:val="jlqj4b"/>
          <w:sz w:val="22"/>
        </w:rPr>
        <w:t xml:space="preserve">λόγω </w:t>
      </w:r>
      <w:r w:rsidRPr="003E2D65">
        <w:rPr>
          <w:rStyle w:val="jlqj4b"/>
          <w:sz w:val="22"/>
        </w:rPr>
        <w:t>υποχ</w:t>
      </w:r>
      <w:r w:rsidRPr="003E2D65">
        <w:rPr>
          <w:rStyle w:val="jlqj4b"/>
          <w:sz w:val="22"/>
        </w:rPr>
        <w:t>ώ</w:t>
      </w:r>
      <w:r w:rsidRPr="003E2D65">
        <w:rPr>
          <w:rStyle w:val="jlqj4b"/>
          <w:sz w:val="22"/>
        </w:rPr>
        <w:t xml:space="preserve">ρησης της πανδημίας και του υγειονομικού κινδύνου, οδηγώντας στη διαμόρφωση του ποσοστού </w:t>
      </w:r>
      <w:r w:rsidRPr="003E2D65">
        <w:rPr>
          <w:rStyle w:val="jlqj4b"/>
          <w:sz w:val="22"/>
        </w:rPr>
        <w:t>α</w:t>
      </w:r>
      <w:r w:rsidRPr="003E2D65">
        <w:rPr>
          <w:rStyle w:val="jlqj4b"/>
          <w:sz w:val="22"/>
        </w:rPr>
        <w:t>νεργίας στο 17,7% του εργατικού δυναμικού. Εντούτοις, από τα μηνιαία στοιχεία της Έρευνας Εργ</w:t>
      </w:r>
      <w:r w:rsidRPr="003E2D65">
        <w:rPr>
          <w:rStyle w:val="jlqj4b"/>
          <w:sz w:val="22"/>
        </w:rPr>
        <w:t>α</w:t>
      </w:r>
      <w:r w:rsidRPr="003E2D65">
        <w:rPr>
          <w:rStyle w:val="jlqj4b"/>
          <w:sz w:val="22"/>
        </w:rPr>
        <w:t>τικού Δυναμικού δεν προκύπτει τάση περαιτέρω αύξησης των ανέργων τους αμέσως επόμενους μ</w:t>
      </w:r>
      <w:r w:rsidRPr="003E2D65">
        <w:rPr>
          <w:rStyle w:val="jlqj4b"/>
          <w:sz w:val="22"/>
        </w:rPr>
        <w:t>ή</w:t>
      </w:r>
      <w:r w:rsidRPr="003E2D65">
        <w:rPr>
          <w:rStyle w:val="jlqj4b"/>
          <w:sz w:val="22"/>
        </w:rPr>
        <w:t>νες, αλλά σταδιακή ανάκαμψη της αγοράς εργασίας. Τον Αύγουστο του 2020, ο αριθμός ανέργων είχε μειωθεί κατά 41 χιλιάδες έναντι του Μαΐου, με αντίστοιχη αύξηση των απασχολούμενων κατά 52,3 χιλιάδες.</w:t>
      </w:r>
    </w:p>
    <w:p w:rsidR="00AF5291" w:rsidRPr="003E2D65" w:rsidRDefault="00AF5291" w:rsidP="00AF5291">
      <w:pPr>
        <w:jc w:val="both"/>
        <w:rPr>
          <w:rStyle w:val="jlqj4b"/>
          <w:sz w:val="22"/>
        </w:rPr>
      </w:pPr>
    </w:p>
    <w:p w:rsidR="00AF5291" w:rsidRPr="003E2D65" w:rsidRDefault="00AF5291" w:rsidP="00AF5291">
      <w:pPr>
        <w:jc w:val="both"/>
        <w:rPr>
          <w:rStyle w:val="jlqj4b"/>
          <w:sz w:val="22"/>
        </w:rPr>
      </w:pPr>
      <w:r w:rsidRPr="003E2D65">
        <w:rPr>
          <w:rStyle w:val="jlqj4b"/>
          <w:sz w:val="22"/>
        </w:rPr>
        <w:lastRenderedPageBreak/>
        <w:t>Τα σημάδια ανθεκτικότητας της αγοράς εργασίας θεωρείται ότι σηματοδοτούν την επιτυχία του μ</w:t>
      </w:r>
      <w:r w:rsidRPr="003E2D65">
        <w:rPr>
          <w:rStyle w:val="jlqj4b"/>
          <w:sz w:val="22"/>
        </w:rPr>
        <w:t>έ</w:t>
      </w:r>
      <w:r w:rsidRPr="003E2D65">
        <w:rPr>
          <w:rStyle w:val="jlqj4b"/>
          <w:sz w:val="22"/>
        </w:rPr>
        <w:t>τρου αναστολής των συμβάσεων εργασίας στους κλάδους που έχουν πληγεί από την πανδημία, καθώς και τη</w:t>
      </w:r>
      <w:r w:rsidR="008C08FD">
        <w:rPr>
          <w:rStyle w:val="jlqj4b"/>
          <w:sz w:val="22"/>
        </w:rPr>
        <w:t>ς</w:t>
      </w:r>
      <w:r w:rsidRPr="003E2D65">
        <w:rPr>
          <w:rStyle w:val="jlqj4b"/>
          <w:sz w:val="22"/>
        </w:rPr>
        <w:t xml:space="preserve"> «ρήτρα</w:t>
      </w:r>
      <w:r w:rsidR="008C08FD">
        <w:rPr>
          <w:rStyle w:val="jlqj4b"/>
          <w:sz w:val="22"/>
        </w:rPr>
        <w:t>ς</w:t>
      </w:r>
      <w:r w:rsidRPr="003E2D65">
        <w:rPr>
          <w:rStyle w:val="jlqj4b"/>
          <w:sz w:val="22"/>
        </w:rPr>
        <w:t xml:space="preserve"> μη απολύσεων» για τους επωφελούμενους από τα μέτρα οικονομικής στήριξης.</w:t>
      </w:r>
    </w:p>
    <w:p w:rsidR="00AF5291" w:rsidRPr="003E2D65" w:rsidRDefault="00AF5291" w:rsidP="00AF5291">
      <w:pPr>
        <w:jc w:val="both"/>
        <w:rPr>
          <w:rStyle w:val="jlqj4b"/>
          <w:sz w:val="22"/>
        </w:rPr>
      </w:pPr>
    </w:p>
    <w:p w:rsidR="00AF5291" w:rsidRPr="003E2D65" w:rsidRDefault="00AF5291" w:rsidP="00AF5291">
      <w:pPr>
        <w:jc w:val="both"/>
        <w:rPr>
          <w:rStyle w:val="jlqj4b"/>
          <w:sz w:val="22"/>
        </w:rPr>
      </w:pPr>
      <w:r w:rsidRPr="003E2D65">
        <w:rPr>
          <w:rStyle w:val="jlqj4b"/>
          <w:sz w:val="22"/>
        </w:rPr>
        <w:t xml:space="preserve">Σε κάθε περίπτωση, τα νέα μέτρα περιορισμού της εξάπλωσης του </w:t>
      </w:r>
      <w:r w:rsidRPr="003E2D65">
        <w:rPr>
          <w:rStyle w:val="jlqj4b"/>
          <w:sz w:val="22"/>
          <w:lang w:val="en-US"/>
        </w:rPr>
        <w:t>Covid</w:t>
      </w:r>
      <w:r w:rsidRPr="003E2D65">
        <w:rPr>
          <w:rStyle w:val="jlqj4b"/>
          <w:sz w:val="22"/>
        </w:rPr>
        <w:t>-19, τον Νοέμβριο του 2020, αναμένεται να επιδεινώσουν την πορεία των δεικτών της αγοράς εργασίας στο σύνολο του έτους, επ</w:t>
      </w:r>
      <w:r w:rsidRPr="003E2D65">
        <w:rPr>
          <w:rStyle w:val="jlqj4b"/>
          <w:sz w:val="22"/>
        </w:rPr>
        <w:t>ι</w:t>
      </w:r>
      <w:r w:rsidRPr="003E2D65">
        <w:rPr>
          <w:rStyle w:val="jlqj4b"/>
          <w:sz w:val="22"/>
        </w:rPr>
        <w:t>ταχύνοντας την πτωτική τάση του εργατικού δυναμικού και της απασχόλησης (στο -3,2% και -5,1% αντίστοιχα, σε ετήσια βάση) και αυξάνοντας πρόσκαιρα το ποσοστό των ανέργων κατά 1,6 ποσ</w:t>
      </w:r>
      <w:r w:rsidRPr="003E2D65">
        <w:rPr>
          <w:rStyle w:val="jlqj4b"/>
          <w:sz w:val="22"/>
        </w:rPr>
        <w:t>ο</w:t>
      </w:r>
      <w:r w:rsidRPr="003E2D65">
        <w:rPr>
          <w:rStyle w:val="jlqj4b"/>
          <w:sz w:val="22"/>
        </w:rPr>
        <w:t>στιαίες μονάδες έναντι του 2019.</w:t>
      </w:r>
    </w:p>
    <w:p w:rsidR="00AF5291" w:rsidRPr="003E2D65" w:rsidRDefault="00AF5291" w:rsidP="00AF5291">
      <w:pPr>
        <w:jc w:val="both"/>
        <w:rPr>
          <w:sz w:val="22"/>
          <w:szCs w:val="22"/>
        </w:rPr>
      </w:pPr>
    </w:p>
    <w:p w:rsidR="00AF5291" w:rsidRPr="004A514C" w:rsidRDefault="00AF5291" w:rsidP="00AF5291">
      <w:pPr>
        <w:jc w:val="both"/>
        <w:rPr>
          <w:rFonts w:ascii="Arial Narrow" w:hAnsi="Arial Narrow"/>
          <w:b/>
          <w:i/>
          <w:iCs/>
          <w:sz w:val="22"/>
        </w:rPr>
      </w:pPr>
      <w:r w:rsidRPr="004A514C">
        <w:rPr>
          <w:rFonts w:ascii="Arial Narrow" w:hAnsi="Arial Narrow"/>
          <w:b/>
          <w:i/>
          <w:iCs/>
          <w:sz w:val="22"/>
        </w:rPr>
        <w:t>Νομισματικές και πιστωτικές εξελίξεις στην Ελλάδα</w:t>
      </w:r>
    </w:p>
    <w:p w:rsidR="00AF5291" w:rsidRPr="005D790E" w:rsidRDefault="00AF5291" w:rsidP="00AF5291">
      <w:pPr>
        <w:rPr>
          <w:color w:val="000000"/>
        </w:rPr>
      </w:pPr>
    </w:p>
    <w:p w:rsidR="00AF5291" w:rsidRPr="003E2D65" w:rsidRDefault="00AF5291" w:rsidP="00AF5291">
      <w:pPr>
        <w:jc w:val="both"/>
        <w:rPr>
          <w:color w:val="000000"/>
          <w:sz w:val="22"/>
        </w:rPr>
      </w:pPr>
      <w:r w:rsidRPr="003E2D65">
        <w:rPr>
          <w:color w:val="000000"/>
          <w:sz w:val="22"/>
        </w:rPr>
        <w:t xml:space="preserve">Το 2020 ο ετήσιος ρυθμός μεταβολής του συνόλου των εγχωρίων καταθέσεων επιβραδύνθηκε έναντι του προηγούμενου έτους και διαμορφώθηκε, κατά μέσο όρο τους πρώτους εννέα μήνες του έτους, σε 6,5% (μέσος ετήσιος ρυθμός κατά τους πρώτους εννέα μήνες του 2019: 7,9%). </w:t>
      </w:r>
      <w:r w:rsidRPr="003E2D65">
        <w:rPr>
          <w:color w:val="000000"/>
          <w:sz w:val="22"/>
          <w:lang w:val="en-US"/>
        </w:rPr>
        <w:t>H</w:t>
      </w:r>
      <w:r w:rsidRPr="003E2D65">
        <w:rPr>
          <w:color w:val="000000"/>
          <w:sz w:val="22"/>
        </w:rPr>
        <w:t xml:space="preserve"> παρατηρούμενη επ</w:t>
      </w:r>
      <w:r w:rsidRPr="003E2D65">
        <w:rPr>
          <w:color w:val="000000"/>
          <w:sz w:val="22"/>
        </w:rPr>
        <w:t>ι</w:t>
      </w:r>
      <w:r w:rsidRPr="003E2D65">
        <w:rPr>
          <w:color w:val="000000"/>
          <w:sz w:val="22"/>
        </w:rPr>
        <w:t>βράδυνση αποδίδεται κυρίως στις καταθέσεις προθεσμίας έως 2 έτη, οι οποίες υποχώρησαν με εντε</w:t>
      </w:r>
      <w:r w:rsidRPr="003E2D65">
        <w:rPr>
          <w:color w:val="000000"/>
          <w:sz w:val="22"/>
        </w:rPr>
        <w:t>ι</w:t>
      </w:r>
      <w:r w:rsidRPr="003E2D65">
        <w:rPr>
          <w:color w:val="000000"/>
          <w:sz w:val="22"/>
        </w:rPr>
        <w:t>νόμενο ρυθμό κατά τη διάρκεια των πρώτων εννέα μηνών του τρέχοντος έτους. Αντίθετα, οι καταθ</w:t>
      </w:r>
      <w:r w:rsidRPr="003E2D65">
        <w:rPr>
          <w:color w:val="000000"/>
          <w:sz w:val="22"/>
        </w:rPr>
        <w:t>έ</w:t>
      </w:r>
      <w:r w:rsidRPr="003E2D65">
        <w:rPr>
          <w:color w:val="000000"/>
          <w:sz w:val="22"/>
        </w:rPr>
        <w:t>σεις διάρκειας μίας ημέρας αυξήθηκαν με διψήφιο μέγεθος ετήσιου ρυθμού ανόδου, ο οποίος επιτ</w:t>
      </w:r>
      <w:r w:rsidRPr="003E2D65">
        <w:rPr>
          <w:color w:val="000000"/>
          <w:sz w:val="22"/>
        </w:rPr>
        <w:t>α</w:t>
      </w:r>
      <w:r w:rsidRPr="003E2D65">
        <w:rPr>
          <w:color w:val="000000"/>
          <w:sz w:val="22"/>
        </w:rPr>
        <w:t>χύνθηκε σταδιακά. Η συρρίκνωση της διαφοράς του επιτοκίου καταθέσεων προθεσμίας από το επιτ</w:t>
      </w:r>
      <w:r w:rsidRPr="003E2D65">
        <w:rPr>
          <w:color w:val="000000"/>
          <w:sz w:val="22"/>
        </w:rPr>
        <w:t>ό</w:t>
      </w:r>
      <w:r w:rsidRPr="003E2D65">
        <w:rPr>
          <w:color w:val="000000"/>
          <w:sz w:val="22"/>
        </w:rPr>
        <w:t>κιο των καταθέσεων μίας ημέρας εκτιμάται ότι συνέβαλε στη μετακίνηση πόρων μεταξύ των δύο κ</w:t>
      </w:r>
      <w:r w:rsidRPr="003E2D65">
        <w:rPr>
          <w:color w:val="000000"/>
          <w:sz w:val="22"/>
        </w:rPr>
        <w:t>α</w:t>
      </w:r>
      <w:r w:rsidRPr="003E2D65">
        <w:rPr>
          <w:color w:val="000000"/>
          <w:sz w:val="22"/>
        </w:rPr>
        <w:t>τηγοριών καταθέσεων. Επιπλέον του περιορισμού του κόστους ευκαιρίας διακράτησης καταθέσεων</w:t>
      </w:r>
      <w:r w:rsidR="00852E98">
        <w:rPr>
          <w:color w:val="000000"/>
          <w:sz w:val="22"/>
        </w:rPr>
        <w:t xml:space="preserve"> μεγαλύτερης ρευστότητας</w:t>
      </w:r>
      <w:r w:rsidRPr="003E2D65">
        <w:rPr>
          <w:color w:val="000000"/>
          <w:sz w:val="22"/>
        </w:rPr>
        <w:t>, η αύξηση του υπολοίπου των τρεχούμενων λογαριασμών, των καταθέσεων όψεως και των καταθέσεων ταμιευτηρίου υποστηρίχθηκε από τη δέσμη μέτρων πολιτικής για τον π</w:t>
      </w:r>
      <w:r w:rsidRPr="003E2D65">
        <w:rPr>
          <w:color w:val="000000"/>
          <w:sz w:val="22"/>
        </w:rPr>
        <w:t>ε</w:t>
      </w:r>
      <w:r w:rsidRPr="003E2D65">
        <w:rPr>
          <w:color w:val="000000"/>
          <w:sz w:val="22"/>
        </w:rPr>
        <w:t xml:space="preserve">ριορισμό των επιπτώσεων της πανδημίας στην πραγματική οικονομία, την αύξηση της χρησιμότητας των καταθέσεων ως μέσου πληρωμών και πιθανώς την αναβολή καταναλωτικών δαπανών εκ μέρους των νοικοκυριών. </w:t>
      </w:r>
    </w:p>
    <w:p w:rsidR="00AF5291" w:rsidRPr="003E2D65" w:rsidRDefault="00AF5291" w:rsidP="00AF5291">
      <w:pPr>
        <w:jc w:val="both"/>
        <w:rPr>
          <w:color w:val="000000"/>
          <w:sz w:val="22"/>
        </w:rPr>
      </w:pPr>
    </w:p>
    <w:p w:rsidR="00AF5291" w:rsidRPr="003E2D65" w:rsidRDefault="00AF5291" w:rsidP="00AF5291">
      <w:pPr>
        <w:jc w:val="both"/>
        <w:rPr>
          <w:color w:val="000000"/>
          <w:sz w:val="22"/>
        </w:rPr>
      </w:pPr>
      <w:r w:rsidRPr="003E2D65">
        <w:rPr>
          <w:color w:val="000000"/>
          <w:sz w:val="22"/>
        </w:rPr>
        <w:t>Όσον αφορά την ανάλυση κατά τομέα, οι τραπεζικές καταθέσεις των μη χρηματοπιστωτικών επιχε</w:t>
      </w:r>
      <w:r w:rsidRPr="003E2D65">
        <w:rPr>
          <w:color w:val="000000"/>
          <w:sz w:val="22"/>
        </w:rPr>
        <w:t>ι</w:t>
      </w:r>
      <w:r w:rsidRPr="003E2D65">
        <w:rPr>
          <w:color w:val="000000"/>
          <w:sz w:val="22"/>
        </w:rPr>
        <w:t>ρήσεων αυξήθηκαν συνολικά περίπου κατά 6,2 δισ. ευρώ τους πρώτους εννέα μήνες του έτους (έναντι αύξησης 0,1 δισ. ευρώ την ίδια περίοδο του 2019). Η αξιοσημείωτη άνοδος των καταθέσεων των μη χρηματοπιστωτικών επιχειρήσεων προήλθε κατά κύριο λόγο από καταθέσεις μίας ημέρας (6/7 της σ</w:t>
      </w:r>
      <w:r w:rsidRPr="003E2D65">
        <w:rPr>
          <w:color w:val="000000"/>
          <w:sz w:val="22"/>
        </w:rPr>
        <w:t>υ</w:t>
      </w:r>
      <w:r w:rsidRPr="003E2D65">
        <w:rPr>
          <w:color w:val="000000"/>
          <w:sz w:val="22"/>
        </w:rPr>
        <w:t>νολικής ροής του εννεάμηνου Ιανουαρίου – Σεπτεμβρίου 2020) γεγονός που αντανακλά τη συγκ</w:t>
      </w:r>
      <w:r w:rsidRPr="003E2D65">
        <w:rPr>
          <w:color w:val="000000"/>
          <w:sz w:val="22"/>
        </w:rPr>
        <w:t>έ</w:t>
      </w:r>
      <w:r w:rsidRPr="003E2D65">
        <w:rPr>
          <w:color w:val="000000"/>
          <w:sz w:val="22"/>
        </w:rPr>
        <w:t>ντρωση διαθεσίμων από τις επιχειρήσεις κατά την περίοδο της πανδημίας και μετά, πιθανώς για λ</w:t>
      </w:r>
      <w:r w:rsidRPr="003E2D65">
        <w:rPr>
          <w:color w:val="000000"/>
          <w:sz w:val="22"/>
        </w:rPr>
        <w:t>ό</w:t>
      </w:r>
      <w:r w:rsidRPr="003E2D65">
        <w:rPr>
          <w:color w:val="000000"/>
          <w:sz w:val="22"/>
        </w:rPr>
        <w:t>γους πρόνοιας ή πίστωσης προϊόντος δανείου ή χρηματοδοτικού εργαλείου υπέρ της ενίσχυσης ρε</w:t>
      </w:r>
      <w:r w:rsidRPr="003E2D65">
        <w:rPr>
          <w:color w:val="000000"/>
          <w:sz w:val="22"/>
        </w:rPr>
        <w:t>υ</w:t>
      </w:r>
      <w:r w:rsidRPr="003E2D65">
        <w:rPr>
          <w:color w:val="000000"/>
          <w:sz w:val="22"/>
        </w:rPr>
        <w:t>στότητας των επιχειρήσεων που επλήγησαν από την πανδημία. Παρά την αρνητική επίδραση που σ</w:t>
      </w:r>
      <w:r w:rsidRPr="003E2D65">
        <w:rPr>
          <w:color w:val="000000"/>
          <w:sz w:val="22"/>
        </w:rPr>
        <w:t>υ</w:t>
      </w:r>
      <w:r w:rsidRPr="003E2D65">
        <w:rPr>
          <w:color w:val="000000"/>
          <w:sz w:val="22"/>
        </w:rPr>
        <w:t xml:space="preserve">νέχισε να ασκεί η συρρίκνωση των στεγαστικών και των καταναλωτικών δανείων, οι καταθέσεις των νοικοκυριών αυξήθηκαν κατά 3,7 δισ. ευρώ (έναντι αύξησης 4,2 δισ. ευρώ την ίδια περίοδο του 2019) σε συνέπεια με την ενίσχυση της αποταμιευτικής συμπεριφοράς των νοικοκυριών. </w:t>
      </w:r>
    </w:p>
    <w:p w:rsidR="00AF5291" w:rsidRPr="003E2D65" w:rsidRDefault="00AF5291" w:rsidP="00AF5291">
      <w:pPr>
        <w:jc w:val="both"/>
        <w:rPr>
          <w:color w:val="000000"/>
          <w:sz w:val="22"/>
        </w:rPr>
      </w:pPr>
    </w:p>
    <w:p w:rsidR="00AF5291" w:rsidRPr="003E2D65" w:rsidRDefault="00AF5291" w:rsidP="00AF5291">
      <w:pPr>
        <w:jc w:val="both"/>
        <w:rPr>
          <w:color w:val="000000"/>
          <w:sz w:val="22"/>
        </w:rPr>
      </w:pPr>
      <w:r w:rsidRPr="003E2D65">
        <w:rPr>
          <w:color w:val="000000"/>
          <w:sz w:val="22"/>
        </w:rPr>
        <w:t>Ο ετήσιος ρυθμός μεταβολής του υπολοίπου της χρηματοδότησης προς τον τομέα της γενικής κυβέ</w:t>
      </w:r>
      <w:r w:rsidRPr="003E2D65">
        <w:rPr>
          <w:color w:val="000000"/>
          <w:sz w:val="22"/>
        </w:rPr>
        <w:t>ρ</w:t>
      </w:r>
      <w:r w:rsidRPr="003E2D65">
        <w:rPr>
          <w:color w:val="000000"/>
          <w:sz w:val="22"/>
        </w:rPr>
        <w:t xml:space="preserve">νησης από το εγχώριο τραπεζικό σύστημα (συμπεριλαμβανομένης της Τραπέζης της Ελλάδος), αφού έλαβε αρνητικές τιμές το 2019, το 2020 μεταστράφηκε σε θετικές τιμές και επιταχύνθηκε έντονα. </w:t>
      </w:r>
      <w:r w:rsidRPr="003E2D65">
        <w:rPr>
          <w:color w:val="000000"/>
          <w:sz w:val="22"/>
        </w:rPr>
        <w:t>Α</w:t>
      </w:r>
      <w:r w:rsidRPr="003E2D65">
        <w:rPr>
          <w:color w:val="000000"/>
          <w:sz w:val="22"/>
        </w:rPr>
        <w:t>ναλυτικότερα, ο εν λόγω ρυθμός μεταβολής ανήλθε σε 54,0% το Σεπτέμβριο του 2020 (έναντι -5,5% το Δεκέμβριο του 2019) και το εννεάμηνο Ιανουαρίου – Σεπτεμβρίου 2020 διαμορφώθηκε κατά μέσο όρο σε 24,2% έναντι -2,5% κατά το 2019. Η σημαντική ετήσια άνοδος του υπολοίπου της χρηματοδ</w:t>
      </w:r>
      <w:r w:rsidRPr="003E2D65">
        <w:rPr>
          <w:color w:val="000000"/>
          <w:sz w:val="22"/>
        </w:rPr>
        <w:t>ό</w:t>
      </w:r>
      <w:r w:rsidRPr="003E2D65">
        <w:rPr>
          <w:color w:val="000000"/>
          <w:sz w:val="22"/>
        </w:rPr>
        <w:t>τησης προς τον τομέα της γενικής κυβέρνησης κατά μέσο όρο το εν λόγω διάστημα του 2020, ενισχ</w:t>
      </w:r>
      <w:r w:rsidRPr="003E2D65">
        <w:rPr>
          <w:color w:val="000000"/>
          <w:sz w:val="22"/>
        </w:rPr>
        <w:t>ύ</w:t>
      </w:r>
      <w:r w:rsidRPr="003E2D65">
        <w:rPr>
          <w:color w:val="000000"/>
          <w:sz w:val="22"/>
        </w:rPr>
        <w:t xml:space="preserve">θηκε από την αύξηση της αξίας του αποθέματος τίτλων του Ελληνικού Δημοσίου στο χαρτοφυλάκιο των ΝΧΙ (νομισματικών χρηματοπιστωτικών ιδρυμάτων), καθώς οι τίτλοι αυτοί κατέστησαν εκ νέου κατ’ εξαίρεση αποδεκτοί από το Ευρωσύστημα ως εξασφαλίσεις. Τα ελληνικά πιστωτικά ιδρύματα τους χρησιμοποίησαν προκειμένου να αντλήσουν πόρους μέσω πράξεων αναχρηματοδότησης από το Ευρωσύστημα. Επίσης, οι εν λόγω τίτλοι υπήχθησαν στο </w:t>
      </w:r>
      <w:r w:rsidRPr="003E2D65">
        <w:rPr>
          <w:color w:val="000000"/>
          <w:sz w:val="22"/>
          <w:lang w:val="en-US"/>
        </w:rPr>
        <w:t>Pandemic</w:t>
      </w:r>
      <w:r w:rsidRPr="003E2D65">
        <w:rPr>
          <w:color w:val="000000"/>
          <w:sz w:val="22"/>
        </w:rPr>
        <w:t xml:space="preserve"> </w:t>
      </w:r>
      <w:r w:rsidRPr="003E2D65">
        <w:rPr>
          <w:color w:val="000000"/>
          <w:sz w:val="22"/>
          <w:lang w:val="en-US"/>
        </w:rPr>
        <w:t>Emergency</w:t>
      </w:r>
      <w:r w:rsidRPr="003E2D65">
        <w:rPr>
          <w:color w:val="000000"/>
          <w:sz w:val="22"/>
        </w:rPr>
        <w:t xml:space="preserve"> </w:t>
      </w:r>
      <w:r w:rsidRPr="003E2D65">
        <w:rPr>
          <w:color w:val="000000"/>
          <w:sz w:val="22"/>
          <w:lang w:val="en-US"/>
        </w:rPr>
        <w:t>Purchase</w:t>
      </w:r>
      <w:r w:rsidRPr="003E2D65">
        <w:rPr>
          <w:color w:val="000000"/>
          <w:sz w:val="22"/>
        </w:rPr>
        <w:t xml:space="preserve"> </w:t>
      </w:r>
      <w:r w:rsidRPr="003E2D65">
        <w:rPr>
          <w:color w:val="000000"/>
          <w:sz w:val="22"/>
          <w:lang w:val="en-US"/>
        </w:rPr>
        <w:t>Programme</w:t>
      </w:r>
      <w:r w:rsidRPr="003E2D65">
        <w:rPr>
          <w:color w:val="000000"/>
          <w:sz w:val="22"/>
        </w:rPr>
        <w:t xml:space="preserve"> της ΕΚΤ, γεγονός το οποίο οδήγησε στην αύξηση της αξίας του σχετικού χαρτοφυλακίου της Τραπ</w:t>
      </w:r>
      <w:r w:rsidRPr="003E2D65">
        <w:rPr>
          <w:color w:val="000000"/>
          <w:sz w:val="22"/>
        </w:rPr>
        <w:t>έ</w:t>
      </w:r>
      <w:r w:rsidRPr="003E2D65">
        <w:rPr>
          <w:color w:val="000000"/>
          <w:sz w:val="22"/>
        </w:rPr>
        <w:t>ζης της Ελλάδος ως αποτέλεσμα της κτήσης τους μέσω του εν λόγω προγράμματος.</w:t>
      </w:r>
    </w:p>
    <w:p w:rsidR="00AF5291" w:rsidRPr="003E2D65" w:rsidRDefault="00AF5291" w:rsidP="00AF5291">
      <w:pPr>
        <w:jc w:val="both"/>
        <w:rPr>
          <w:color w:val="000000"/>
          <w:sz w:val="22"/>
        </w:rPr>
      </w:pPr>
      <w:r w:rsidRPr="003E2D65">
        <w:rPr>
          <w:color w:val="000000"/>
          <w:sz w:val="22"/>
        </w:rPr>
        <w:t xml:space="preserve">   </w:t>
      </w:r>
    </w:p>
    <w:p w:rsidR="00AF5291" w:rsidRPr="003E2D65" w:rsidRDefault="00AF5291" w:rsidP="00AF5291">
      <w:pPr>
        <w:jc w:val="both"/>
        <w:rPr>
          <w:color w:val="000000"/>
          <w:sz w:val="22"/>
        </w:rPr>
      </w:pPr>
      <w:r w:rsidRPr="003E2D65">
        <w:rPr>
          <w:color w:val="000000"/>
          <w:sz w:val="22"/>
        </w:rPr>
        <w:lastRenderedPageBreak/>
        <w:t>Όσον αφορά την τραπεζική χρηματοδότηση του ιδιωτικού μη χρηματοπιστωτικού τομέα της οικον</w:t>
      </w:r>
      <w:r w:rsidRPr="003E2D65">
        <w:rPr>
          <w:color w:val="000000"/>
          <w:sz w:val="22"/>
        </w:rPr>
        <w:t>ο</w:t>
      </w:r>
      <w:r w:rsidRPr="003E2D65">
        <w:rPr>
          <w:color w:val="000000"/>
          <w:sz w:val="22"/>
        </w:rPr>
        <w:t xml:space="preserve">μίας, οι μεν πιστώσεις προς τα νοικοκυριά συνέχισαν να μειώνονται, η δε χρηματοδότηση προς τις </w:t>
      </w:r>
      <w:r w:rsidRPr="003E2D65">
        <w:rPr>
          <w:color w:val="000000"/>
          <w:sz w:val="22"/>
        </w:rPr>
        <w:t>ε</w:t>
      </w:r>
      <w:r w:rsidRPr="003E2D65">
        <w:rPr>
          <w:color w:val="000000"/>
          <w:sz w:val="22"/>
        </w:rPr>
        <w:t>πιχειρήσεις αυξήθηκε περαιτέρω. Ο ετήσιος ρυθμός μείωσης των τραπεζικών δανείων προς τα νοικ</w:t>
      </w:r>
      <w:r w:rsidRPr="003E2D65">
        <w:rPr>
          <w:color w:val="000000"/>
          <w:sz w:val="22"/>
        </w:rPr>
        <w:t>ο</w:t>
      </w:r>
      <w:r w:rsidRPr="003E2D65">
        <w:rPr>
          <w:color w:val="000000"/>
          <w:sz w:val="22"/>
        </w:rPr>
        <w:t xml:space="preserve">κυριά έγινε εντονότερος τους πρώτους εννέα μήνες του 2020 και διαμορφώθηκε κατά μέσο όρο σε -2,8% έναντι -2,6% το 2019 (Σεπτέμβριος 2020: -2,5%, Δεκέμβριος 2019: -2,9%). Αντίθετα, ο ετήσιος ρυθμός πιστωτικής επέκτασης εκ μέρους των τραπεζών προς τις μη χρηματοπιστωτικές επιχειρήσεις, αφού σημείωσε επιτάχυνση κατά το μεγαλύτερο μέρος του 2019, μετά το Μάρτιο του 2020 ξεκίνησε εκ νέου να αυξάνεται αδιαλείπτως και το Σεπτέμβριο του 2020 ανήλθε σε 8,3%, την υψηλότερη τιμή που έχει λάβει μετά τον Ιούλιο του 2009 (Δεκέμβριος 2019: 1,7%). Το εννεάμηνο Ιανουαρίου-Σεπτεμβρίου του 2020 ο εν λόγω ρυθμός (4,5%) ήταν κατά μέσο όρο υψηλότερος έναντι του 2019 (2,2%). </w:t>
      </w:r>
    </w:p>
    <w:p w:rsidR="00AF5291" w:rsidRPr="003E2D65" w:rsidRDefault="00AF5291" w:rsidP="00AF5291">
      <w:pPr>
        <w:jc w:val="both"/>
        <w:rPr>
          <w:color w:val="000000"/>
          <w:sz w:val="22"/>
        </w:rPr>
      </w:pPr>
    </w:p>
    <w:p w:rsidR="00AF5291" w:rsidRPr="003E2D65" w:rsidRDefault="00AF5291" w:rsidP="00AF5291">
      <w:pPr>
        <w:jc w:val="both"/>
        <w:rPr>
          <w:color w:val="000000"/>
          <w:sz w:val="22"/>
        </w:rPr>
      </w:pPr>
      <w:r w:rsidRPr="003E2D65">
        <w:rPr>
          <w:color w:val="000000"/>
          <w:sz w:val="22"/>
        </w:rPr>
        <w:t xml:space="preserve">Η ενδυνάμωση της πιστωτικής επέκτασης εκ μέρους των τραπεζών προς τις επιχειρήσεις το 2020, </w:t>
      </w:r>
      <w:r w:rsidRPr="003E2D65">
        <w:rPr>
          <w:color w:val="000000"/>
          <w:sz w:val="22"/>
        </w:rPr>
        <w:t>ι</w:t>
      </w:r>
      <w:r w:rsidRPr="003E2D65">
        <w:rPr>
          <w:color w:val="000000"/>
          <w:sz w:val="22"/>
        </w:rPr>
        <w:t>διαίτερα μετά το Μάρτιο κατά τον οποίο ξεκίνησαν οι επιδράσεις από την πανδημία, αντανακλά την ενίσχυση της ζήτησης</w:t>
      </w:r>
      <w:r w:rsidR="00852E98">
        <w:rPr>
          <w:color w:val="000000"/>
          <w:sz w:val="22"/>
        </w:rPr>
        <w:t>,</w:t>
      </w:r>
      <w:r w:rsidRPr="003E2D65">
        <w:rPr>
          <w:color w:val="000000"/>
          <w:sz w:val="22"/>
        </w:rPr>
        <w:t xml:space="preserve"> καθώς και της προσφοράς τραπεζικών δανείων. Όσον αφορά τη ζήτηση για νέα δάνεια, οι πιέσεις στη ρευστότητα των επιχειρήσεων μετά την έναρξη της πανδημίας και η δι</w:t>
      </w:r>
      <w:r w:rsidRPr="003E2D65">
        <w:rPr>
          <w:color w:val="000000"/>
          <w:sz w:val="22"/>
        </w:rPr>
        <w:t>α</w:t>
      </w:r>
      <w:r w:rsidRPr="003E2D65">
        <w:rPr>
          <w:color w:val="000000"/>
          <w:sz w:val="22"/>
        </w:rPr>
        <w:t xml:space="preserve">μόρφωση των επιτοκίων των επιχειρηματικών δανείων σε χαμηλό μέσο επίπεδο κατά το 2020 είχαν αυξητική επίδραση, η οποία υπεραντιστάθμισε τις επιπτώσεις από τον περιορισμό της οικονομικής δραστηριότητας κατά το α΄ και β΄ τρίμηνο του έτους. Εν όψει της αυξημένης αβεβαιότητας λόγω της πανδημίας, οι επιχειρήσεις αντιμετώπισαν τις πιέσεις αυτές με άντληση τραπεζικών δανειακών πόρων και από υφιστάμενες πιστωτικές γραμμές, εκτός από την υποβολή αιτημάτων για την ένταξή τους στα κυβερνητικά προγράμματα στήριξης για την αντιμετώπιση των οικονομικών συνεπειών της πανδημίας </w:t>
      </w:r>
      <w:r w:rsidR="00852E98">
        <w:rPr>
          <w:color w:val="000000"/>
          <w:sz w:val="22"/>
          <w:lang w:val="en-US"/>
        </w:rPr>
        <w:t>C</w:t>
      </w:r>
      <w:r w:rsidRPr="003E2D65">
        <w:rPr>
          <w:color w:val="000000"/>
          <w:sz w:val="22"/>
          <w:lang w:val="en-GB"/>
        </w:rPr>
        <w:t>ovid</w:t>
      </w:r>
      <w:r w:rsidRPr="003E2D65">
        <w:rPr>
          <w:color w:val="000000"/>
          <w:sz w:val="22"/>
        </w:rPr>
        <w:t xml:space="preserve">-19. </w:t>
      </w:r>
    </w:p>
    <w:p w:rsidR="00AF5291" w:rsidRPr="003E2D65" w:rsidRDefault="00AF5291" w:rsidP="00AF5291">
      <w:pPr>
        <w:jc w:val="both"/>
        <w:rPr>
          <w:color w:val="000000"/>
          <w:sz w:val="22"/>
        </w:rPr>
      </w:pPr>
    </w:p>
    <w:p w:rsidR="00AF5291" w:rsidRPr="003E2D65" w:rsidRDefault="00AF5291" w:rsidP="00AF5291">
      <w:pPr>
        <w:jc w:val="both"/>
        <w:rPr>
          <w:color w:val="000000"/>
          <w:sz w:val="22"/>
        </w:rPr>
      </w:pPr>
      <w:r w:rsidRPr="003E2D65">
        <w:rPr>
          <w:color w:val="000000"/>
          <w:sz w:val="22"/>
        </w:rPr>
        <w:t>Από την πλευρά της προσφοράς, οι συνθήκες ρευστότητας του τραπεζικού συστήματος βελτιώθηκαν το 2020, μέσω της στήριξης από τα μέτρα νομισματικής πολιτικής του Ευρωσυστήματος, από τα επ</w:t>
      </w:r>
      <w:r w:rsidRPr="003E2D65">
        <w:rPr>
          <w:color w:val="000000"/>
          <w:sz w:val="22"/>
        </w:rPr>
        <w:t>ο</w:t>
      </w:r>
      <w:r w:rsidRPr="003E2D65">
        <w:rPr>
          <w:color w:val="000000"/>
          <w:sz w:val="22"/>
        </w:rPr>
        <w:t>πτικά μέτρα του Ενιαίου Εποπτικού Μηχανισμού (</w:t>
      </w:r>
      <w:r w:rsidRPr="003E2D65">
        <w:rPr>
          <w:color w:val="000000"/>
          <w:sz w:val="22"/>
          <w:lang w:val="en-GB"/>
        </w:rPr>
        <w:t>SSM</w:t>
      </w:r>
      <w:r w:rsidRPr="003E2D65">
        <w:rPr>
          <w:color w:val="000000"/>
          <w:sz w:val="22"/>
        </w:rPr>
        <w:t>) και από τα δημοσιονομικά μέτρα ενίσχυσης των επιχειρήσεων (και των νοικοκυριών) που έλαβε η κυβέρνηση. Επίσης, η παροχή τραπεζικών π</w:t>
      </w:r>
      <w:r w:rsidRPr="003E2D65">
        <w:rPr>
          <w:color w:val="000000"/>
          <w:sz w:val="22"/>
        </w:rPr>
        <w:t>ι</w:t>
      </w:r>
      <w:r w:rsidRPr="003E2D65">
        <w:rPr>
          <w:color w:val="000000"/>
          <w:sz w:val="22"/>
        </w:rPr>
        <w:t>στώσεων προς τις επιχειρήσεις ενισχύθηκε ιδιαιτέρως, ειδικά μετά τον Ιούνιο του 2020, από τα πρ</w:t>
      </w:r>
      <w:r w:rsidRPr="003E2D65">
        <w:rPr>
          <w:color w:val="000000"/>
          <w:sz w:val="22"/>
        </w:rPr>
        <w:t>ο</w:t>
      </w:r>
      <w:r w:rsidRPr="003E2D65">
        <w:rPr>
          <w:color w:val="000000"/>
          <w:sz w:val="22"/>
        </w:rPr>
        <w:t>γράμματα χρηματοδότησης μέσω της Αναπτυξιακής Τράπεζας με εγγυήσεις (από το «Ταμείο Εγγυ</w:t>
      </w:r>
      <w:r w:rsidRPr="003E2D65">
        <w:rPr>
          <w:color w:val="000000"/>
          <w:sz w:val="22"/>
        </w:rPr>
        <w:t>ο</w:t>
      </w:r>
      <w:r w:rsidRPr="003E2D65">
        <w:rPr>
          <w:color w:val="000000"/>
          <w:sz w:val="22"/>
        </w:rPr>
        <w:t xml:space="preserve">δοσίας Επιχειρήσεων </w:t>
      </w:r>
      <w:r w:rsidR="00852E98">
        <w:rPr>
          <w:color w:val="000000"/>
          <w:sz w:val="22"/>
          <w:lang w:val="en-US"/>
        </w:rPr>
        <w:t>Covid</w:t>
      </w:r>
      <w:r w:rsidRPr="003E2D65">
        <w:rPr>
          <w:color w:val="000000"/>
          <w:sz w:val="22"/>
        </w:rPr>
        <w:t>-19»)</w:t>
      </w:r>
      <w:r w:rsidR="004461A4">
        <w:rPr>
          <w:color w:val="000000"/>
          <w:sz w:val="22"/>
        </w:rPr>
        <w:t xml:space="preserve"> και </w:t>
      </w:r>
      <w:r w:rsidR="004461A4" w:rsidRPr="004461A4">
        <w:rPr>
          <w:color w:val="000000"/>
          <w:sz w:val="22"/>
        </w:rPr>
        <w:t>παροχής δανείων κεφαλαίου κίνησης με διετή επιδότηση επιτ</w:t>
      </w:r>
      <w:r w:rsidR="004461A4" w:rsidRPr="004461A4">
        <w:rPr>
          <w:color w:val="000000"/>
          <w:sz w:val="22"/>
        </w:rPr>
        <w:t>ο</w:t>
      </w:r>
      <w:r w:rsidR="004461A4" w:rsidRPr="004461A4">
        <w:rPr>
          <w:color w:val="000000"/>
          <w:sz w:val="22"/>
        </w:rPr>
        <w:t>κίου λόγω πανδημίας από το ΤΕΠΙΧ ΙΙ</w:t>
      </w:r>
      <w:r w:rsidRPr="003E2D65">
        <w:rPr>
          <w:color w:val="000000"/>
          <w:sz w:val="22"/>
        </w:rPr>
        <w:t>. Ωστόσο, σημαντικό περιοριστικό παράγοντα για την προσφ</w:t>
      </w:r>
      <w:r w:rsidRPr="003E2D65">
        <w:rPr>
          <w:color w:val="000000"/>
          <w:sz w:val="22"/>
        </w:rPr>
        <w:t>ο</w:t>
      </w:r>
      <w:r w:rsidRPr="003E2D65">
        <w:rPr>
          <w:color w:val="000000"/>
          <w:sz w:val="22"/>
        </w:rPr>
        <w:t>ρά πιστώσεων εκ μέρους των τραπεζών αποτελεί η προοπτική της δημιουργίας νέων μη εξυπηρετο</w:t>
      </w:r>
      <w:r w:rsidRPr="003E2D65">
        <w:rPr>
          <w:color w:val="000000"/>
          <w:sz w:val="22"/>
        </w:rPr>
        <w:t>ύ</w:t>
      </w:r>
      <w:r w:rsidRPr="003E2D65">
        <w:rPr>
          <w:color w:val="000000"/>
          <w:sz w:val="22"/>
        </w:rPr>
        <w:t>μενων δανείων λόγω της ύφεσης.</w:t>
      </w:r>
    </w:p>
    <w:p w:rsidR="00AF5291" w:rsidRPr="003E2D65" w:rsidRDefault="00AF5291" w:rsidP="00AF5291">
      <w:pPr>
        <w:jc w:val="both"/>
        <w:rPr>
          <w:color w:val="000000"/>
          <w:sz w:val="22"/>
        </w:rPr>
      </w:pPr>
    </w:p>
    <w:p w:rsidR="00AF5291" w:rsidRPr="003E2D65" w:rsidRDefault="00AF5291" w:rsidP="00AF5291">
      <w:pPr>
        <w:jc w:val="both"/>
        <w:rPr>
          <w:color w:val="000000"/>
          <w:sz w:val="22"/>
        </w:rPr>
      </w:pPr>
      <w:r w:rsidRPr="003E2D65">
        <w:rPr>
          <w:color w:val="000000"/>
          <w:sz w:val="22"/>
        </w:rPr>
        <w:t>Η περαιτέρω συρρίκνωση του υπολοίπου της τραπεζικής χρηματοδότησης προς τα νοικοκυριά, κατά την υπό εξέταση περίοδο, συνδέεται με την επιδείνωση της χρηματοοικονομικής τους κατάστασης και τις εκτιμήσεις για άνοδο της ανεργίας, την περιστολή των καταναλωτικών δαπανών και την άνοδο της οικονομικής αβεβαιότητας. Οι παράγοντες αυτοί συνέβαλαν αρνητικά στη ζήτηση και την προσφορά δανείων. Εξάλλου, τα δάνεια προς τα νοικοκυριά συνεχίζουν να εμφανίζουν (συγκριτικά με τις επιχε</w:t>
      </w:r>
      <w:r w:rsidRPr="003E2D65">
        <w:rPr>
          <w:color w:val="000000"/>
          <w:sz w:val="22"/>
        </w:rPr>
        <w:t>ι</w:t>
      </w:r>
      <w:r w:rsidRPr="003E2D65">
        <w:rPr>
          <w:color w:val="000000"/>
          <w:sz w:val="22"/>
        </w:rPr>
        <w:t xml:space="preserve">ρήσεις) υψηλότερους δείκτες μη εξυπηρετούμενων δανείων περιορίζοντας τη διάθεση των τραπεζών να διοχετεύσουν νέες πιστώσεις. Επίσης, όσον αφορά τα στεγαστικά δάνεια, οι αβέβαιες εκτιμήσεις για την εξέλιξη των τιμών στην αγορά των κατοικιών επέδρασαν ανασταλτικά στη ζήτηση. </w:t>
      </w:r>
    </w:p>
    <w:p w:rsidR="00AF5291" w:rsidRPr="003E2D65" w:rsidRDefault="00AF5291" w:rsidP="00AF5291">
      <w:pPr>
        <w:jc w:val="both"/>
        <w:rPr>
          <w:color w:val="000000"/>
          <w:sz w:val="22"/>
        </w:rPr>
      </w:pPr>
    </w:p>
    <w:p w:rsidR="00AF5291" w:rsidRPr="003E2D65" w:rsidRDefault="00AF5291" w:rsidP="00AF5291">
      <w:pPr>
        <w:jc w:val="both"/>
        <w:rPr>
          <w:color w:val="000000"/>
          <w:sz w:val="22"/>
        </w:rPr>
      </w:pPr>
      <w:r w:rsidRPr="003E2D65">
        <w:rPr>
          <w:color w:val="000000"/>
          <w:sz w:val="22"/>
        </w:rPr>
        <w:t>Η επί μακρόν εξαιρετικά διευκολυντική κατεύθυνση της ενιαίας νομισματικής πολιτικής στη ζώνη του ευρώ και η ενίσχυση των καταθέσεων, ως πηγής άντλησης ρευστότητας εκ μέρους των πιστωτικών ιδρυμάτων, συνέβαλαν στο να διαμορφωθούν τα επιτόκια των τραπεζικών καταθέσεων στην Ελλάδα την εξεταζόμενη περίοδο σε ιστορικά ελάχιστες τιμές. Το επιτόκιο των καταθέσεων προθεσμίας, π</w:t>
      </w:r>
      <w:r w:rsidRPr="003E2D65">
        <w:rPr>
          <w:color w:val="000000"/>
          <w:sz w:val="22"/>
        </w:rPr>
        <w:t>ε</w:t>
      </w:r>
      <w:r w:rsidRPr="003E2D65">
        <w:rPr>
          <w:color w:val="000000"/>
          <w:sz w:val="22"/>
        </w:rPr>
        <w:t xml:space="preserve">ριλαμβανομένων των καταθέσεων των νοικοκυριών και των μη χρηματοπιστωτικών επιχειρήσεων, διαμορφώθηκε κατά μέσο όρο τους πρώτους εννέα μήνες του τρέχοντος έτους σε 0,27%, δηλαδή κατά 32 μονάδες βάσης χαμηλότερα έναντι του μέσου επιτοκίου της ίδιας περιόδου του 2019. </w:t>
      </w:r>
    </w:p>
    <w:p w:rsidR="00AF5291" w:rsidRPr="003E2D65" w:rsidRDefault="00AF5291" w:rsidP="00AF5291">
      <w:pPr>
        <w:jc w:val="both"/>
        <w:rPr>
          <w:color w:val="000000"/>
          <w:sz w:val="22"/>
        </w:rPr>
      </w:pPr>
    </w:p>
    <w:p w:rsidR="00AF5291" w:rsidRPr="003E2D65" w:rsidRDefault="00AF5291" w:rsidP="00AF5291">
      <w:pPr>
        <w:jc w:val="both"/>
        <w:rPr>
          <w:color w:val="000000"/>
          <w:sz w:val="22"/>
        </w:rPr>
      </w:pPr>
      <w:r w:rsidRPr="003E2D65">
        <w:rPr>
          <w:color w:val="000000"/>
          <w:sz w:val="22"/>
        </w:rPr>
        <w:t>Το κόστος τραπεζικής χρηματοδότησης για τις μη χρηματοπιστωτικές επιχειρήσεις διαμορφώθηκε κ</w:t>
      </w:r>
      <w:r w:rsidRPr="003E2D65">
        <w:rPr>
          <w:color w:val="000000"/>
          <w:sz w:val="22"/>
        </w:rPr>
        <w:t>α</w:t>
      </w:r>
      <w:r w:rsidRPr="003E2D65">
        <w:rPr>
          <w:color w:val="000000"/>
          <w:sz w:val="22"/>
        </w:rPr>
        <w:t>τά μέσο όρο το 2020 σε χαμηλότερο επίπεδο έναντι του προηγούμενου έτους και, παρά τις αυξήσεις που παρατηρήθηκαν από το</w:t>
      </w:r>
      <w:r w:rsidR="00852E98">
        <w:rPr>
          <w:color w:val="000000"/>
          <w:sz w:val="22"/>
        </w:rPr>
        <w:t>ν</w:t>
      </w:r>
      <w:r w:rsidRPr="003E2D65">
        <w:rPr>
          <w:color w:val="000000"/>
          <w:sz w:val="22"/>
        </w:rPr>
        <w:t xml:space="preserve"> Μάιο και εξής, συνεχίζει να κυμαίνεται σε ιστορικά χαμηλές τιμές, δι</w:t>
      </w:r>
      <w:r w:rsidRPr="003E2D65">
        <w:rPr>
          <w:color w:val="000000"/>
          <w:sz w:val="22"/>
        </w:rPr>
        <w:t>α</w:t>
      </w:r>
      <w:r w:rsidRPr="003E2D65">
        <w:rPr>
          <w:color w:val="000000"/>
          <w:sz w:val="22"/>
        </w:rPr>
        <w:lastRenderedPageBreak/>
        <w:t>σφαλίζοντας μέχρι στιγμής υποστηρικτικές συνθήκες χρηματοδότησης για τις επιχειρήσεις. Ειδικότ</w:t>
      </w:r>
      <w:r w:rsidRPr="003E2D65">
        <w:rPr>
          <w:color w:val="000000"/>
          <w:sz w:val="22"/>
        </w:rPr>
        <w:t>ε</w:t>
      </w:r>
      <w:r w:rsidRPr="003E2D65">
        <w:rPr>
          <w:color w:val="000000"/>
          <w:sz w:val="22"/>
        </w:rPr>
        <w:t>ρα, το μεσοσταθμικό επιτόκιο των δανείων προς τις μη χρηματοπιστωτικές επιχειρήσεις διαμορφώθ</w:t>
      </w:r>
      <w:r w:rsidRPr="003E2D65">
        <w:rPr>
          <w:color w:val="000000"/>
          <w:sz w:val="22"/>
        </w:rPr>
        <w:t>η</w:t>
      </w:r>
      <w:r w:rsidRPr="003E2D65">
        <w:rPr>
          <w:color w:val="000000"/>
          <w:sz w:val="22"/>
        </w:rPr>
        <w:t>κε σε 3,22%, κατά μέσο όρο, τους πρώτους εννέα μήνες του 2020 (</w:t>
      </w:r>
      <w:r w:rsidR="00852E98">
        <w:rPr>
          <w:color w:val="000000"/>
          <w:sz w:val="22"/>
        </w:rPr>
        <w:t xml:space="preserve">κατά </w:t>
      </w:r>
      <w:r w:rsidRPr="003E2D65">
        <w:rPr>
          <w:color w:val="000000"/>
          <w:sz w:val="22"/>
        </w:rPr>
        <w:t>77 μονάδες βάσης χαμηλότ</w:t>
      </w:r>
      <w:r w:rsidRPr="003E2D65">
        <w:rPr>
          <w:color w:val="000000"/>
          <w:sz w:val="22"/>
        </w:rPr>
        <w:t>ε</w:t>
      </w:r>
      <w:r w:rsidRPr="003E2D65">
        <w:rPr>
          <w:color w:val="000000"/>
          <w:sz w:val="22"/>
        </w:rPr>
        <w:t>ρα έναντι του μέσου επιτοκίου της ίδιας περιόδου του 2019). Στην ελάφρυνση του κόστους τραπεζ</w:t>
      </w:r>
      <w:r w:rsidRPr="003E2D65">
        <w:rPr>
          <w:color w:val="000000"/>
          <w:sz w:val="22"/>
        </w:rPr>
        <w:t>ι</w:t>
      </w:r>
      <w:r w:rsidRPr="003E2D65">
        <w:rPr>
          <w:color w:val="000000"/>
          <w:sz w:val="22"/>
        </w:rPr>
        <w:t xml:space="preserve">κής χρηματοδότησης των επιχειρήσεων συνέβαλε σε σημαντικό βαθμό η διάθεση χρηματοδοτικών εργαλείων αναπτυξιακών φορέων, με σκοπό την ενίσχυση της ρευστότητας των επιχειρήσεων που </w:t>
      </w:r>
      <w:r w:rsidRPr="003E2D65">
        <w:rPr>
          <w:color w:val="000000"/>
          <w:sz w:val="22"/>
        </w:rPr>
        <w:t>ε</w:t>
      </w:r>
      <w:r w:rsidRPr="003E2D65">
        <w:rPr>
          <w:color w:val="000000"/>
          <w:sz w:val="22"/>
        </w:rPr>
        <w:t>πλήγησαν από την πανδημία.</w:t>
      </w:r>
    </w:p>
    <w:p w:rsidR="00AF5291" w:rsidRPr="003E2D65" w:rsidRDefault="00AF5291" w:rsidP="00AF5291">
      <w:pPr>
        <w:jc w:val="both"/>
        <w:rPr>
          <w:color w:val="000000"/>
          <w:sz w:val="22"/>
        </w:rPr>
      </w:pPr>
    </w:p>
    <w:p w:rsidR="00AF5291" w:rsidRPr="003E2D65" w:rsidRDefault="00AF5291" w:rsidP="00AF5291">
      <w:pPr>
        <w:jc w:val="both"/>
        <w:rPr>
          <w:color w:val="000000"/>
          <w:sz w:val="22"/>
        </w:rPr>
      </w:pPr>
      <w:r w:rsidRPr="003E2D65">
        <w:rPr>
          <w:color w:val="000000"/>
          <w:sz w:val="22"/>
        </w:rPr>
        <w:t>Όμοια με τις επιχειρήσεις, το κόστος τραπεζικού δανεισμού προς τα νοικοκυριά διαμορφώθηκε κατά μέσο όρο το 2020 σε χαμηλότερο επίπεδο έναντι του προηγούμενου έτους, μολονότι η πτωτική τάση που ακολουθούσε ανεκόπη από το</w:t>
      </w:r>
      <w:r w:rsidR="00852E98">
        <w:rPr>
          <w:color w:val="000000"/>
          <w:sz w:val="22"/>
        </w:rPr>
        <w:t>ν</w:t>
      </w:r>
      <w:r w:rsidRPr="003E2D65">
        <w:rPr>
          <w:color w:val="000000"/>
          <w:sz w:val="22"/>
        </w:rPr>
        <w:t xml:space="preserve"> Μάιο και μετά. Το μεσοσταθμικό επιτόκιο των δανείων προς τα νοικοκυριά διαμορφώθηκε σε 4,89% κατά μέσο όρο την περίοδο Ιανουαρίου – Σεπτεμβρίου του 2020 (</w:t>
      </w:r>
      <w:r w:rsidR="00852E98">
        <w:rPr>
          <w:color w:val="000000"/>
          <w:sz w:val="22"/>
        </w:rPr>
        <w:t xml:space="preserve">κατά </w:t>
      </w:r>
      <w:r w:rsidRPr="003E2D65">
        <w:rPr>
          <w:color w:val="000000"/>
          <w:sz w:val="22"/>
        </w:rPr>
        <w:t xml:space="preserve">26 μονάδες βάσης χαμηλότερα από το αντίστοιχο μέσο επιτόκιο της ίδιας περιόδου ένα έτος νωρίτερα). </w:t>
      </w:r>
    </w:p>
    <w:p w:rsidR="00AF5291" w:rsidRPr="003E2D65" w:rsidRDefault="00AF5291" w:rsidP="00AF5291">
      <w:pPr>
        <w:jc w:val="both"/>
        <w:rPr>
          <w:color w:val="000000"/>
          <w:sz w:val="22"/>
        </w:rPr>
      </w:pPr>
      <w:r w:rsidRPr="003E2D65">
        <w:rPr>
          <w:color w:val="000000"/>
          <w:sz w:val="22"/>
        </w:rPr>
        <w:t xml:space="preserve"> </w:t>
      </w:r>
    </w:p>
    <w:p w:rsidR="00AF5291" w:rsidRPr="003E2D65" w:rsidRDefault="00AF5291" w:rsidP="00AF5291">
      <w:pPr>
        <w:jc w:val="both"/>
        <w:rPr>
          <w:color w:val="000000"/>
          <w:sz w:val="22"/>
        </w:rPr>
      </w:pPr>
      <w:r w:rsidRPr="003E2D65">
        <w:rPr>
          <w:color w:val="000000"/>
          <w:sz w:val="22"/>
        </w:rPr>
        <w:t>Σε πραγματικούς όρους, τα επιτόκια των τραπεζικών δανείων ενισχύθηκαν το 2020 κυρίως λόγω των αποπληθωριστικών πιέσεων που ασκήθηκαν μετά το α΄ τρίμηνο του έτους. Το πραγματικό επιτόκιο</w:t>
      </w:r>
      <w:r w:rsidRPr="003E2D65">
        <w:rPr>
          <w:color w:val="000000"/>
          <w:sz w:val="22"/>
          <w:vertAlign w:val="superscript"/>
        </w:rPr>
        <w:footnoteReference w:id="25"/>
      </w:r>
      <w:r w:rsidRPr="003E2D65">
        <w:rPr>
          <w:color w:val="000000"/>
          <w:sz w:val="22"/>
        </w:rPr>
        <w:t xml:space="preserve"> των δανείων προς τις μη χρηματοπιστωτικές επιχειρήσεις και τα νοικοκυριά διαμορφώθηκε αντίστο</w:t>
      </w:r>
      <w:r w:rsidRPr="003E2D65">
        <w:rPr>
          <w:color w:val="000000"/>
          <w:sz w:val="22"/>
        </w:rPr>
        <w:t>ι</w:t>
      </w:r>
      <w:r w:rsidRPr="003E2D65">
        <w:rPr>
          <w:color w:val="000000"/>
          <w:sz w:val="22"/>
        </w:rPr>
        <w:t>χα σε 4,16% και 5,84%, κατά μέσο όρο, την περίοδο Ιανουαρίου – Σεπτεμβρίου του 2020 (υψηλότερα κατά 72 και 124 μονάδες βάσης αντίστοιχα</w:t>
      </w:r>
      <w:r w:rsidR="00852E98">
        <w:rPr>
          <w:color w:val="000000"/>
          <w:sz w:val="22"/>
        </w:rPr>
        <w:t>,</w:t>
      </w:r>
      <w:r w:rsidRPr="003E2D65">
        <w:rPr>
          <w:color w:val="000000"/>
          <w:sz w:val="22"/>
        </w:rPr>
        <w:t xml:space="preserve"> έναντι των αντίστοιχων μέσων όρων της ίδιας περιόδου του 2019). </w:t>
      </w:r>
    </w:p>
    <w:p w:rsidR="00AF5291" w:rsidRDefault="00AF5291" w:rsidP="00AF5291">
      <w:pPr>
        <w:jc w:val="both"/>
        <w:rPr>
          <w:color w:val="000000"/>
          <w:sz w:val="22"/>
        </w:rPr>
      </w:pPr>
    </w:p>
    <w:p w:rsidR="00AF5291" w:rsidRPr="003E2D65" w:rsidRDefault="00AF5291" w:rsidP="00AF5291">
      <w:pPr>
        <w:tabs>
          <w:tab w:val="left" w:pos="851"/>
        </w:tabs>
        <w:jc w:val="both"/>
        <w:rPr>
          <w:rFonts w:ascii="Arial Narrow" w:hAnsi="Arial Narrow"/>
          <w:b/>
          <w:bCs/>
          <w:i/>
          <w:sz w:val="22"/>
        </w:rPr>
      </w:pPr>
      <w:r w:rsidRPr="003E2D65">
        <w:rPr>
          <w:rFonts w:ascii="Arial Narrow" w:hAnsi="Arial Narrow"/>
          <w:b/>
          <w:bCs/>
          <w:i/>
          <w:sz w:val="22"/>
        </w:rPr>
        <w:t>Ισοζύγιο τρεχουσών συναλλαγών</w:t>
      </w:r>
    </w:p>
    <w:p w:rsidR="00AF5291" w:rsidRPr="003E2D65" w:rsidRDefault="00AF5291" w:rsidP="00AF5291">
      <w:pPr>
        <w:tabs>
          <w:tab w:val="left" w:pos="851"/>
        </w:tabs>
        <w:jc w:val="both"/>
        <w:rPr>
          <w:rFonts w:ascii="Arial Narrow" w:hAnsi="Arial Narrow"/>
          <w:b/>
          <w:bCs/>
          <w:i/>
          <w:sz w:val="20"/>
          <w:szCs w:val="22"/>
        </w:rPr>
      </w:pPr>
      <w:r w:rsidRPr="003E2D65">
        <w:rPr>
          <w:rFonts w:ascii="Arial Narrow" w:hAnsi="Arial Narrow"/>
          <w:b/>
          <w:bCs/>
          <w:i/>
          <w:sz w:val="20"/>
          <w:szCs w:val="22"/>
        </w:rPr>
        <w:t xml:space="preserve"> </w:t>
      </w:r>
    </w:p>
    <w:p w:rsidR="00852E98" w:rsidRDefault="00AF5291" w:rsidP="00AF5291">
      <w:pPr>
        <w:tabs>
          <w:tab w:val="left" w:pos="851"/>
        </w:tabs>
        <w:jc w:val="both"/>
        <w:rPr>
          <w:bCs/>
          <w:sz w:val="22"/>
        </w:rPr>
      </w:pPr>
      <w:r w:rsidRPr="003E2D65">
        <w:rPr>
          <w:bCs/>
          <w:sz w:val="22"/>
        </w:rPr>
        <w:t>Το ισοζύγιο τρεχουσών συναλλαγών, την περίοδο Ιανουαρίου – Σεπτεμβρίου 2020, κατέγραψε έ</w:t>
      </w:r>
      <w:r w:rsidRPr="003E2D65">
        <w:rPr>
          <w:bCs/>
          <w:sz w:val="22"/>
        </w:rPr>
        <w:t>λ</w:t>
      </w:r>
      <w:r w:rsidRPr="003E2D65">
        <w:rPr>
          <w:bCs/>
          <w:sz w:val="22"/>
        </w:rPr>
        <w:t>λειμμα 8,6 δισ. ευρώ, αυξημένο κατά 8,5 δισ. ευρώ σε σχέση με εκείνο της ίδιας περιόδου του 2019.</w:t>
      </w:r>
    </w:p>
    <w:p w:rsidR="00852E98" w:rsidRDefault="00852E98" w:rsidP="00AF5291">
      <w:pPr>
        <w:tabs>
          <w:tab w:val="left" w:pos="851"/>
        </w:tabs>
        <w:jc w:val="both"/>
        <w:rPr>
          <w:bCs/>
          <w:sz w:val="22"/>
        </w:rPr>
      </w:pPr>
    </w:p>
    <w:p w:rsidR="00AF5291" w:rsidRPr="003E2D65" w:rsidRDefault="00AF5291" w:rsidP="00AF5291">
      <w:pPr>
        <w:tabs>
          <w:tab w:val="left" w:pos="851"/>
        </w:tabs>
        <w:jc w:val="both"/>
        <w:rPr>
          <w:bCs/>
          <w:sz w:val="22"/>
        </w:rPr>
      </w:pPr>
      <w:r w:rsidRPr="003E2D65">
        <w:rPr>
          <w:bCs/>
          <w:sz w:val="22"/>
        </w:rPr>
        <w:t>Η εξέλιξη αυτή οφείλεται στη μεγάλη μείωση του πλεονάσματος του ισοζυγίου των υπηρεσιών, ως αποτέλεσμα κυρίως της δραματικής μείωσης των εισπράξεων από ταξιδιωτικές υπηρεσίες λόγω των περιοριστικών μέτρων για την αντιμετώπιση της πανδημίας, τα οποία επηρέασαν αρνητικά και τις μ</w:t>
      </w:r>
      <w:r w:rsidRPr="003E2D65">
        <w:rPr>
          <w:bCs/>
          <w:sz w:val="22"/>
        </w:rPr>
        <w:t>ε</w:t>
      </w:r>
      <w:r w:rsidRPr="003E2D65">
        <w:rPr>
          <w:bCs/>
          <w:sz w:val="22"/>
        </w:rPr>
        <w:t>ταφορές (θαλάσσιες και αεροπορικές). Ο περιορισμός του ελλείμματος του ισοζυγίου αγαθών αντ</w:t>
      </w:r>
      <w:r w:rsidRPr="003E2D65">
        <w:rPr>
          <w:bCs/>
          <w:sz w:val="22"/>
        </w:rPr>
        <w:t>ι</w:t>
      </w:r>
      <w:r w:rsidRPr="003E2D65">
        <w:rPr>
          <w:bCs/>
          <w:sz w:val="22"/>
        </w:rPr>
        <w:t>στάθμισε μερικώς το αποτέλεσμα αυτό σε συνδυασμό με τη βελτίωση των ισοζυγίων πρωτογενών και δευτερογενών εισοδημάτων.</w:t>
      </w:r>
    </w:p>
    <w:p w:rsidR="00AF5291" w:rsidRPr="003E2D65" w:rsidRDefault="00AF5291" w:rsidP="00AF5291">
      <w:pPr>
        <w:tabs>
          <w:tab w:val="left" w:pos="851"/>
        </w:tabs>
        <w:jc w:val="both"/>
        <w:rPr>
          <w:bCs/>
          <w:sz w:val="22"/>
        </w:rPr>
      </w:pPr>
    </w:p>
    <w:p w:rsidR="00AF5291" w:rsidRPr="003E2D65" w:rsidRDefault="00AF5291" w:rsidP="00AF5291">
      <w:pPr>
        <w:tabs>
          <w:tab w:val="left" w:pos="851"/>
        </w:tabs>
        <w:jc w:val="both"/>
        <w:rPr>
          <w:bCs/>
          <w:sz w:val="22"/>
        </w:rPr>
      </w:pPr>
      <w:r w:rsidRPr="003E2D65">
        <w:rPr>
          <w:bCs/>
          <w:sz w:val="22"/>
        </w:rPr>
        <w:t>Το ισοζύγιο αγαθών εμφάνισε έλλειμμα κατά 3,3 δισ. ευρώ μικρότερο σε σχέση με εκείνο της ίδιας περιόδου του 2019 και διαμορφώθηκε σε 14,1 δισ. ευρώ. Η εξέλιξη αυτή ήταν αποτέλεσμα της μεί</w:t>
      </w:r>
      <w:r w:rsidRPr="003E2D65">
        <w:rPr>
          <w:bCs/>
          <w:sz w:val="22"/>
        </w:rPr>
        <w:t>ω</w:t>
      </w:r>
      <w:r w:rsidRPr="003E2D65">
        <w:rPr>
          <w:bCs/>
          <w:sz w:val="22"/>
        </w:rPr>
        <w:t>σης των εισαγωγών με ρυθμό ταχύτερο από εκείνον της μείωσης των εξαγωγών. Σε μεγάλο βαθμό, η μείωση τόσο των εξαγωγών όσο και των εισαγωγών οφείλεται στη μείωση των εξαγωγών και εισαγ</w:t>
      </w:r>
      <w:r w:rsidRPr="003E2D65">
        <w:rPr>
          <w:bCs/>
          <w:sz w:val="22"/>
        </w:rPr>
        <w:t>ω</w:t>
      </w:r>
      <w:r w:rsidRPr="003E2D65">
        <w:rPr>
          <w:bCs/>
          <w:sz w:val="22"/>
        </w:rPr>
        <w:t xml:space="preserve">γών καυσίμων που αντανακλά κυρίως την πτώση των τιμών του πετρελαίου. Μεταξύ των υπόλοιπων κλάδων εξαγομένων αγαθών, σημαντική θετική συμβολή είχαν οι κλάδοι των αγροτικών προϊόντων και τροφίμων και των φαρμακευτικών προϊόντων. Όσον αφορά τη γεωγραφική κατανομή, οι εξαγωγές προς την ΕΕ είχαν καλύτερη επίδοση. Γενικά οι εξαγωγές αγαθών έδειξαν αντοχή στην πτώση της εξωτερικής ζήτησης. </w:t>
      </w:r>
    </w:p>
    <w:p w:rsidR="00AF5291" w:rsidRPr="003E2D65" w:rsidRDefault="00AF5291" w:rsidP="00AF5291">
      <w:pPr>
        <w:tabs>
          <w:tab w:val="left" w:pos="851"/>
        </w:tabs>
        <w:jc w:val="both"/>
        <w:rPr>
          <w:bCs/>
          <w:sz w:val="22"/>
        </w:rPr>
      </w:pPr>
    </w:p>
    <w:p w:rsidR="00AF5291" w:rsidRPr="003E2D65" w:rsidRDefault="00AF5291" w:rsidP="00AF5291">
      <w:pPr>
        <w:tabs>
          <w:tab w:val="left" w:pos="851"/>
        </w:tabs>
        <w:jc w:val="both"/>
        <w:rPr>
          <w:bCs/>
          <w:sz w:val="22"/>
        </w:rPr>
      </w:pPr>
      <w:r w:rsidRPr="003E2D65">
        <w:rPr>
          <w:bCs/>
          <w:sz w:val="22"/>
        </w:rPr>
        <w:t>Η μείωση του πλεονάσματος του ισοζυγίου υπηρεσιών οφείλεται κυρίως στη μείωση των εισπράξεων από ταξιδιωτικές υπηρεσίες</w:t>
      </w:r>
      <w:r w:rsidR="00852E98">
        <w:rPr>
          <w:bCs/>
          <w:sz w:val="22"/>
        </w:rPr>
        <w:t>,</w:t>
      </w:r>
      <w:r w:rsidRPr="003E2D65">
        <w:rPr>
          <w:bCs/>
          <w:sz w:val="22"/>
        </w:rPr>
        <w:t xml:space="preserve"> η οποία δεν αντισταθμίστηκε από τον περιορισμό των αντίστοιχων πλ</w:t>
      </w:r>
      <w:r w:rsidRPr="003E2D65">
        <w:rPr>
          <w:bCs/>
          <w:sz w:val="22"/>
        </w:rPr>
        <w:t>η</w:t>
      </w:r>
      <w:r w:rsidRPr="003E2D65">
        <w:rPr>
          <w:bCs/>
          <w:sz w:val="22"/>
        </w:rPr>
        <w:t xml:space="preserve">ρωμών. Στο εννεάμηνο Ιανουαρίου – Σεπτεμβρίου 2020, η εισερχόμενη ταξιδιωτική κίνηση και οι σχετικές εισπράξεις ήταν μειωμένες κατά 77,2% και 78,2% αντίστοιχα. Το γ’ τρίμηνο του 2020, που αντιπροσωπεύει την αιχμή της τουριστικής περιόδου, οι ταξιδιωτικές εισπράξεις διαμορφώθηκαν στο 26% εκείνων της ίδιας περιόδου του 2019. Οι εισπράξεις από μεταφορές μειώθηκαν κατά 16,2%, </w:t>
      </w:r>
      <w:r w:rsidRPr="003E2D65">
        <w:rPr>
          <w:bCs/>
          <w:sz w:val="22"/>
        </w:rPr>
        <w:t>α</w:t>
      </w:r>
      <w:r w:rsidRPr="003E2D65">
        <w:rPr>
          <w:bCs/>
          <w:sz w:val="22"/>
        </w:rPr>
        <w:t>φού οι εισπράξεις τόσο από θαλάσσιες όσο και από αεροπορικές μεταφορές κατέγραψαν μείωση.</w:t>
      </w:r>
      <w:r w:rsidRPr="003E2D65">
        <w:rPr>
          <w:bCs/>
          <w:sz w:val="22"/>
          <w:vertAlign w:val="superscript"/>
        </w:rPr>
        <w:footnoteReference w:id="26"/>
      </w:r>
      <w:r w:rsidRPr="003E2D65">
        <w:rPr>
          <w:bCs/>
          <w:sz w:val="22"/>
        </w:rPr>
        <w:t xml:space="preserve"> </w:t>
      </w:r>
      <w:r w:rsidRPr="003E2D65">
        <w:rPr>
          <w:bCs/>
          <w:sz w:val="22"/>
        </w:rPr>
        <w:lastRenderedPageBreak/>
        <w:t>Συγκεκριμένα, οι εισπράξεις από θαλάσσ</w:t>
      </w:r>
      <w:r w:rsidR="00852E98">
        <w:rPr>
          <w:bCs/>
          <w:sz w:val="22"/>
        </w:rPr>
        <w:t>ιες μεταφορές μειώθηκαν κατά 10,</w:t>
      </w:r>
      <w:r w:rsidRPr="003E2D65">
        <w:rPr>
          <w:bCs/>
          <w:sz w:val="22"/>
        </w:rPr>
        <w:t>3% - αντανακλώντας τη μείωση του όγκου του παγκόσμιου εμπορίου και τον αρνητικό ρυθμό ανάπτυξης της παγκόσμιας ο</w:t>
      </w:r>
      <w:r w:rsidRPr="003E2D65">
        <w:rPr>
          <w:bCs/>
          <w:sz w:val="22"/>
        </w:rPr>
        <w:t>ι</w:t>
      </w:r>
      <w:r w:rsidRPr="003E2D65">
        <w:rPr>
          <w:bCs/>
          <w:sz w:val="22"/>
        </w:rPr>
        <w:t>κονομίας - καταγράφοντας όμως σχετική αντοχή συγκριτικά με τις εξελίξεις στις εισπράξεις άλλων υπηρεσιών.</w:t>
      </w:r>
    </w:p>
    <w:p w:rsidR="00AF5291" w:rsidRPr="003E2D65" w:rsidRDefault="00AF5291" w:rsidP="00AF5291">
      <w:pPr>
        <w:tabs>
          <w:tab w:val="left" w:pos="851"/>
        </w:tabs>
        <w:jc w:val="both"/>
        <w:rPr>
          <w:bCs/>
          <w:sz w:val="22"/>
        </w:rPr>
      </w:pPr>
    </w:p>
    <w:p w:rsidR="00AF5291" w:rsidRPr="003E2D65" w:rsidRDefault="00AF5291" w:rsidP="00AF5291">
      <w:pPr>
        <w:tabs>
          <w:tab w:val="left" w:pos="851"/>
        </w:tabs>
        <w:jc w:val="both"/>
        <w:rPr>
          <w:bCs/>
          <w:sz w:val="22"/>
        </w:rPr>
      </w:pPr>
      <w:r w:rsidRPr="003E2D65">
        <w:rPr>
          <w:bCs/>
          <w:sz w:val="22"/>
        </w:rPr>
        <w:t>Το έλλειμμα του ισοζυγίου πρωτογενών εισοδημάτων περιορίστηκε, ενώ το πλεόνασμα του ισοζυγίου δευτερογενών εισοδημάτων σημείωσε αύξηση, με σημαντική θετική συμβολή από την εκταμίευση από τον Ευρωπαϊκό Μηχανισμό Στήριξης (ESM) του ποσού των 644,4 εκατ. ευρώ</w:t>
      </w:r>
      <w:r w:rsidR="00852E98">
        <w:rPr>
          <w:bCs/>
          <w:sz w:val="22"/>
        </w:rPr>
        <w:t>,</w:t>
      </w:r>
      <w:r w:rsidRPr="003E2D65">
        <w:rPr>
          <w:bCs/>
          <w:sz w:val="22"/>
        </w:rPr>
        <w:t xml:space="preserve"> που αφορά την </w:t>
      </w:r>
      <w:r w:rsidRPr="003E2D65">
        <w:rPr>
          <w:bCs/>
          <w:sz w:val="22"/>
        </w:rPr>
        <w:t>έ</w:t>
      </w:r>
      <w:r w:rsidRPr="003E2D65">
        <w:rPr>
          <w:bCs/>
          <w:sz w:val="22"/>
        </w:rPr>
        <w:t xml:space="preserve">γκριση της επιστροφής των κερδών από τα ελληνικά ομόλογα (ANFA/SMP), καθώς και των 103 </w:t>
      </w:r>
      <w:r w:rsidRPr="003E2D65">
        <w:rPr>
          <w:bCs/>
          <w:sz w:val="22"/>
        </w:rPr>
        <w:t>ε</w:t>
      </w:r>
      <w:r w:rsidRPr="003E2D65">
        <w:rPr>
          <w:bCs/>
          <w:sz w:val="22"/>
        </w:rPr>
        <w:t>κατ. ευρώ από την επιστροφή του περιθωρίου επιτοκίου (step-up margin). Τέλος</w:t>
      </w:r>
      <w:r w:rsidR="00B47877">
        <w:rPr>
          <w:bCs/>
          <w:sz w:val="22"/>
        </w:rPr>
        <w:t>,</w:t>
      </w:r>
      <w:r w:rsidRPr="003E2D65">
        <w:rPr>
          <w:bCs/>
          <w:sz w:val="22"/>
        </w:rPr>
        <w:t xml:space="preserve"> το πλεόνασμα του ισοζυγίου κεφαλαίων παρουσίασε άνοδο σε σχέση με την αντίστοιχη περίοδο του 2019.</w:t>
      </w:r>
      <w:r w:rsidRPr="003E2D65">
        <w:rPr>
          <w:bCs/>
          <w:sz w:val="22"/>
          <w:vertAlign w:val="superscript"/>
        </w:rPr>
        <w:footnoteReference w:id="27"/>
      </w:r>
    </w:p>
    <w:p w:rsidR="00AF5291" w:rsidRPr="005D790E" w:rsidRDefault="00AF5291" w:rsidP="00AF5291">
      <w:pPr>
        <w:tabs>
          <w:tab w:val="left" w:pos="851"/>
        </w:tabs>
        <w:jc w:val="both"/>
        <w:rPr>
          <w:bCs/>
        </w:rPr>
      </w:pPr>
    </w:p>
    <w:p w:rsidR="00AF5291" w:rsidRPr="004A514C" w:rsidRDefault="00AF5291" w:rsidP="00AF5291">
      <w:pPr>
        <w:tabs>
          <w:tab w:val="left" w:pos="851"/>
        </w:tabs>
        <w:jc w:val="both"/>
        <w:rPr>
          <w:rFonts w:ascii="Arial Narrow" w:hAnsi="Arial Narrow"/>
          <w:b/>
          <w:bCs/>
          <w:i/>
          <w:sz w:val="22"/>
        </w:rPr>
      </w:pPr>
      <w:r w:rsidRPr="004A514C">
        <w:rPr>
          <w:rFonts w:ascii="Arial Narrow" w:hAnsi="Arial Narrow"/>
          <w:b/>
          <w:bCs/>
          <w:i/>
          <w:sz w:val="22"/>
        </w:rPr>
        <w:t>Ισοζύγιο χρηματοοικονομικών συναλλαγών</w:t>
      </w:r>
    </w:p>
    <w:p w:rsidR="00AF5291" w:rsidRPr="005D790E" w:rsidRDefault="00AF5291" w:rsidP="00AF5291">
      <w:pPr>
        <w:tabs>
          <w:tab w:val="left" w:pos="851"/>
        </w:tabs>
        <w:jc w:val="both"/>
        <w:rPr>
          <w:bCs/>
          <w:u w:val="single"/>
        </w:rPr>
      </w:pPr>
    </w:p>
    <w:p w:rsidR="00AF5291" w:rsidRPr="003E2D65" w:rsidRDefault="00AF5291" w:rsidP="00AF5291">
      <w:pPr>
        <w:tabs>
          <w:tab w:val="left" w:pos="851"/>
        </w:tabs>
        <w:jc w:val="both"/>
        <w:rPr>
          <w:bCs/>
          <w:sz w:val="22"/>
        </w:rPr>
      </w:pPr>
      <w:r w:rsidRPr="003E2D65">
        <w:rPr>
          <w:bCs/>
          <w:sz w:val="22"/>
        </w:rPr>
        <w:t>Την περίοδο Ιανουαρίου-Σεπτεμβρίου 2020, στην κατηγορία των άμεσων επενδύσεων, οι καθαρές απαιτήσεις των κατοίκων έναντι του εξωτερικού σημείωσαν αύξηση κατά 494,7 εκατ. ευρώ και οι κ</w:t>
      </w:r>
      <w:r w:rsidRPr="003E2D65">
        <w:rPr>
          <w:bCs/>
          <w:sz w:val="22"/>
        </w:rPr>
        <w:t>α</w:t>
      </w:r>
      <w:r w:rsidRPr="003E2D65">
        <w:rPr>
          <w:bCs/>
          <w:sz w:val="22"/>
        </w:rPr>
        <w:t>θαρές υποχρεώσεις τους έναντι του εξωτερικού, οι οποίες αντιστοιχούν σε άμεσες επενδύσεις μη κ</w:t>
      </w:r>
      <w:r w:rsidRPr="003E2D65">
        <w:rPr>
          <w:bCs/>
          <w:sz w:val="22"/>
        </w:rPr>
        <w:t>α</w:t>
      </w:r>
      <w:r w:rsidRPr="003E2D65">
        <w:rPr>
          <w:bCs/>
          <w:sz w:val="22"/>
        </w:rPr>
        <w:t>τοίκων στην Ελλάδα, κατέγραψαν αύξηση κατά 2,4 δισ. ευρώ.</w:t>
      </w:r>
    </w:p>
    <w:p w:rsidR="00AF5291" w:rsidRPr="003E2D65" w:rsidRDefault="00AF5291" w:rsidP="00AF5291">
      <w:pPr>
        <w:tabs>
          <w:tab w:val="left" w:pos="851"/>
        </w:tabs>
        <w:jc w:val="both"/>
        <w:rPr>
          <w:bCs/>
          <w:sz w:val="22"/>
        </w:rPr>
      </w:pPr>
    </w:p>
    <w:p w:rsidR="00AF5291" w:rsidRPr="003E2D65" w:rsidRDefault="00AF5291" w:rsidP="00AF5291">
      <w:pPr>
        <w:tabs>
          <w:tab w:val="left" w:pos="851"/>
        </w:tabs>
        <w:jc w:val="both"/>
        <w:rPr>
          <w:bCs/>
          <w:sz w:val="22"/>
        </w:rPr>
      </w:pPr>
      <w:r w:rsidRPr="003E2D65">
        <w:rPr>
          <w:bCs/>
          <w:sz w:val="22"/>
        </w:rPr>
        <w:t>Στις επενδύσεις χαρτοφυλακίου, η καθαρή αύξηση των απαιτήσεων των κατοίκων έναντι του εξωτ</w:t>
      </w:r>
      <w:r w:rsidRPr="003E2D65">
        <w:rPr>
          <w:bCs/>
          <w:sz w:val="22"/>
        </w:rPr>
        <w:t>ε</w:t>
      </w:r>
      <w:r w:rsidRPr="003E2D65">
        <w:rPr>
          <w:bCs/>
          <w:sz w:val="22"/>
        </w:rPr>
        <w:t>ρικού οφείλεται κυρίως στην αύξηση (κατά 32,9 δισ. ευρώ) των τοποθετήσεων κατοίκων σε ομόλογα και έντοκα γραμμάτια του εξωτερικού. Η καθαρή μείωση των υποχρεώσεών τους οφείλεται κυρίως στη μείωση (8,2 δισ. ευρώ) των τοποθετήσεων μη κατοίκων σε ομόλογα και έντοκα γραμμάτια του Ελληνικού Δημοσίου.</w:t>
      </w:r>
      <w:r w:rsidRPr="003E2D65">
        <w:rPr>
          <w:bCs/>
          <w:sz w:val="22"/>
          <w:vertAlign w:val="superscript"/>
        </w:rPr>
        <w:footnoteReference w:id="28"/>
      </w:r>
    </w:p>
    <w:p w:rsidR="00AF5291" w:rsidRPr="003E2D65" w:rsidRDefault="00AF5291" w:rsidP="00AF5291">
      <w:pPr>
        <w:tabs>
          <w:tab w:val="left" w:pos="851"/>
        </w:tabs>
        <w:jc w:val="both"/>
        <w:rPr>
          <w:bCs/>
          <w:sz w:val="22"/>
        </w:rPr>
      </w:pPr>
    </w:p>
    <w:p w:rsidR="00AF5291" w:rsidRPr="003E2D65" w:rsidRDefault="00AF5291" w:rsidP="00AF5291">
      <w:pPr>
        <w:tabs>
          <w:tab w:val="left" w:pos="851"/>
        </w:tabs>
        <w:jc w:val="both"/>
        <w:rPr>
          <w:bCs/>
          <w:sz w:val="22"/>
        </w:rPr>
      </w:pPr>
      <w:r w:rsidRPr="003E2D65">
        <w:rPr>
          <w:bCs/>
          <w:sz w:val="22"/>
        </w:rPr>
        <w:t>Στην κατηγορία των λοιπών επενδύσεων, η καθαρή αύξηση των απαιτήσεων των κατοίκων έναντι του εξωτερικού οφείλεται κυρίως στην αύξηση (κατά 2,5 δισ. ευρώ) της στατιστικής προσαρμογής που συνδέεται με την έκδοση χαρτονομισμάτων. Η καθαρή αύξηση των υποχρεώσεων αντανακλά κυρίως την αύξηση (κατά 41,9 δισ. ευρώ) των τοποθετήσεων μη κατοίκων σε καταθέσεις και repos στην Ε</w:t>
      </w:r>
      <w:r w:rsidRPr="003E2D65">
        <w:rPr>
          <w:bCs/>
          <w:sz w:val="22"/>
        </w:rPr>
        <w:t>λ</w:t>
      </w:r>
      <w:r w:rsidRPr="003E2D65">
        <w:rPr>
          <w:bCs/>
          <w:sz w:val="22"/>
        </w:rPr>
        <w:t>λάδα (περιλαμβάνεται και ο λογαριασμός TARGET) και την αύξηση (κατά 6,2 δισ. ευρώ) των δανε</w:t>
      </w:r>
      <w:r w:rsidRPr="003E2D65">
        <w:rPr>
          <w:bCs/>
          <w:sz w:val="22"/>
        </w:rPr>
        <w:t>ι</w:t>
      </w:r>
      <w:r w:rsidRPr="003E2D65">
        <w:rPr>
          <w:bCs/>
          <w:sz w:val="22"/>
        </w:rPr>
        <w:t>ακών υποχρεώσεων προς μη κατοίκους.</w:t>
      </w:r>
    </w:p>
    <w:p w:rsidR="00AF5291" w:rsidRPr="003E2D65" w:rsidRDefault="00AF5291" w:rsidP="00AF5291">
      <w:pPr>
        <w:tabs>
          <w:tab w:val="left" w:pos="851"/>
        </w:tabs>
        <w:jc w:val="both"/>
        <w:rPr>
          <w:bCs/>
          <w:sz w:val="22"/>
        </w:rPr>
      </w:pPr>
    </w:p>
    <w:p w:rsidR="00AF5291" w:rsidRPr="003E2D65" w:rsidRDefault="00AF5291" w:rsidP="00AF5291">
      <w:pPr>
        <w:tabs>
          <w:tab w:val="left" w:pos="851"/>
        </w:tabs>
        <w:jc w:val="both"/>
        <w:rPr>
          <w:sz w:val="22"/>
        </w:rPr>
      </w:pPr>
      <w:r w:rsidRPr="003E2D65">
        <w:rPr>
          <w:bCs/>
          <w:sz w:val="22"/>
        </w:rPr>
        <w:t>Στο τέλος Σεπτεμβρίου 2020, τα συναλλαγματικά διαθέσιμα της χώρας διαμορφώθηκαν σε 9,6 δισ. ευρώ, έναντι 7,5 δισ. ευρώ στο τέλος Σεπτεμβρίου του 2019.</w:t>
      </w:r>
      <w:r w:rsidRPr="003E2D65">
        <w:rPr>
          <w:sz w:val="22"/>
        </w:rPr>
        <w:t xml:space="preserve"> </w:t>
      </w:r>
    </w:p>
    <w:p w:rsidR="00AF5291" w:rsidRPr="003E2D65" w:rsidRDefault="00AF5291" w:rsidP="00AF5291">
      <w:pPr>
        <w:rPr>
          <w:sz w:val="22"/>
        </w:rPr>
      </w:pPr>
    </w:p>
    <w:p w:rsidR="00FB3840" w:rsidRDefault="00FB3840">
      <w:r>
        <w:br w:type="page"/>
      </w:r>
    </w:p>
    <w:p w:rsidR="00191EDB" w:rsidRPr="005D790E" w:rsidRDefault="00191EDB" w:rsidP="00AF5291"/>
    <w:tbl>
      <w:tblPr>
        <w:tblW w:w="9072"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30" w:type="dxa"/>
          <w:right w:w="30" w:type="dxa"/>
        </w:tblCellMar>
        <w:tblLook w:val="0000"/>
      </w:tblPr>
      <w:tblGrid>
        <w:gridCol w:w="4283"/>
        <w:gridCol w:w="802"/>
        <w:gridCol w:w="802"/>
        <w:gridCol w:w="802"/>
        <w:gridCol w:w="802"/>
        <w:gridCol w:w="802"/>
        <w:gridCol w:w="779"/>
      </w:tblGrid>
      <w:tr w:rsidR="0047041D" w:rsidRPr="00485FD7" w:rsidTr="005C0E1F">
        <w:trPr>
          <w:cantSplit/>
        </w:trPr>
        <w:tc>
          <w:tcPr>
            <w:tcW w:w="9072" w:type="dxa"/>
            <w:gridSpan w:val="7"/>
            <w:tcBorders>
              <w:top w:val="single" w:sz="6" w:space="0" w:color="auto"/>
              <w:bottom w:val="nil"/>
            </w:tcBorders>
            <w:shd w:val="clear" w:color="auto" w:fill="595959" w:themeFill="text1" w:themeFillTint="A6"/>
            <w:vAlign w:val="center"/>
          </w:tcPr>
          <w:p w:rsidR="0047041D" w:rsidRPr="00485FD7" w:rsidRDefault="0047041D" w:rsidP="0043717B">
            <w:pPr>
              <w:pStyle w:val="3"/>
              <w:numPr>
                <w:ilvl w:val="2"/>
                <w:numId w:val="0"/>
              </w:numPr>
              <w:tabs>
                <w:tab w:val="num" w:pos="0"/>
              </w:tabs>
              <w:spacing w:before="0" w:after="0"/>
              <w:ind w:left="720" w:hanging="720"/>
              <w:jc w:val="center"/>
              <w:rPr>
                <w:rFonts w:ascii="Arial Narrow" w:hAnsi="Arial Narrow"/>
                <w:color w:val="FFFFFF"/>
                <w:sz w:val="24"/>
                <w:szCs w:val="24"/>
              </w:rPr>
            </w:pPr>
            <w:r>
              <w:rPr>
                <w:sz w:val="22"/>
              </w:rPr>
              <w:br w:type="page"/>
            </w:r>
            <w:r>
              <w:rPr>
                <w:rFonts w:ascii="Arial Narrow" w:hAnsi="Arial Narrow"/>
                <w:color w:val="FFFFFF"/>
                <w:sz w:val="24"/>
                <w:szCs w:val="24"/>
              </w:rPr>
              <w:t>Πίνακας 1.</w:t>
            </w:r>
            <w:r w:rsidR="00056876">
              <w:rPr>
                <w:rFonts w:ascii="Arial Narrow" w:hAnsi="Arial Narrow"/>
                <w:color w:val="FFFFFF"/>
                <w:sz w:val="24"/>
                <w:szCs w:val="24"/>
              </w:rPr>
              <w:t>2</w:t>
            </w:r>
            <w:r>
              <w:rPr>
                <w:rFonts w:ascii="Arial Narrow" w:hAnsi="Arial Narrow"/>
                <w:color w:val="FFFFFF"/>
                <w:sz w:val="24"/>
                <w:szCs w:val="24"/>
              </w:rPr>
              <w:t xml:space="preserve"> </w:t>
            </w:r>
            <w:r w:rsidR="00056876">
              <w:rPr>
                <w:rFonts w:ascii="Arial Narrow" w:hAnsi="Arial Narrow"/>
                <w:color w:val="FFFFFF"/>
                <w:sz w:val="24"/>
                <w:szCs w:val="24"/>
              </w:rPr>
              <w:t xml:space="preserve"> </w:t>
            </w:r>
            <w:r w:rsidRPr="00485FD7">
              <w:rPr>
                <w:rFonts w:ascii="Arial Narrow" w:hAnsi="Arial Narrow"/>
                <w:color w:val="FFFFFF"/>
                <w:sz w:val="24"/>
                <w:szCs w:val="24"/>
              </w:rPr>
              <w:t xml:space="preserve">Ισοζύγιο </w:t>
            </w:r>
            <w:r>
              <w:rPr>
                <w:rFonts w:ascii="Arial Narrow" w:hAnsi="Arial Narrow"/>
                <w:color w:val="FFFFFF"/>
                <w:sz w:val="24"/>
                <w:szCs w:val="24"/>
              </w:rPr>
              <w:t xml:space="preserve">πληρωμών </w:t>
            </w:r>
          </w:p>
          <w:p w:rsidR="0047041D" w:rsidRPr="00485FD7" w:rsidRDefault="0047041D" w:rsidP="0043717B">
            <w:pPr>
              <w:spacing w:after="60"/>
              <w:jc w:val="center"/>
              <w:rPr>
                <w:b/>
                <w:snapToGrid w:val="0"/>
                <w:color w:val="FFFFFF"/>
                <w:sz w:val="16"/>
              </w:rPr>
            </w:pPr>
            <w:r w:rsidRPr="00485FD7">
              <w:rPr>
                <w:rFonts w:ascii="Arial Narrow" w:hAnsi="Arial Narrow"/>
                <w:b/>
                <w:color w:val="FFFFFF"/>
              </w:rPr>
              <w:t>(σε εκατ. ευρώ)</w:t>
            </w:r>
          </w:p>
        </w:tc>
      </w:tr>
      <w:tr w:rsidR="0047041D" w:rsidRPr="000D16BD" w:rsidTr="005C0E1F">
        <w:trPr>
          <w:cantSplit/>
          <w:trHeight w:val="20"/>
        </w:trPr>
        <w:tc>
          <w:tcPr>
            <w:tcW w:w="9072" w:type="dxa"/>
            <w:gridSpan w:val="7"/>
            <w:tcBorders>
              <w:top w:val="single" w:sz="6" w:space="0" w:color="auto"/>
              <w:bottom w:val="nil"/>
            </w:tcBorders>
            <w:shd w:val="clear" w:color="auto" w:fill="auto"/>
            <w:vAlign w:val="center"/>
          </w:tcPr>
          <w:p w:rsidR="0047041D" w:rsidRPr="000D16BD" w:rsidRDefault="0047041D" w:rsidP="0043717B">
            <w:pPr>
              <w:pStyle w:val="3"/>
              <w:numPr>
                <w:ilvl w:val="2"/>
                <w:numId w:val="0"/>
              </w:numPr>
              <w:tabs>
                <w:tab w:val="num" w:pos="0"/>
              </w:tabs>
              <w:spacing w:before="0" w:after="0"/>
              <w:ind w:left="720" w:hanging="720"/>
              <w:jc w:val="center"/>
              <w:rPr>
                <w:sz w:val="8"/>
              </w:rPr>
            </w:pPr>
          </w:p>
        </w:tc>
      </w:tr>
      <w:tr w:rsidR="0047041D" w:rsidRPr="00472EC7" w:rsidTr="005C0E1F">
        <w:trPr>
          <w:cantSplit/>
          <w:trHeight w:val="20"/>
        </w:trPr>
        <w:tc>
          <w:tcPr>
            <w:tcW w:w="4283" w:type="dxa"/>
            <w:vMerge w:val="restart"/>
            <w:tcBorders>
              <w:top w:val="single" w:sz="4" w:space="0" w:color="auto"/>
            </w:tcBorders>
            <w:shd w:val="clear" w:color="auto" w:fill="FFFFFF"/>
            <w:vAlign w:val="center"/>
          </w:tcPr>
          <w:p w:rsidR="0047041D" w:rsidRPr="00472EC7" w:rsidRDefault="0047041D" w:rsidP="0043717B">
            <w:pPr>
              <w:tabs>
                <w:tab w:val="left" w:pos="426"/>
              </w:tabs>
              <w:spacing w:line="160" w:lineRule="exact"/>
              <w:jc w:val="center"/>
              <w:rPr>
                <w:rFonts w:ascii="Arial Narrow" w:hAnsi="Arial Narrow"/>
                <w:b/>
                <w:snapToGrid w:val="0"/>
                <w:color w:val="000000"/>
                <w:sz w:val="16"/>
              </w:rPr>
            </w:pPr>
          </w:p>
        </w:tc>
        <w:tc>
          <w:tcPr>
            <w:tcW w:w="2406" w:type="dxa"/>
            <w:gridSpan w:val="3"/>
            <w:tcBorders>
              <w:top w:val="single" w:sz="4" w:space="0" w:color="auto"/>
              <w:bottom w:val="single" w:sz="4" w:space="0" w:color="auto"/>
            </w:tcBorders>
            <w:shd w:val="clear" w:color="auto" w:fill="FFFFFF"/>
          </w:tcPr>
          <w:p w:rsidR="0047041D" w:rsidRPr="00472EC7" w:rsidRDefault="0047041D" w:rsidP="0043717B">
            <w:pPr>
              <w:spacing w:line="160" w:lineRule="exact"/>
              <w:jc w:val="center"/>
              <w:rPr>
                <w:rFonts w:ascii="Arial Narrow" w:hAnsi="Arial Narrow"/>
                <w:b/>
                <w:snapToGrid w:val="0"/>
                <w:color w:val="000000"/>
                <w:sz w:val="16"/>
              </w:rPr>
            </w:pPr>
            <w:r w:rsidRPr="00472EC7">
              <w:rPr>
                <w:rFonts w:ascii="Arial Narrow" w:hAnsi="Arial Narrow"/>
                <w:b/>
                <w:snapToGrid w:val="0"/>
                <w:color w:val="000000"/>
                <w:sz w:val="16"/>
              </w:rPr>
              <w:t>Ιανουάριος-</w:t>
            </w:r>
            <w:r>
              <w:rPr>
                <w:rFonts w:ascii="Arial Narrow" w:hAnsi="Arial Narrow"/>
                <w:b/>
                <w:snapToGrid w:val="0"/>
                <w:color w:val="000000"/>
                <w:sz w:val="16"/>
              </w:rPr>
              <w:t>Δεκέμβριος</w:t>
            </w:r>
          </w:p>
        </w:tc>
        <w:tc>
          <w:tcPr>
            <w:tcW w:w="2383" w:type="dxa"/>
            <w:gridSpan w:val="3"/>
            <w:tcBorders>
              <w:top w:val="single" w:sz="4" w:space="0" w:color="auto"/>
              <w:bottom w:val="single" w:sz="4" w:space="0" w:color="auto"/>
            </w:tcBorders>
            <w:shd w:val="clear" w:color="auto" w:fill="FFFFFF"/>
          </w:tcPr>
          <w:p w:rsidR="0047041D" w:rsidRPr="00472EC7" w:rsidRDefault="0047041D" w:rsidP="0043717B">
            <w:pPr>
              <w:spacing w:line="160" w:lineRule="exact"/>
              <w:jc w:val="center"/>
              <w:rPr>
                <w:rFonts w:ascii="Arial Narrow" w:hAnsi="Arial Narrow"/>
                <w:b/>
                <w:snapToGrid w:val="0"/>
                <w:color w:val="000000"/>
                <w:sz w:val="16"/>
              </w:rPr>
            </w:pPr>
            <w:r w:rsidRPr="00472EC7">
              <w:rPr>
                <w:rFonts w:ascii="Arial Narrow" w:hAnsi="Arial Narrow"/>
                <w:b/>
                <w:snapToGrid w:val="0"/>
                <w:color w:val="000000"/>
                <w:sz w:val="16"/>
              </w:rPr>
              <w:t>Ιανουάριος-</w:t>
            </w:r>
            <w:r>
              <w:rPr>
                <w:rFonts w:ascii="Arial Narrow" w:hAnsi="Arial Narrow"/>
                <w:b/>
                <w:snapToGrid w:val="0"/>
                <w:color w:val="000000"/>
                <w:sz w:val="16"/>
              </w:rPr>
              <w:t>Σεπτέμβριος</w:t>
            </w:r>
          </w:p>
        </w:tc>
      </w:tr>
      <w:tr w:rsidR="0047041D" w:rsidRPr="00472EC7" w:rsidTr="005C0E1F">
        <w:trPr>
          <w:cantSplit/>
          <w:trHeight w:val="20"/>
        </w:trPr>
        <w:tc>
          <w:tcPr>
            <w:tcW w:w="4283" w:type="dxa"/>
            <w:vMerge/>
            <w:tcBorders>
              <w:bottom w:val="single" w:sz="4" w:space="0" w:color="auto"/>
            </w:tcBorders>
          </w:tcPr>
          <w:p w:rsidR="0047041D" w:rsidRPr="00472EC7" w:rsidRDefault="0047041D" w:rsidP="0043717B">
            <w:pPr>
              <w:tabs>
                <w:tab w:val="left" w:pos="426"/>
              </w:tabs>
              <w:spacing w:line="160" w:lineRule="exact"/>
              <w:jc w:val="center"/>
              <w:rPr>
                <w:rFonts w:ascii="Arial Narrow" w:hAnsi="Arial Narrow"/>
                <w:b/>
                <w:snapToGrid w:val="0"/>
                <w:color w:val="000000"/>
                <w:sz w:val="16"/>
              </w:rPr>
            </w:pPr>
          </w:p>
        </w:tc>
        <w:tc>
          <w:tcPr>
            <w:tcW w:w="802" w:type="dxa"/>
            <w:tcBorders>
              <w:top w:val="nil"/>
              <w:bottom w:val="single" w:sz="4" w:space="0" w:color="auto"/>
            </w:tcBorders>
            <w:shd w:val="clear" w:color="auto" w:fill="FFFFFF"/>
          </w:tcPr>
          <w:p w:rsidR="0047041D" w:rsidRPr="00472EC7" w:rsidRDefault="0043717B" w:rsidP="0043717B">
            <w:pPr>
              <w:spacing w:line="160" w:lineRule="exact"/>
              <w:jc w:val="center"/>
              <w:rPr>
                <w:rFonts w:ascii="Arial Narrow" w:hAnsi="Arial Narrow"/>
                <w:b/>
                <w:snapToGrid w:val="0"/>
                <w:color w:val="000000"/>
                <w:sz w:val="16"/>
              </w:rPr>
            </w:pPr>
            <w:r>
              <w:rPr>
                <w:rFonts w:ascii="Arial Narrow" w:hAnsi="Arial Narrow"/>
                <w:b/>
                <w:snapToGrid w:val="0"/>
                <w:color w:val="000000"/>
                <w:sz w:val="16"/>
              </w:rPr>
              <w:t>201</w:t>
            </w:r>
            <w:r w:rsidR="0047041D">
              <w:rPr>
                <w:rFonts w:ascii="Arial Narrow" w:hAnsi="Arial Narrow"/>
                <w:b/>
                <w:snapToGrid w:val="0"/>
                <w:color w:val="000000"/>
                <w:sz w:val="16"/>
              </w:rPr>
              <w:t>7</w:t>
            </w:r>
          </w:p>
        </w:tc>
        <w:tc>
          <w:tcPr>
            <w:tcW w:w="802" w:type="dxa"/>
            <w:tcBorders>
              <w:top w:val="nil"/>
              <w:bottom w:val="single" w:sz="4" w:space="0" w:color="auto"/>
            </w:tcBorders>
            <w:shd w:val="clear" w:color="auto" w:fill="FFFFFF"/>
          </w:tcPr>
          <w:p w:rsidR="0047041D" w:rsidRPr="00472EC7" w:rsidRDefault="0047041D" w:rsidP="0043717B">
            <w:pPr>
              <w:spacing w:line="160" w:lineRule="exact"/>
              <w:jc w:val="center"/>
              <w:rPr>
                <w:rFonts w:ascii="Arial Narrow" w:hAnsi="Arial Narrow"/>
                <w:b/>
                <w:snapToGrid w:val="0"/>
                <w:color w:val="000000"/>
                <w:sz w:val="16"/>
              </w:rPr>
            </w:pPr>
            <w:r>
              <w:rPr>
                <w:rFonts w:ascii="Arial Narrow" w:hAnsi="Arial Narrow"/>
                <w:b/>
                <w:snapToGrid w:val="0"/>
                <w:color w:val="000000"/>
                <w:sz w:val="16"/>
              </w:rPr>
              <w:t>2018</w:t>
            </w:r>
          </w:p>
        </w:tc>
        <w:tc>
          <w:tcPr>
            <w:tcW w:w="802" w:type="dxa"/>
            <w:tcBorders>
              <w:top w:val="nil"/>
              <w:bottom w:val="single" w:sz="4" w:space="0" w:color="auto"/>
            </w:tcBorders>
            <w:shd w:val="clear" w:color="auto" w:fill="FFFFFF"/>
          </w:tcPr>
          <w:p w:rsidR="0047041D" w:rsidRPr="00472EC7" w:rsidRDefault="0047041D" w:rsidP="0043717B">
            <w:pPr>
              <w:spacing w:line="160" w:lineRule="exact"/>
              <w:jc w:val="center"/>
              <w:rPr>
                <w:rFonts w:ascii="Arial Narrow" w:hAnsi="Arial Narrow"/>
                <w:b/>
                <w:snapToGrid w:val="0"/>
                <w:color w:val="000000"/>
                <w:sz w:val="16"/>
              </w:rPr>
            </w:pPr>
            <w:r>
              <w:rPr>
                <w:rFonts w:ascii="Arial Narrow" w:hAnsi="Arial Narrow"/>
                <w:b/>
                <w:snapToGrid w:val="0"/>
                <w:color w:val="000000"/>
                <w:sz w:val="16"/>
              </w:rPr>
              <w:t>2019</w:t>
            </w:r>
          </w:p>
        </w:tc>
        <w:tc>
          <w:tcPr>
            <w:tcW w:w="802" w:type="dxa"/>
            <w:tcBorders>
              <w:top w:val="nil"/>
              <w:bottom w:val="single" w:sz="4" w:space="0" w:color="auto"/>
            </w:tcBorders>
            <w:shd w:val="clear" w:color="auto" w:fill="FFFFFF"/>
          </w:tcPr>
          <w:p w:rsidR="0047041D" w:rsidRPr="00472EC7" w:rsidRDefault="0047041D" w:rsidP="0043717B">
            <w:pPr>
              <w:spacing w:line="160" w:lineRule="exact"/>
              <w:jc w:val="center"/>
              <w:rPr>
                <w:rFonts w:ascii="Arial Narrow" w:hAnsi="Arial Narrow"/>
                <w:b/>
                <w:snapToGrid w:val="0"/>
                <w:color w:val="000000"/>
                <w:sz w:val="16"/>
              </w:rPr>
            </w:pPr>
            <w:r w:rsidRPr="00472EC7">
              <w:rPr>
                <w:rFonts w:ascii="Arial Narrow" w:hAnsi="Arial Narrow"/>
                <w:b/>
                <w:snapToGrid w:val="0"/>
                <w:color w:val="000000"/>
                <w:sz w:val="16"/>
              </w:rPr>
              <w:t>20</w:t>
            </w:r>
            <w:r>
              <w:rPr>
                <w:rFonts w:ascii="Arial Narrow" w:hAnsi="Arial Narrow"/>
                <w:b/>
                <w:snapToGrid w:val="0"/>
                <w:color w:val="000000"/>
                <w:sz w:val="16"/>
              </w:rPr>
              <w:t>18</w:t>
            </w:r>
          </w:p>
        </w:tc>
        <w:tc>
          <w:tcPr>
            <w:tcW w:w="802" w:type="dxa"/>
            <w:tcBorders>
              <w:top w:val="nil"/>
              <w:bottom w:val="single" w:sz="4" w:space="0" w:color="auto"/>
            </w:tcBorders>
            <w:shd w:val="clear" w:color="auto" w:fill="FFFFFF"/>
          </w:tcPr>
          <w:p w:rsidR="0047041D" w:rsidRPr="00472EC7" w:rsidRDefault="0047041D" w:rsidP="0043717B">
            <w:pPr>
              <w:spacing w:line="160" w:lineRule="exact"/>
              <w:jc w:val="center"/>
              <w:rPr>
                <w:rFonts w:ascii="Arial Narrow" w:hAnsi="Arial Narrow"/>
                <w:b/>
                <w:snapToGrid w:val="0"/>
                <w:color w:val="000000"/>
                <w:sz w:val="16"/>
              </w:rPr>
            </w:pPr>
            <w:r w:rsidRPr="00472EC7">
              <w:rPr>
                <w:rFonts w:ascii="Arial Narrow" w:hAnsi="Arial Narrow"/>
                <w:b/>
                <w:snapToGrid w:val="0"/>
                <w:color w:val="000000"/>
                <w:sz w:val="16"/>
              </w:rPr>
              <w:t>201</w:t>
            </w:r>
            <w:r>
              <w:rPr>
                <w:rFonts w:ascii="Arial Narrow" w:hAnsi="Arial Narrow"/>
                <w:b/>
                <w:snapToGrid w:val="0"/>
                <w:color w:val="000000"/>
                <w:sz w:val="16"/>
              </w:rPr>
              <w:t>9</w:t>
            </w:r>
          </w:p>
        </w:tc>
        <w:tc>
          <w:tcPr>
            <w:tcW w:w="779" w:type="dxa"/>
            <w:tcBorders>
              <w:top w:val="nil"/>
              <w:bottom w:val="single" w:sz="4" w:space="0" w:color="auto"/>
            </w:tcBorders>
            <w:shd w:val="clear" w:color="auto" w:fill="FFFFFF"/>
          </w:tcPr>
          <w:p w:rsidR="0047041D" w:rsidRPr="00472EC7" w:rsidRDefault="0047041D" w:rsidP="0043717B">
            <w:pPr>
              <w:spacing w:line="160" w:lineRule="exact"/>
              <w:jc w:val="center"/>
              <w:rPr>
                <w:rFonts w:ascii="Arial Narrow" w:hAnsi="Arial Narrow"/>
                <w:b/>
                <w:snapToGrid w:val="0"/>
                <w:color w:val="000000"/>
                <w:sz w:val="16"/>
              </w:rPr>
            </w:pPr>
            <w:r>
              <w:rPr>
                <w:rFonts w:ascii="Arial Narrow" w:hAnsi="Arial Narrow"/>
                <w:b/>
                <w:snapToGrid w:val="0"/>
                <w:color w:val="000000"/>
                <w:sz w:val="16"/>
              </w:rPr>
              <w:t>2020</w:t>
            </w:r>
          </w:p>
        </w:tc>
      </w:tr>
      <w:tr w:rsidR="0047041D" w:rsidTr="005C0E1F">
        <w:trPr>
          <w:cantSplit/>
          <w:trHeight w:val="20"/>
        </w:trPr>
        <w:tc>
          <w:tcPr>
            <w:tcW w:w="4283" w:type="dxa"/>
            <w:tcBorders>
              <w:top w:val="single" w:sz="4" w:space="0" w:color="auto"/>
              <w:bottom w:val="nil"/>
              <w:right w:val="nil"/>
            </w:tcBorders>
            <w:shd w:val="clear" w:color="auto" w:fill="D9D9D9" w:themeFill="background1" w:themeFillShade="D9"/>
          </w:tcPr>
          <w:p w:rsidR="0047041D" w:rsidRPr="00472EC7" w:rsidRDefault="0047041D" w:rsidP="0043717B">
            <w:pPr>
              <w:tabs>
                <w:tab w:val="left" w:pos="426"/>
              </w:tabs>
              <w:spacing w:line="160" w:lineRule="exact"/>
              <w:rPr>
                <w:rFonts w:ascii="Arial Narrow" w:hAnsi="Arial Narrow"/>
                <w:b/>
                <w:i/>
                <w:snapToGrid w:val="0"/>
                <w:color w:val="000000"/>
                <w:sz w:val="16"/>
                <w:szCs w:val="16"/>
              </w:rPr>
            </w:pPr>
            <w:r w:rsidRPr="00472EC7">
              <w:rPr>
                <w:rFonts w:ascii="Arial Narrow" w:hAnsi="Arial Narrow"/>
                <w:b/>
                <w:snapToGrid w:val="0"/>
                <w:color w:val="000000"/>
                <w:sz w:val="16"/>
                <w:szCs w:val="16"/>
              </w:rPr>
              <w:t>I.</w:t>
            </w:r>
            <w:r w:rsidRPr="00472EC7">
              <w:rPr>
                <w:rFonts w:ascii="Arial Narrow" w:hAnsi="Arial Narrow"/>
                <w:b/>
                <w:snapToGrid w:val="0"/>
                <w:color w:val="000000"/>
                <w:sz w:val="16"/>
                <w:szCs w:val="16"/>
              </w:rPr>
              <w:tab/>
              <w:t>Ισοζύγιο τρεχουσών συναλλαγών (Ι.Α+Ι.Β+Ι.Γ+Ι.Δ</w:t>
            </w:r>
            <w:r w:rsidRPr="00472EC7">
              <w:rPr>
                <w:rFonts w:ascii="Arial Narrow" w:hAnsi="Arial Narrow"/>
                <w:b/>
                <w:i/>
                <w:snapToGrid w:val="0"/>
                <w:color w:val="000000"/>
                <w:sz w:val="16"/>
                <w:szCs w:val="16"/>
              </w:rPr>
              <w:t>)</w:t>
            </w:r>
          </w:p>
        </w:tc>
        <w:tc>
          <w:tcPr>
            <w:tcW w:w="802" w:type="dxa"/>
            <w:tcBorders>
              <w:top w:val="single" w:sz="4" w:space="0" w:color="auto"/>
              <w:left w:val="nil"/>
              <w:bottom w:val="nil"/>
              <w:right w:val="nil"/>
            </w:tcBorders>
            <w:shd w:val="clear" w:color="auto" w:fill="D9D9D9" w:themeFill="background1" w:themeFillShade="D9"/>
            <w:vAlign w:val="bottom"/>
          </w:tcPr>
          <w:p w:rsidR="0047041D" w:rsidRPr="002B18EC" w:rsidRDefault="0047041D" w:rsidP="005C0E1F">
            <w:pPr>
              <w:jc w:val="right"/>
              <w:rPr>
                <w:rFonts w:ascii="Arial Narrow" w:hAnsi="Arial Narrow" w:cs="Arial"/>
                <w:b/>
                <w:bCs/>
                <w:sz w:val="16"/>
                <w:szCs w:val="16"/>
              </w:rPr>
            </w:pPr>
            <w:r w:rsidRPr="002B18EC">
              <w:rPr>
                <w:rFonts w:ascii="Arial Narrow" w:hAnsi="Arial Narrow" w:cs="Arial"/>
                <w:b/>
                <w:bCs/>
                <w:sz w:val="16"/>
                <w:szCs w:val="16"/>
              </w:rPr>
              <w:t>-3.406,2</w:t>
            </w:r>
          </w:p>
        </w:tc>
        <w:tc>
          <w:tcPr>
            <w:tcW w:w="802" w:type="dxa"/>
            <w:tcBorders>
              <w:top w:val="single" w:sz="4" w:space="0" w:color="auto"/>
              <w:left w:val="nil"/>
              <w:bottom w:val="nil"/>
              <w:right w:val="nil"/>
            </w:tcBorders>
            <w:shd w:val="clear" w:color="auto" w:fill="D9D9D9" w:themeFill="background1" w:themeFillShade="D9"/>
            <w:vAlign w:val="bottom"/>
          </w:tcPr>
          <w:p w:rsidR="0047041D" w:rsidRPr="002B18EC" w:rsidRDefault="0047041D" w:rsidP="005C0E1F">
            <w:pPr>
              <w:jc w:val="right"/>
              <w:rPr>
                <w:rFonts w:ascii="Arial Narrow" w:hAnsi="Arial Narrow" w:cs="Arial"/>
                <w:b/>
                <w:bCs/>
                <w:sz w:val="16"/>
                <w:szCs w:val="16"/>
              </w:rPr>
            </w:pPr>
            <w:r w:rsidRPr="002B18EC">
              <w:rPr>
                <w:rFonts w:ascii="Arial Narrow" w:hAnsi="Arial Narrow" w:cs="Arial"/>
                <w:b/>
                <w:bCs/>
                <w:sz w:val="16"/>
                <w:szCs w:val="16"/>
              </w:rPr>
              <w:t>-5.232,2</w:t>
            </w:r>
          </w:p>
        </w:tc>
        <w:tc>
          <w:tcPr>
            <w:tcW w:w="802" w:type="dxa"/>
            <w:tcBorders>
              <w:top w:val="single" w:sz="4" w:space="0" w:color="auto"/>
              <w:left w:val="nil"/>
              <w:bottom w:val="nil"/>
              <w:right w:val="nil"/>
            </w:tcBorders>
            <w:shd w:val="clear" w:color="auto" w:fill="D9D9D9" w:themeFill="background1" w:themeFillShade="D9"/>
            <w:vAlign w:val="bottom"/>
          </w:tcPr>
          <w:p w:rsidR="0047041D" w:rsidRPr="002B18EC" w:rsidRDefault="0047041D" w:rsidP="005C0E1F">
            <w:pPr>
              <w:jc w:val="right"/>
              <w:rPr>
                <w:rFonts w:ascii="Arial Narrow" w:hAnsi="Arial Narrow" w:cs="Arial"/>
                <w:b/>
                <w:bCs/>
                <w:sz w:val="16"/>
                <w:szCs w:val="16"/>
              </w:rPr>
            </w:pPr>
            <w:r w:rsidRPr="002B18EC">
              <w:rPr>
                <w:rFonts w:ascii="Arial Narrow" w:hAnsi="Arial Narrow" w:cs="Arial"/>
                <w:b/>
                <w:bCs/>
                <w:sz w:val="16"/>
                <w:szCs w:val="16"/>
              </w:rPr>
              <w:t>-2.725,5</w:t>
            </w:r>
          </w:p>
        </w:tc>
        <w:tc>
          <w:tcPr>
            <w:tcW w:w="802" w:type="dxa"/>
            <w:tcBorders>
              <w:top w:val="single" w:sz="4" w:space="0" w:color="auto"/>
              <w:left w:val="nil"/>
              <w:bottom w:val="nil"/>
              <w:right w:val="nil"/>
            </w:tcBorders>
            <w:shd w:val="clear" w:color="auto" w:fill="D9D9D9" w:themeFill="background1" w:themeFillShade="D9"/>
            <w:vAlign w:val="bottom"/>
          </w:tcPr>
          <w:p w:rsidR="0047041D" w:rsidRPr="002B18EC" w:rsidRDefault="0047041D" w:rsidP="005C0E1F">
            <w:pPr>
              <w:jc w:val="right"/>
              <w:rPr>
                <w:rFonts w:ascii="Arial Narrow" w:hAnsi="Arial Narrow" w:cs="Arial"/>
                <w:b/>
                <w:bCs/>
                <w:sz w:val="16"/>
                <w:szCs w:val="16"/>
              </w:rPr>
            </w:pPr>
            <w:r w:rsidRPr="002B18EC">
              <w:rPr>
                <w:rFonts w:ascii="Arial Narrow" w:hAnsi="Arial Narrow" w:cs="Arial"/>
                <w:b/>
                <w:bCs/>
                <w:sz w:val="16"/>
                <w:szCs w:val="16"/>
              </w:rPr>
              <w:t>-1.357,3</w:t>
            </w:r>
          </w:p>
        </w:tc>
        <w:tc>
          <w:tcPr>
            <w:tcW w:w="802" w:type="dxa"/>
            <w:tcBorders>
              <w:top w:val="single" w:sz="4" w:space="0" w:color="auto"/>
              <w:left w:val="nil"/>
              <w:bottom w:val="nil"/>
              <w:right w:val="nil"/>
            </w:tcBorders>
            <w:shd w:val="clear" w:color="auto" w:fill="D9D9D9" w:themeFill="background1" w:themeFillShade="D9"/>
            <w:vAlign w:val="bottom"/>
          </w:tcPr>
          <w:p w:rsidR="0047041D" w:rsidRPr="002B18EC" w:rsidRDefault="0047041D" w:rsidP="005C0E1F">
            <w:pPr>
              <w:jc w:val="right"/>
              <w:rPr>
                <w:rFonts w:ascii="Arial Narrow" w:hAnsi="Arial Narrow" w:cs="Arial"/>
                <w:b/>
                <w:bCs/>
                <w:sz w:val="16"/>
                <w:szCs w:val="16"/>
              </w:rPr>
            </w:pPr>
            <w:r w:rsidRPr="002B18EC">
              <w:rPr>
                <w:rFonts w:ascii="Arial Narrow" w:hAnsi="Arial Narrow" w:cs="Arial"/>
                <w:b/>
                <w:bCs/>
                <w:sz w:val="16"/>
                <w:szCs w:val="16"/>
              </w:rPr>
              <w:t>-90,1</w:t>
            </w:r>
          </w:p>
        </w:tc>
        <w:tc>
          <w:tcPr>
            <w:tcW w:w="779" w:type="dxa"/>
            <w:tcBorders>
              <w:top w:val="single" w:sz="4" w:space="0" w:color="auto"/>
              <w:left w:val="nil"/>
              <w:bottom w:val="nil"/>
            </w:tcBorders>
            <w:shd w:val="clear" w:color="auto" w:fill="D9D9D9" w:themeFill="background1" w:themeFillShade="D9"/>
            <w:vAlign w:val="bottom"/>
          </w:tcPr>
          <w:p w:rsidR="0047041D" w:rsidRPr="002B18EC" w:rsidRDefault="0047041D" w:rsidP="005C0E1F">
            <w:pPr>
              <w:jc w:val="right"/>
              <w:rPr>
                <w:rFonts w:ascii="Arial Narrow" w:hAnsi="Arial Narrow" w:cs="Arial"/>
                <w:b/>
                <w:bCs/>
                <w:sz w:val="16"/>
                <w:szCs w:val="16"/>
              </w:rPr>
            </w:pPr>
            <w:r w:rsidRPr="002B18EC">
              <w:rPr>
                <w:rFonts w:ascii="Arial Narrow" w:hAnsi="Arial Narrow" w:cs="Arial"/>
                <w:b/>
                <w:bCs/>
                <w:sz w:val="16"/>
                <w:szCs w:val="16"/>
              </w:rPr>
              <w:t>-8.612,1</w:t>
            </w:r>
          </w:p>
        </w:tc>
      </w:tr>
      <w:tr w:rsidR="0047041D" w:rsidTr="005C0E1F">
        <w:trPr>
          <w:cantSplit/>
          <w:trHeight w:val="20"/>
        </w:trPr>
        <w:tc>
          <w:tcPr>
            <w:tcW w:w="4283" w:type="dxa"/>
            <w:tcBorders>
              <w:top w:val="nil"/>
              <w:bottom w:val="nil"/>
              <w:right w:val="nil"/>
            </w:tcBorders>
            <w:shd w:val="clear" w:color="auto" w:fill="FFFFFF"/>
          </w:tcPr>
          <w:p w:rsidR="0047041D" w:rsidRPr="00243770" w:rsidRDefault="0047041D" w:rsidP="0043717B">
            <w:pPr>
              <w:tabs>
                <w:tab w:val="left" w:pos="426"/>
              </w:tabs>
              <w:spacing w:before="40" w:line="160" w:lineRule="exact"/>
              <w:jc w:val="both"/>
              <w:rPr>
                <w:rFonts w:ascii="Arial Narrow" w:hAnsi="Arial Narrow"/>
                <w:b/>
                <w:snapToGrid w:val="0"/>
                <w:color w:val="000000"/>
                <w:sz w:val="16"/>
                <w:szCs w:val="16"/>
              </w:rPr>
            </w:pPr>
            <w:r>
              <w:rPr>
                <w:rFonts w:ascii="Arial Narrow" w:hAnsi="Arial Narrow"/>
                <w:b/>
                <w:snapToGrid w:val="0"/>
                <w:color w:val="000000"/>
                <w:sz w:val="16"/>
                <w:szCs w:val="16"/>
              </w:rPr>
              <w:tab/>
            </w:r>
            <w:r w:rsidRPr="00243770">
              <w:rPr>
                <w:rFonts w:ascii="Arial Narrow" w:hAnsi="Arial Narrow"/>
                <w:b/>
                <w:snapToGrid w:val="0"/>
                <w:color w:val="000000"/>
                <w:sz w:val="16"/>
                <w:szCs w:val="16"/>
              </w:rPr>
              <w:t xml:space="preserve">Ισοζύγιο </w:t>
            </w:r>
            <w:r>
              <w:rPr>
                <w:rFonts w:ascii="Arial Narrow" w:hAnsi="Arial Narrow"/>
                <w:b/>
                <w:snapToGrid w:val="0"/>
                <w:color w:val="000000"/>
                <w:sz w:val="16"/>
                <w:szCs w:val="16"/>
              </w:rPr>
              <w:t>αγαθών και υπηρεσιών (Ι.Α+Ι.Β)</w:t>
            </w:r>
            <w:r w:rsidRPr="00243770">
              <w:rPr>
                <w:rFonts w:ascii="Arial Narrow" w:hAnsi="Arial Narrow"/>
                <w:b/>
                <w:snapToGrid w:val="0"/>
                <w:color w:val="000000"/>
                <w:sz w:val="16"/>
                <w:szCs w:val="16"/>
              </w:rPr>
              <w:tab/>
            </w:r>
          </w:p>
        </w:tc>
        <w:tc>
          <w:tcPr>
            <w:tcW w:w="802" w:type="dxa"/>
            <w:tcBorders>
              <w:top w:val="nil"/>
              <w:left w:val="nil"/>
              <w:bottom w:val="nil"/>
              <w:right w:val="nil"/>
            </w:tcBorders>
            <w:shd w:val="clear" w:color="auto" w:fill="FFFFFF"/>
            <w:vAlign w:val="bottom"/>
          </w:tcPr>
          <w:p w:rsidR="0047041D" w:rsidRDefault="0047041D" w:rsidP="005C0E1F">
            <w:pPr>
              <w:tabs>
                <w:tab w:val="decimal" w:pos="454"/>
              </w:tabs>
              <w:spacing w:line="160" w:lineRule="exact"/>
              <w:jc w:val="right"/>
              <w:rPr>
                <w:rFonts w:ascii="Arial Narrow" w:hAnsi="Arial Narrow"/>
                <w:b/>
                <w:bCs/>
                <w:sz w:val="16"/>
                <w:szCs w:val="16"/>
              </w:rPr>
            </w:pPr>
          </w:p>
        </w:tc>
        <w:tc>
          <w:tcPr>
            <w:tcW w:w="802" w:type="dxa"/>
            <w:tcBorders>
              <w:top w:val="nil"/>
              <w:left w:val="nil"/>
              <w:bottom w:val="nil"/>
              <w:right w:val="nil"/>
            </w:tcBorders>
            <w:shd w:val="clear" w:color="auto" w:fill="FFFFFF"/>
            <w:vAlign w:val="bottom"/>
          </w:tcPr>
          <w:p w:rsidR="0047041D" w:rsidRDefault="0047041D" w:rsidP="005C0E1F">
            <w:pPr>
              <w:tabs>
                <w:tab w:val="decimal" w:pos="526"/>
              </w:tabs>
              <w:spacing w:line="160" w:lineRule="exact"/>
              <w:jc w:val="right"/>
              <w:rPr>
                <w:rFonts w:ascii="Arial Narrow" w:hAnsi="Arial Narrow"/>
                <w:b/>
                <w:bCs/>
                <w:sz w:val="16"/>
                <w:szCs w:val="16"/>
              </w:rPr>
            </w:pPr>
          </w:p>
        </w:tc>
        <w:tc>
          <w:tcPr>
            <w:tcW w:w="802" w:type="dxa"/>
            <w:tcBorders>
              <w:top w:val="nil"/>
              <w:left w:val="nil"/>
              <w:bottom w:val="nil"/>
              <w:right w:val="nil"/>
            </w:tcBorders>
            <w:shd w:val="clear" w:color="auto" w:fill="FFFFFF"/>
            <w:vAlign w:val="bottom"/>
          </w:tcPr>
          <w:p w:rsidR="0047041D" w:rsidRDefault="0047041D" w:rsidP="005C0E1F">
            <w:pPr>
              <w:tabs>
                <w:tab w:val="decimal" w:pos="504"/>
              </w:tabs>
              <w:spacing w:line="160" w:lineRule="exact"/>
              <w:jc w:val="right"/>
              <w:rPr>
                <w:rFonts w:ascii="Arial Narrow" w:hAnsi="Arial Narrow"/>
                <w:b/>
                <w:bCs/>
                <w:sz w:val="16"/>
                <w:szCs w:val="16"/>
              </w:rPr>
            </w:pPr>
          </w:p>
        </w:tc>
        <w:tc>
          <w:tcPr>
            <w:tcW w:w="802" w:type="dxa"/>
            <w:tcBorders>
              <w:top w:val="nil"/>
              <w:left w:val="nil"/>
              <w:bottom w:val="nil"/>
              <w:right w:val="nil"/>
            </w:tcBorders>
            <w:shd w:val="clear" w:color="auto" w:fill="FFFFFF"/>
            <w:vAlign w:val="bottom"/>
          </w:tcPr>
          <w:p w:rsidR="0047041D" w:rsidRDefault="0047041D" w:rsidP="005C0E1F">
            <w:pPr>
              <w:tabs>
                <w:tab w:val="decimal" w:pos="495"/>
              </w:tabs>
              <w:spacing w:line="160" w:lineRule="exact"/>
              <w:jc w:val="right"/>
              <w:rPr>
                <w:rFonts w:ascii="Arial Narrow" w:hAnsi="Arial Narrow"/>
                <w:b/>
                <w:bCs/>
                <w:sz w:val="16"/>
                <w:szCs w:val="16"/>
              </w:rPr>
            </w:pPr>
          </w:p>
        </w:tc>
        <w:tc>
          <w:tcPr>
            <w:tcW w:w="802" w:type="dxa"/>
            <w:tcBorders>
              <w:top w:val="nil"/>
              <w:left w:val="nil"/>
              <w:bottom w:val="nil"/>
              <w:right w:val="nil"/>
            </w:tcBorders>
            <w:shd w:val="clear" w:color="auto" w:fill="FFFFFF"/>
            <w:vAlign w:val="bottom"/>
          </w:tcPr>
          <w:p w:rsidR="0047041D" w:rsidRDefault="0047041D" w:rsidP="005C0E1F">
            <w:pPr>
              <w:tabs>
                <w:tab w:val="decimal" w:pos="500"/>
              </w:tabs>
              <w:spacing w:line="160" w:lineRule="exact"/>
              <w:jc w:val="right"/>
              <w:rPr>
                <w:rFonts w:ascii="Arial Narrow" w:hAnsi="Arial Narrow"/>
                <w:b/>
                <w:bCs/>
                <w:sz w:val="16"/>
                <w:szCs w:val="16"/>
              </w:rPr>
            </w:pPr>
          </w:p>
        </w:tc>
        <w:tc>
          <w:tcPr>
            <w:tcW w:w="779" w:type="dxa"/>
            <w:tcBorders>
              <w:top w:val="nil"/>
              <w:left w:val="nil"/>
              <w:bottom w:val="nil"/>
            </w:tcBorders>
            <w:shd w:val="clear" w:color="auto" w:fill="FFFFFF"/>
            <w:vAlign w:val="bottom"/>
          </w:tcPr>
          <w:p w:rsidR="0047041D" w:rsidRDefault="0047041D" w:rsidP="005C0E1F">
            <w:pPr>
              <w:tabs>
                <w:tab w:val="decimal" w:pos="458"/>
              </w:tabs>
              <w:spacing w:line="160" w:lineRule="exact"/>
              <w:jc w:val="right"/>
              <w:rPr>
                <w:rFonts w:ascii="Arial Narrow" w:hAnsi="Arial Narrow"/>
                <w:b/>
                <w:bCs/>
                <w:sz w:val="16"/>
                <w:szCs w:val="16"/>
              </w:rPr>
            </w:pPr>
          </w:p>
        </w:tc>
      </w:tr>
      <w:tr w:rsidR="0047041D" w:rsidRPr="00D37EC4" w:rsidTr="005C0E1F">
        <w:trPr>
          <w:cantSplit/>
          <w:trHeight w:val="20"/>
        </w:trPr>
        <w:tc>
          <w:tcPr>
            <w:tcW w:w="4283" w:type="dxa"/>
            <w:tcBorders>
              <w:top w:val="nil"/>
              <w:bottom w:val="nil"/>
              <w:right w:val="nil"/>
            </w:tcBorders>
            <w:shd w:val="clear" w:color="auto" w:fill="FFFFFF"/>
          </w:tcPr>
          <w:p w:rsidR="0047041D" w:rsidRPr="00D37EC4" w:rsidRDefault="0047041D" w:rsidP="0043717B">
            <w:pPr>
              <w:tabs>
                <w:tab w:val="left" w:pos="426"/>
              </w:tabs>
              <w:spacing w:before="40" w:line="160" w:lineRule="exact"/>
              <w:jc w:val="both"/>
              <w:rPr>
                <w:rFonts w:ascii="Arial Narrow" w:hAnsi="Arial Narrow"/>
                <w:snapToGrid w:val="0"/>
                <w:color w:val="000000"/>
                <w:sz w:val="16"/>
                <w:szCs w:val="16"/>
              </w:rPr>
            </w:pPr>
            <w:r w:rsidRPr="000416F9">
              <w:rPr>
                <w:rFonts w:ascii="Arial Narrow" w:hAnsi="Arial Narrow"/>
                <w:snapToGrid w:val="0"/>
                <w:color w:val="000000"/>
                <w:sz w:val="16"/>
                <w:szCs w:val="16"/>
              </w:rPr>
              <w:tab/>
            </w:r>
            <w:r w:rsidRPr="00D37EC4">
              <w:rPr>
                <w:rFonts w:ascii="Arial Narrow" w:hAnsi="Arial Narrow"/>
                <w:snapToGrid w:val="0"/>
                <w:color w:val="000000"/>
                <w:sz w:val="16"/>
                <w:szCs w:val="16"/>
              </w:rPr>
              <w:t>Εξαγωγές</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b/>
                <w:bCs/>
                <w:sz w:val="16"/>
                <w:szCs w:val="16"/>
              </w:rPr>
            </w:pPr>
            <w:r w:rsidRPr="002B18EC">
              <w:rPr>
                <w:rFonts w:ascii="Arial Narrow" w:hAnsi="Arial Narrow" w:cs="Arial"/>
                <w:b/>
                <w:bCs/>
                <w:sz w:val="16"/>
                <w:szCs w:val="16"/>
              </w:rPr>
              <w:t>-1.790,2</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b/>
                <w:bCs/>
                <w:sz w:val="16"/>
                <w:szCs w:val="16"/>
              </w:rPr>
            </w:pPr>
            <w:r w:rsidRPr="002B18EC">
              <w:rPr>
                <w:rFonts w:ascii="Arial Narrow" w:hAnsi="Arial Narrow" w:cs="Arial"/>
                <w:b/>
                <w:bCs/>
                <w:sz w:val="16"/>
                <w:szCs w:val="16"/>
              </w:rPr>
              <w:t>-3.184,7</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b/>
                <w:bCs/>
                <w:sz w:val="16"/>
                <w:szCs w:val="16"/>
              </w:rPr>
            </w:pPr>
            <w:r w:rsidRPr="002B18EC">
              <w:rPr>
                <w:rFonts w:ascii="Arial Narrow" w:hAnsi="Arial Narrow" w:cs="Arial"/>
                <w:b/>
                <w:bCs/>
                <w:sz w:val="16"/>
                <w:szCs w:val="16"/>
              </w:rPr>
              <w:t>-1.717,4</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b/>
                <w:bCs/>
                <w:sz w:val="16"/>
                <w:szCs w:val="16"/>
              </w:rPr>
            </w:pPr>
            <w:r w:rsidRPr="002B18EC">
              <w:rPr>
                <w:rFonts w:ascii="Arial Narrow" w:hAnsi="Arial Narrow" w:cs="Arial"/>
                <w:b/>
                <w:bCs/>
                <w:sz w:val="16"/>
                <w:szCs w:val="16"/>
              </w:rPr>
              <w:t>-170,9</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b/>
                <w:bCs/>
                <w:sz w:val="16"/>
                <w:szCs w:val="16"/>
              </w:rPr>
            </w:pPr>
            <w:r w:rsidRPr="002B18EC">
              <w:rPr>
                <w:rFonts w:ascii="Arial Narrow" w:hAnsi="Arial Narrow" w:cs="Arial"/>
                <w:b/>
                <w:bCs/>
                <w:sz w:val="16"/>
                <w:szCs w:val="16"/>
              </w:rPr>
              <w:t>952,3</w:t>
            </w:r>
          </w:p>
        </w:tc>
        <w:tc>
          <w:tcPr>
            <w:tcW w:w="779" w:type="dxa"/>
            <w:tcBorders>
              <w:top w:val="nil"/>
              <w:left w:val="nil"/>
              <w:bottom w:val="nil"/>
            </w:tcBorders>
            <w:shd w:val="clear" w:color="auto" w:fill="FFFFFF"/>
            <w:vAlign w:val="bottom"/>
          </w:tcPr>
          <w:p w:rsidR="0047041D" w:rsidRPr="002B18EC" w:rsidRDefault="0047041D" w:rsidP="005C0E1F">
            <w:pPr>
              <w:jc w:val="right"/>
              <w:rPr>
                <w:rFonts w:ascii="Arial Narrow" w:hAnsi="Arial Narrow" w:cs="Arial"/>
                <w:b/>
                <w:bCs/>
                <w:sz w:val="16"/>
                <w:szCs w:val="16"/>
              </w:rPr>
            </w:pPr>
            <w:r w:rsidRPr="002B18EC">
              <w:rPr>
                <w:rFonts w:ascii="Arial Narrow" w:hAnsi="Arial Narrow" w:cs="Arial"/>
                <w:b/>
                <w:bCs/>
                <w:sz w:val="16"/>
                <w:szCs w:val="16"/>
              </w:rPr>
              <w:t>-8.484,4</w:t>
            </w:r>
          </w:p>
        </w:tc>
      </w:tr>
      <w:tr w:rsidR="0047041D" w:rsidRPr="00D37EC4" w:rsidTr="005C0E1F">
        <w:trPr>
          <w:cantSplit/>
          <w:trHeight w:val="20"/>
        </w:trPr>
        <w:tc>
          <w:tcPr>
            <w:tcW w:w="4283" w:type="dxa"/>
            <w:tcBorders>
              <w:top w:val="nil"/>
              <w:bottom w:val="nil"/>
              <w:right w:val="nil"/>
            </w:tcBorders>
            <w:shd w:val="clear" w:color="auto" w:fill="FFFFFF"/>
          </w:tcPr>
          <w:p w:rsidR="0047041D" w:rsidRPr="00D37EC4" w:rsidRDefault="0047041D" w:rsidP="0043717B">
            <w:pPr>
              <w:tabs>
                <w:tab w:val="left" w:pos="426"/>
              </w:tabs>
              <w:spacing w:before="40" w:line="160" w:lineRule="exact"/>
              <w:jc w:val="both"/>
              <w:rPr>
                <w:rFonts w:ascii="Arial Narrow" w:hAnsi="Arial Narrow"/>
                <w:snapToGrid w:val="0"/>
                <w:color w:val="000000"/>
                <w:sz w:val="16"/>
                <w:szCs w:val="16"/>
              </w:rPr>
            </w:pPr>
            <w:r w:rsidRPr="00D37EC4">
              <w:rPr>
                <w:rFonts w:ascii="Arial Narrow" w:hAnsi="Arial Narrow"/>
                <w:snapToGrid w:val="0"/>
                <w:color w:val="000000"/>
                <w:sz w:val="16"/>
                <w:szCs w:val="16"/>
              </w:rPr>
              <w:tab/>
              <w:t>Εισαγωγές</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i/>
                <w:iCs/>
                <w:sz w:val="16"/>
                <w:szCs w:val="16"/>
              </w:rPr>
            </w:pPr>
            <w:r w:rsidRPr="002B18EC">
              <w:rPr>
                <w:rFonts w:ascii="Arial Narrow" w:hAnsi="Arial Narrow" w:cs="Arial"/>
                <w:i/>
                <w:iCs/>
                <w:sz w:val="16"/>
                <w:szCs w:val="16"/>
              </w:rPr>
              <w:t>61.701,7</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i/>
                <w:iCs/>
                <w:sz w:val="16"/>
                <w:szCs w:val="16"/>
              </w:rPr>
            </w:pPr>
            <w:r w:rsidRPr="002B18EC">
              <w:rPr>
                <w:rFonts w:ascii="Arial Narrow" w:hAnsi="Arial Narrow" w:cs="Arial"/>
                <w:i/>
                <w:iCs/>
                <w:sz w:val="16"/>
                <w:szCs w:val="16"/>
              </w:rPr>
              <w:t>69.532,2</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i/>
                <w:iCs/>
                <w:sz w:val="16"/>
                <w:szCs w:val="16"/>
              </w:rPr>
            </w:pPr>
            <w:r w:rsidRPr="002B18EC">
              <w:rPr>
                <w:rFonts w:ascii="Arial Narrow" w:hAnsi="Arial Narrow" w:cs="Arial"/>
                <w:i/>
                <w:iCs/>
                <w:sz w:val="16"/>
                <w:szCs w:val="16"/>
              </w:rPr>
              <w:t>72.596,2</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i/>
                <w:iCs/>
                <w:sz w:val="16"/>
                <w:szCs w:val="16"/>
              </w:rPr>
            </w:pPr>
            <w:r w:rsidRPr="002B18EC">
              <w:rPr>
                <w:rFonts w:ascii="Arial Narrow" w:hAnsi="Arial Narrow" w:cs="Arial"/>
                <w:i/>
                <w:iCs/>
                <w:sz w:val="16"/>
                <w:szCs w:val="16"/>
              </w:rPr>
              <w:t>53.434,8</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i/>
                <w:iCs/>
                <w:sz w:val="16"/>
                <w:szCs w:val="16"/>
              </w:rPr>
            </w:pPr>
            <w:r w:rsidRPr="002B18EC">
              <w:rPr>
                <w:rFonts w:ascii="Arial Narrow" w:hAnsi="Arial Narrow" w:cs="Arial"/>
                <w:i/>
                <w:iCs/>
                <w:sz w:val="16"/>
                <w:szCs w:val="16"/>
              </w:rPr>
              <w:t>56.534,3</w:t>
            </w:r>
          </w:p>
        </w:tc>
        <w:tc>
          <w:tcPr>
            <w:tcW w:w="779" w:type="dxa"/>
            <w:tcBorders>
              <w:top w:val="nil"/>
              <w:left w:val="nil"/>
              <w:bottom w:val="nil"/>
            </w:tcBorders>
            <w:shd w:val="clear" w:color="auto" w:fill="FFFFFF"/>
            <w:vAlign w:val="bottom"/>
          </w:tcPr>
          <w:p w:rsidR="0047041D" w:rsidRPr="002B18EC" w:rsidRDefault="0047041D" w:rsidP="005C0E1F">
            <w:pPr>
              <w:jc w:val="right"/>
              <w:rPr>
                <w:rFonts w:ascii="Arial Narrow" w:hAnsi="Arial Narrow" w:cs="Arial"/>
                <w:i/>
                <w:iCs/>
                <w:sz w:val="16"/>
                <w:szCs w:val="16"/>
              </w:rPr>
            </w:pPr>
            <w:r w:rsidRPr="002B18EC">
              <w:rPr>
                <w:rFonts w:ascii="Arial Narrow" w:hAnsi="Arial Narrow" w:cs="Arial"/>
                <w:i/>
                <w:iCs/>
                <w:sz w:val="16"/>
                <w:szCs w:val="16"/>
              </w:rPr>
              <w:t>38.589,8</w:t>
            </w:r>
          </w:p>
        </w:tc>
      </w:tr>
      <w:tr w:rsidR="0047041D" w:rsidRPr="00E94162" w:rsidTr="005C0E1F">
        <w:trPr>
          <w:cantSplit/>
          <w:trHeight w:val="20"/>
        </w:trPr>
        <w:tc>
          <w:tcPr>
            <w:tcW w:w="4283" w:type="dxa"/>
            <w:tcBorders>
              <w:top w:val="nil"/>
              <w:bottom w:val="nil"/>
              <w:right w:val="nil"/>
            </w:tcBorders>
            <w:shd w:val="clear" w:color="auto" w:fill="FFFFFF"/>
          </w:tcPr>
          <w:p w:rsidR="0047041D" w:rsidRPr="00E94162" w:rsidRDefault="0047041D" w:rsidP="0043717B">
            <w:pPr>
              <w:tabs>
                <w:tab w:val="left" w:pos="426"/>
              </w:tabs>
              <w:spacing w:line="160" w:lineRule="exact"/>
              <w:jc w:val="both"/>
              <w:rPr>
                <w:rFonts w:ascii="Arial Narrow" w:hAnsi="Arial Narrow"/>
                <w:b/>
                <w:snapToGrid w:val="0"/>
                <w:color w:val="000000"/>
                <w:sz w:val="4"/>
                <w:szCs w:val="16"/>
              </w:rPr>
            </w:pP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i/>
                <w:iCs/>
                <w:sz w:val="16"/>
                <w:szCs w:val="16"/>
              </w:rPr>
            </w:pPr>
            <w:r w:rsidRPr="002B18EC">
              <w:rPr>
                <w:rFonts w:ascii="Arial Narrow" w:hAnsi="Arial Narrow" w:cs="Arial"/>
                <w:i/>
                <w:iCs/>
                <w:sz w:val="16"/>
                <w:szCs w:val="16"/>
              </w:rPr>
              <w:t>63.491,9</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i/>
                <w:iCs/>
                <w:sz w:val="16"/>
                <w:szCs w:val="16"/>
              </w:rPr>
            </w:pPr>
            <w:r w:rsidRPr="002B18EC">
              <w:rPr>
                <w:rFonts w:ascii="Arial Narrow" w:hAnsi="Arial Narrow" w:cs="Arial"/>
                <w:i/>
                <w:iCs/>
                <w:sz w:val="16"/>
                <w:szCs w:val="16"/>
              </w:rPr>
              <w:t>72.716,9</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i/>
                <w:iCs/>
                <w:sz w:val="16"/>
                <w:szCs w:val="16"/>
              </w:rPr>
            </w:pPr>
            <w:r w:rsidRPr="002B18EC">
              <w:rPr>
                <w:rFonts w:ascii="Arial Narrow" w:hAnsi="Arial Narrow" w:cs="Arial"/>
                <w:i/>
                <w:iCs/>
                <w:sz w:val="16"/>
                <w:szCs w:val="16"/>
              </w:rPr>
              <w:t>74.313,6</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i/>
                <w:iCs/>
                <w:sz w:val="16"/>
                <w:szCs w:val="16"/>
              </w:rPr>
            </w:pPr>
            <w:r w:rsidRPr="002B18EC">
              <w:rPr>
                <w:rFonts w:ascii="Arial Narrow" w:hAnsi="Arial Narrow" w:cs="Arial"/>
                <w:i/>
                <w:iCs/>
                <w:sz w:val="16"/>
                <w:szCs w:val="16"/>
              </w:rPr>
              <w:t>53.605,7</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i/>
                <w:iCs/>
                <w:sz w:val="16"/>
                <w:szCs w:val="16"/>
              </w:rPr>
            </w:pPr>
            <w:r w:rsidRPr="002B18EC">
              <w:rPr>
                <w:rFonts w:ascii="Arial Narrow" w:hAnsi="Arial Narrow" w:cs="Arial"/>
                <w:i/>
                <w:iCs/>
                <w:sz w:val="16"/>
                <w:szCs w:val="16"/>
              </w:rPr>
              <w:t>55.582,0</w:t>
            </w:r>
          </w:p>
        </w:tc>
        <w:tc>
          <w:tcPr>
            <w:tcW w:w="779" w:type="dxa"/>
            <w:tcBorders>
              <w:top w:val="nil"/>
              <w:left w:val="nil"/>
              <w:bottom w:val="nil"/>
            </w:tcBorders>
            <w:shd w:val="clear" w:color="auto" w:fill="FFFFFF"/>
            <w:vAlign w:val="bottom"/>
          </w:tcPr>
          <w:p w:rsidR="0047041D" w:rsidRPr="002B18EC" w:rsidRDefault="0047041D" w:rsidP="005C0E1F">
            <w:pPr>
              <w:jc w:val="right"/>
              <w:rPr>
                <w:rFonts w:ascii="Arial Narrow" w:hAnsi="Arial Narrow" w:cs="Arial"/>
                <w:i/>
                <w:iCs/>
                <w:sz w:val="16"/>
                <w:szCs w:val="16"/>
              </w:rPr>
            </w:pPr>
            <w:r w:rsidRPr="002B18EC">
              <w:rPr>
                <w:rFonts w:ascii="Arial Narrow" w:hAnsi="Arial Narrow" w:cs="Arial"/>
                <w:i/>
                <w:iCs/>
                <w:sz w:val="16"/>
                <w:szCs w:val="16"/>
              </w:rPr>
              <w:t>47.074,2</w:t>
            </w:r>
          </w:p>
        </w:tc>
      </w:tr>
      <w:tr w:rsidR="0047041D" w:rsidTr="005C0E1F">
        <w:trPr>
          <w:cantSplit/>
          <w:trHeight w:val="20"/>
        </w:trPr>
        <w:tc>
          <w:tcPr>
            <w:tcW w:w="4283" w:type="dxa"/>
            <w:tcBorders>
              <w:top w:val="nil"/>
              <w:bottom w:val="nil"/>
              <w:right w:val="nil"/>
            </w:tcBorders>
            <w:shd w:val="clear" w:color="auto" w:fill="D9D9D9" w:themeFill="background1" w:themeFillShade="D9"/>
          </w:tcPr>
          <w:p w:rsidR="0047041D" w:rsidRPr="00472EC7" w:rsidRDefault="0047041D" w:rsidP="0043717B">
            <w:pPr>
              <w:tabs>
                <w:tab w:val="left" w:pos="426"/>
              </w:tabs>
              <w:spacing w:line="160" w:lineRule="exact"/>
              <w:rPr>
                <w:rFonts w:ascii="Arial Narrow" w:hAnsi="Arial Narrow"/>
                <w:b/>
                <w:snapToGrid w:val="0"/>
                <w:color w:val="000000"/>
                <w:sz w:val="16"/>
                <w:szCs w:val="16"/>
              </w:rPr>
            </w:pPr>
            <w:r w:rsidRPr="00472EC7">
              <w:rPr>
                <w:rFonts w:ascii="Arial Narrow" w:hAnsi="Arial Narrow"/>
                <w:b/>
                <w:snapToGrid w:val="0"/>
                <w:color w:val="000000"/>
                <w:sz w:val="16"/>
                <w:szCs w:val="16"/>
              </w:rPr>
              <w:t>Ι.A</w:t>
            </w:r>
            <w:r w:rsidRPr="00472EC7">
              <w:rPr>
                <w:rFonts w:ascii="Arial Narrow" w:hAnsi="Arial Narrow"/>
                <w:b/>
                <w:snapToGrid w:val="0"/>
                <w:color w:val="000000"/>
                <w:sz w:val="16"/>
                <w:szCs w:val="16"/>
              </w:rPr>
              <w:tab/>
            </w:r>
            <w:r>
              <w:rPr>
                <w:rFonts w:ascii="Arial Narrow" w:hAnsi="Arial Narrow"/>
                <w:b/>
                <w:snapToGrid w:val="0"/>
                <w:color w:val="000000"/>
                <w:sz w:val="16"/>
                <w:szCs w:val="16"/>
              </w:rPr>
              <w:t>Ι</w:t>
            </w:r>
            <w:r w:rsidRPr="00472EC7">
              <w:rPr>
                <w:rFonts w:ascii="Arial Narrow" w:hAnsi="Arial Narrow"/>
                <w:b/>
                <w:snapToGrid w:val="0"/>
                <w:color w:val="000000"/>
                <w:sz w:val="16"/>
                <w:szCs w:val="16"/>
              </w:rPr>
              <w:t xml:space="preserve">σοζύγιο </w:t>
            </w:r>
            <w:r>
              <w:rPr>
                <w:rFonts w:ascii="Arial Narrow" w:hAnsi="Arial Narrow"/>
                <w:b/>
                <w:snapToGrid w:val="0"/>
                <w:color w:val="000000"/>
                <w:sz w:val="16"/>
                <w:szCs w:val="16"/>
              </w:rPr>
              <w:t xml:space="preserve">αγαθών </w:t>
            </w:r>
            <w:r w:rsidRPr="00472EC7">
              <w:rPr>
                <w:rFonts w:ascii="Arial Narrow" w:hAnsi="Arial Narrow"/>
                <w:b/>
                <w:snapToGrid w:val="0"/>
                <w:color w:val="000000"/>
                <w:sz w:val="16"/>
                <w:szCs w:val="16"/>
              </w:rPr>
              <w:t>( I.Α.1 -</w:t>
            </w:r>
            <w:r>
              <w:rPr>
                <w:rFonts w:ascii="Arial Narrow" w:hAnsi="Arial Narrow"/>
                <w:b/>
                <w:snapToGrid w:val="0"/>
                <w:color w:val="000000"/>
                <w:sz w:val="16"/>
                <w:szCs w:val="16"/>
              </w:rPr>
              <w:t xml:space="preserve"> </w:t>
            </w:r>
            <w:r w:rsidRPr="00472EC7">
              <w:rPr>
                <w:rFonts w:ascii="Arial Narrow" w:hAnsi="Arial Narrow"/>
                <w:b/>
                <w:snapToGrid w:val="0"/>
                <w:color w:val="000000"/>
                <w:sz w:val="16"/>
                <w:szCs w:val="16"/>
              </w:rPr>
              <w:t>I.Α.2)</w:t>
            </w:r>
          </w:p>
        </w:tc>
        <w:tc>
          <w:tcPr>
            <w:tcW w:w="802" w:type="dxa"/>
            <w:tcBorders>
              <w:top w:val="nil"/>
              <w:left w:val="nil"/>
              <w:bottom w:val="nil"/>
              <w:right w:val="nil"/>
            </w:tcBorders>
            <w:shd w:val="clear" w:color="auto" w:fill="D9D9D9" w:themeFill="background1" w:themeFillShade="D9"/>
            <w:vAlign w:val="bottom"/>
          </w:tcPr>
          <w:p w:rsidR="0047041D" w:rsidRPr="002B18EC" w:rsidRDefault="0047041D" w:rsidP="005C0E1F">
            <w:pPr>
              <w:jc w:val="right"/>
              <w:rPr>
                <w:rFonts w:ascii="Arial Narrow" w:hAnsi="Arial Narrow" w:cs="Arial"/>
                <w:b/>
                <w:bCs/>
                <w:sz w:val="16"/>
                <w:szCs w:val="16"/>
              </w:rPr>
            </w:pPr>
            <w:r w:rsidRPr="002B18EC">
              <w:rPr>
                <w:rFonts w:ascii="Arial Narrow" w:hAnsi="Arial Narrow" w:cs="Arial"/>
                <w:b/>
                <w:bCs/>
                <w:sz w:val="16"/>
                <w:szCs w:val="16"/>
              </w:rPr>
              <w:t>-19.833,9</w:t>
            </w:r>
          </w:p>
        </w:tc>
        <w:tc>
          <w:tcPr>
            <w:tcW w:w="802" w:type="dxa"/>
            <w:tcBorders>
              <w:top w:val="nil"/>
              <w:left w:val="nil"/>
              <w:bottom w:val="nil"/>
              <w:right w:val="nil"/>
            </w:tcBorders>
            <w:shd w:val="clear" w:color="auto" w:fill="D9D9D9" w:themeFill="background1" w:themeFillShade="D9"/>
            <w:vAlign w:val="bottom"/>
          </w:tcPr>
          <w:p w:rsidR="0047041D" w:rsidRPr="002B18EC" w:rsidRDefault="0047041D" w:rsidP="005C0E1F">
            <w:pPr>
              <w:jc w:val="right"/>
              <w:rPr>
                <w:rFonts w:ascii="Arial Narrow" w:hAnsi="Arial Narrow" w:cs="Arial"/>
                <w:b/>
                <w:bCs/>
                <w:sz w:val="16"/>
                <w:szCs w:val="16"/>
              </w:rPr>
            </w:pPr>
            <w:r w:rsidRPr="002B18EC">
              <w:rPr>
                <w:rFonts w:ascii="Arial Narrow" w:hAnsi="Arial Narrow" w:cs="Arial"/>
                <w:b/>
                <w:bCs/>
                <w:sz w:val="16"/>
                <w:szCs w:val="16"/>
              </w:rPr>
              <w:t>-22.489,1</w:t>
            </w:r>
          </w:p>
        </w:tc>
        <w:tc>
          <w:tcPr>
            <w:tcW w:w="802" w:type="dxa"/>
            <w:tcBorders>
              <w:top w:val="nil"/>
              <w:left w:val="nil"/>
              <w:bottom w:val="nil"/>
              <w:right w:val="nil"/>
            </w:tcBorders>
            <w:shd w:val="clear" w:color="auto" w:fill="D9D9D9" w:themeFill="background1" w:themeFillShade="D9"/>
            <w:vAlign w:val="bottom"/>
          </w:tcPr>
          <w:p w:rsidR="0047041D" w:rsidRPr="002B18EC" w:rsidRDefault="0047041D" w:rsidP="005C0E1F">
            <w:pPr>
              <w:jc w:val="right"/>
              <w:rPr>
                <w:rFonts w:ascii="Arial Narrow" w:hAnsi="Arial Narrow" w:cs="Arial"/>
                <w:b/>
                <w:bCs/>
                <w:sz w:val="16"/>
                <w:szCs w:val="16"/>
              </w:rPr>
            </w:pPr>
            <w:r w:rsidRPr="002B18EC">
              <w:rPr>
                <w:rFonts w:ascii="Arial Narrow" w:hAnsi="Arial Narrow" w:cs="Arial"/>
                <w:b/>
                <w:bCs/>
                <w:sz w:val="16"/>
                <w:szCs w:val="16"/>
              </w:rPr>
              <w:t>-22.833,3</w:t>
            </w:r>
          </w:p>
        </w:tc>
        <w:tc>
          <w:tcPr>
            <w:tcW w:w="802" w:type="dxa"/>
            <w:tcBorders>
              <w:top w:val="nil"/>
              <w:left w:val="nil"/>
              <w:bottom w:val="nil"/>
              <w:right w:val="nil"/>
            </w:tcBorders>
            <w:shd w:val="clear" w:color="auto" w:fill="D9D9D9" w:themeFill="background1" w:themeFillShade="D9"/>
            <w:vAlign w:val="bottom"/>
          </w:tcPr>
          <w:p w:rsidR="0047041D" w:rsidRPr="002B18EC" w:rsidRDefault="0047041D" w:rsidP="005C0E1F">
            <w:pPr>
              <w:jc w:val="right"/>
              <w:rPr>
                <w:rFonts w:ascii="Arial Narrow" w:hAnsi="Arial Narrow" w:cs="Arial"/>
                <w:b/>
                <w:bCs/>
                <w:sz w:val="16"/>
                <w:szCs w:val="16"/>
              </w:rPr>
            </w:pPr>
            <w:r w:rsidRPr="002B18EC">
              <w:rPr>
                <w:rFonts w:ascii="Arial Narrow" w:hAnsi="Arial Narrow" w:cs="Arial"/>
                <w:b/>
                <w:bCs/>
                <w:sz w:val="16"/>
                <w:szCs w:val="16"/>
              </w:rPr>
              <w:t>-16.568,0</w:t>
            </w:r>
          </w:p>
        </w:tc>
        <w:tc>
          <w:tcPr>
            <w:tcW w:w="802" w:type="dxa"/>
            <w:tcBorders>
              <w:top w:val="nil"/>
              <w:left w:val="nil"/>
              <w:bottom w:val="nil"/>
              <w:right w:val="nil"/>
            </w:tcBorders>
            <w:shd w:val="clear" w:color="auto" w:fill="D9D9D9" w:themeFill="background1" w:themeFillShade="D9"/>
            <w:vAlign w:val="bottom"/>
          </w:tcPr>
          <w:p w:rsidR="0047041D" w:rsidRPr="002B18EC" w:rsidRDefault="0047041D" w:rsidP="005C0E1F">
            <w:pPr>
              <w:jc w:val="right"/>
              <w:rPr>
                <w:rFonts w:ascii="Arial Narrow" w:hAnsi="Arial Narrow" w:cs="Arial"/>
                <w:b/>
                <w:bCs/>
                <w:sz w:val="16"/>
                <w:szCs w:val="16"/>
              </w:rPr>
            </w:pPr>
            <w:r w:rsidRPr="002B18EC">
              <w:rPr>
                <w:rFonts w:ascii="Arial Narrow" w:hAnsi="Arial Narrow" w:cs="Arial"/>
                <w:b/>
                <w:bCs/>
                <w:sz w:val="16"/>
                <w:szCs w:val="16"/>
              </w:rPr>
              <w:t>-17.468,6</w:t>
            </w:r>
          </w:p>
        </w:tc>
        <w:tc>
          <w:tcPr>
            <w:tcW w:w="779" w:type="dxa"/>
            <w:tcBorders>
              <w:top w:val="nil"/>
              <w:left w:val="nil"/>
              <w:bottom w:val="nil"/>
            </w:tcBorders>
            <w:shd w:val="clear" w:color="auto" w:fill="D9D9D9" w:themeFill="background1" w:themeFillShade="D9"/>
            <w:vAlign w:val="bottom"/>
          </w:tcPr>
          <w:p w:rsidR="0047041D" w:rsidRPr="002B18EC" w:rsidRDefault="0047041D" w:rsidP="005C0E1F">
            <w:pPr>
              <w:jc w:val="right"/>
              <w:rPr>
                <w:rFonts w:ascii="Arial Narrow" w:hAnsi="Arial Narrow" w:cs="Arial"/>
                <w:b/>
                <w:bCs/>
                <w:sz w:val="16"/>
                <w:szCs w:val="16"/>
              </w:rPr>
            </w:pPr>
            <w:r w:rsidRPr="002B18EC">
              <w:rPr>
                <w:rFonts w:ascii="Arial Narrow" w:hAnsi="Arial Narrow" w:cs="Arial"/>
                <w:b/>
                <w:bCs/>
                <w:sz w:val="16"/>
                <w:szCs w:val="16"/>
              </w:rPr>
              <w:t>-14.125,3</w:t>
            </w:r>
          </w:p>
        </w:tc>
      </w:tr>
      <w:tr w:rsidR="0047041D" w:rsidTr="005C0E1F">
        <w:trPr>
          <w:cantSplit/>
          <w:trHeight w:val="20"/>
        </w:trPr>
        <w:tc>
          <w:tcPr>
            <w:tcW w:w="4283" w:type="dxa"/>
            <w:tcBorders>
              <w:top w:val="nil"/>
              <w:bottom w:val="nil"/>
              <w:right w:val="nil"/>
            </w:tcBorders>
            <w:shd w:val="clear" w:color="auto" w:fill="FFFFFF"/>
          </w:tcPr>
          <w:p w:rsidR="0047041D" w:rsidRPr="00472EC7" w:rsidRDefault="0047041D" w:rsidP="0043717B">
            <w:pPr>
              <w:tabs>
                <w:tab w:val="left" w:pos="426"/>
              </w:tabs>
              <w:spacing w:line="160" w:lineRule="exact"/>
              <w:rPr>
                <w:rFonts w:ascii="Arial Narrow" w:hAnsi="Arial Narrow"/>
                <w:b/>
                <w:snapToGrid w:val="0"/>
                <w:color w:val="000000"/>
                <w:sz w:val="16"/>
                <w:szCs w:val="16"/>
              </w:rPr>
            </w:pPr>
            <w:r w:rsidRPr="00472EC7">
              <w:rPr>
                <w:rFonts w:ascii="Arial Narrow" w:hAnsi="Arial Narrow"/>
                <w:snapToGrid w:val="0"/>
                <w:color w:val="000000"/>
                <w:sz w:val="16"/>
                <w:szCs w:val="16"/>
              </w:rPr>
              <w:t>I.A.1</w:t>
            </w:r>
            <w:r w:rsidRPr="00472EC7">
              <w:rPr>
                <w:rFonts w:ascii="Arial Narrow" w:hAnsi="Arial Narrow"/>
                <w:snapToGrid w:val="0"/>
                <w:color w:val="000000"/>
                <w:sz w:val="16"/>
                <w:szCs w:val="16"/>
              </w:rPr>
              <w:tab/>
            </w:r>
            <w:r w:rsidRPr="00472EC7">
              <w:rPr>
                <w:rFonts w:ascii="Arial Narrow" w:hAnsi="Arial Narrow"/>
                <w:b/>
                <w:snapToGrid w:val="0"/>
                <w:color w:val="000000"/>
                <w:sz w:val="16"/>
                <w:szCs w:val="16"/>
              </w:rPr>
              <w:t>Εξαγωγές</w:t>
            </w:r>
            <w:r>
              <w:rPr>
                <w:rFonts w:ascii="Arial Narrow" w:hAnsi="Arial Narrow"/>
                <w:b/>
                <w:snapToGrid w:val="0"/>
                <w:color w:val="000000"/>
                <w:sz w:val="16"/>
                <w:szCs w:val="16"/>
              </w:rPr>
              <w:t xml:space="preserve"> </w:t>
            </w:r>
            <w:r w:rsidRPr="00472EC7">
              <w:rPr>
                <w:rFonts w:ascii="Arial Narrow" w:hAnsi="Arial Narrow"/>
                <w:b/>
                <w:snapToGrid w:val="0"/>
                <w:color w:val="000000"/>
                <w:sz w:val="16"/>
                <w:szCs w:val="16"/>
              </w:rPr>
              <w:t>αγαθών</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b/>
                <w:bCs/>
                <w:sz w:val="16"/>
                <w:szCs w:val="16"/>
              </w:rPr>
            </w:pPr>
            <w:r w:rsidRPr="002B18EC">
              <w:rPr>
                <w:rFonts w:ascii="Arial Narrow" w:hAnsi="Arial Narrow" w:cs="Arial"/>
                <w:b/>
                <w:bCs/>
                <w:sz w:val="16"/>
                <w:szCs w:val="16"/>
              </w:rPr>
              <w:t>28.040,5</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b/>
                <w:bCs/>
                <w:sz w:val="16"/>
                <w:szCs w:val="16"/>
              </w:rPr>
            </w:pPr>
            <w:r w:rsidRPr="002B18EC">
              <w:rPr>
                <w:rFonts w:ascii="Arial Narrow" w:hAnsi="Arial Narrow" w:cs="Arial"/>
                <w:b/>
                <w:bCs/>
                <w:sz w:val="16"/>
                <w:szCs w:val="16"/>
              </w:rPr>
              <w:t>32.372,8</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b/>
                <w:bCs/>
                <w:sz w:val="16"/>
                <w:szCs w:val="16"/>
              </w:rPr>
            </w:pPr>
            <w:r w:rsidRPr="002B18EC">
              <w:rPr>
                <w:rFonts w:ascii="Arial Narrow" w:hAnsi="Arial Narrow" w:cs="Arial"/>
                <w:b/>
                <w:bCs/>
                <w:sz w:val="16"/>
                <w:szCs w:val="16"/>
              </w:rPr>
              <w:t>32.433,6</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b/>
                <w:bCs/>
                <w:sz w:val="16"/>
                <w:szCs w:val="16"/>
              </w:rPr>
            </w:pPr>
            <w:r w:rsidRPr="002B18EC">
              <w:rPr>
                <w:rFonts w:ascii="Arial Narrow" w:hAnsi="Arial Narrow" w:cs="Arial"/>
                <w:b/>
                <w:bCs/>
                <w:sz w:val="16"/>
                <w:szCs w:val="16"/>
              </w:rPr>
              <w:t>23.908,9</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b/>
                <w:bCs/>
                <w:sz w:val="16"/>
                <w:szCs w:val="16"/>
              </w:rPr>
            </w:pPr>
            <w:r w:rsidRPr="002B18EC">
              <w:rPr>
                <w:rFonts w:ascii="Arial Narrow" w:hAnsi="Arial Narrow" w:cs="Arial"/>
                <w:b/>
                <w:bCs/>
                <w:sz w:val="16"/>
                <w:szCs w:val="16"/>
              </w:rPr>
              <w:t>24.274,5</w:t>
            </w:r>
          </w:p>
        </w:tc>
        <w:tc>
          <w:tcPr>
            <w:tcW w:w="779" w:type="dxa"/>
            <w:tcBorders>
              <w:top w:val="nil"/>
              <w:left w:val="nil"/>
              <w:bottom w:val="nil"/>
            </w:tcBorders>
            <w:shd w:val="clear" w:color="auto" w:fill="FFFFFF"/>
            <w:vAlign w:val="bottom"/>
          </w:tcPr>
          <w:p w:rsidR="0047041D" w:rsidRPr="002B18EC" w:rsidRDefault="0047041D" w:rsidP="005C0E1F">
            <w:pPr>
              <w:jc w:val="right"/>
              <w:rPr>
                <w:rFonts w:ascii="Arial Narrow" w:hAnsi="Arial Narrow" w:cs="Arial"/>
                <w:b/>
                <w:bCs/>
                <w:sz w:val="16"/>
                <w:szCs w:val="16"/>
              </w:rPr>
            </w:pPr>
            <w:r w:rsidRPr="002B18EC">
              <w:rPr>
                <w:rFonts w:ascii="Arial Narrow" w:hAnsi="Arial Narrow" w:cs="Arial"/>
                <w:b/>
                <w:bCs/>
                <w:sz w:val="16"/>
                <w:szCs w:val="16"/>
              </w:rPr>
              <w:t>21.096,2</w:t>
            </w:r>
          </w:p>
        </w:tc>
      </w:tr>
      <w:tr w:rsidR="0047041D" w:rsidTr="005C0E1F">
        <w:trPr>
          <w:cantSplit/>
          <w:trHeight w:val="20"/>
        </w:trPr>
        <w:tc>
          <w:tcPr>
            <w:tcW w:w="4283" w:type="dxa"/>
            <w:tcBorders>
              <w:top w:val="nil"/>
              <w:bottom w:val="nil"/>
              <w:right w:val="nil"/>
            </w:tcBorders>
            <w:shd w:val="clear" w:color="auto" w:fill="FFFFFF"/>
          </w:tcPr>
          <w:p w:rsidR="0047041D" w:rsidRPr="00472EC7" w:rsidRDefault="0047041D" w:rsidP="0043717B">
            <w:pPr>
              <w:tabs>
                <w:tab w:val="left" w:pos="426"/>
              </w:tabs>
              <w:spacing w:line="160" w:lineRule="exact"/>
              <w:rPr>
                <w:rFonts w:ascii="Arial Narrow" w:hAnsi="Arial Narrow"/>
                <w:snapToGrid w:val="0"/>
                <w:color w:val="000000"/>
                <w:sz w:val="16"/>
                <w:szCs w:val="16"/>
              </w:rPr>
            </w:pPr>
            <w:r w:rsidRPr="00472EC7">
              <w:rPr>
                <w:rFonts w:ascii="Arial Narrow" w:hAnsi="Arial Narrow"/>
                <w:snapToGrid w:val="0"/>
                <w:color w:val="000000"/>
                <w:sz w:val="16"/>
                <w:szCs w:val="16"/>
              </w:rPr>
              <w:tab/>
              <w:t>Καύσιμα</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7.887,8</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10.016,9</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9.078,8</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7.343,8</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6.940,1</w:t>
            </w:r>
          </w:p>
        </w:tc>
        <w:tc>
          <w:tcPr>
            <w:tcW w:w="779" w:type="dxa"/>
            <w:tcBorders>
              <w:top w:val="nil"/>
              <w:left w:val="nil"/>
              <w:bottom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4.433,2</w:t>
            </w:r>
          </w:p>
        </w:tc>
      </w:tr>
      <w:tr w:rsidR="0047041D" w:rsidTr="005C0E1F">
        <w:trPr>
          <w:cantSplit/>
          <w:trHeight w:val="20"/>
        </w:trPr>
        <w:tc>
          <w:tcPr>
            <w:tcW w:w="4283" w:type="dxa"/>
            <w:tcBorders>
              <w:top w:val="nil"/>
              <w:bottom w:val="nil"/>
              <w:right w:val="nil"/>
            </w:tcBorders>
            <w:shd w:val="clear" w:color="auto" w:fill="FFFFFF"/>
          </w:tcPr>
          <w:p w:rsidR="0047041D" w:rsidRPr="00472EC7" w:rsidRDefault="0047041D" w:rsidP="0043717B">
            <w:pPr>
              <w:tabs>
                <w:tab w:val="left" w:pos="426"/>
              </w:tabs>
              <w:spacing w:line="160" w:lineRule="exact"/>
              <w:rPr>
                <w:rFonts w:ascii="Arial Narrow" w:hAnsi="Arial Narrow"/>
                <w:snapToGrid w:val="0"/>
                <w:color w:val="000000"/>
                <w:sz w:val="16"/>
                <w:szCs w:val="16"/>
              </w:rPr>
            </w:pPr>
            <w:r w:rsidRPr="00472EC7">
              <w:rPr>
                <w:rFonts w:ascii="Arial Narrow" w:hAnsi="Arial Narrow"/>
                <w:snapToGrid w:val="0"/>
                <w:color w:val="000000"/>
                <w:sz w:val="16"/>
                <w:szCs w:val="16"/>
              </w:rPr>
              <w:tab/>
              <w:t>Πλοία (</w:t>
            </w:r>
            <w:r>
              <w:rPr>
                <w:rFonts w:ascii="Arial Narrow" w:hAnsi="Arial Narrow"/>
                <w:snapToGrid w:val="0"/>
                <w:color w:val="000000"/>
                <w:sz w:val="16"/>
                <w:szCs w:val="16"/>
              </w:rPr>
              <w:t>πωλήσεις</w:t>
            </w:r>
            <w:r w:rsidRPr="00472EC7">
              <w:rPr>
                <w:rFonts w:ascii="Arial Narrow" w:hAnsi="Arial Narrow"/>
                <w:snapToGrid w:val="0"/>
                <w:color w:val="000000"/>
                <w:sz w:val="16"/>
                <w:szCs w:val="16"/>
              </w:rPr>
              <w:t>)</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102,0</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130,9</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91,5</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123,6</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58,2</w:t>
            </w:r>
          </w:p>
        </w:tc>
        <w:tc>
          <w:tcPr>
            <w:tcW w:w="779" w:type="dxa"/>
            <w:tcBorders>
              <w:top w:val="nil"/>
              <w:left w:val="nil"/>
              <w:bottom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56,1</w:t>
            </w:r>
          </w:p>
        </w:tc>
      </w:tr>
      <w:tr w:rsidR="0047041D" w:rsidTr="005C0E1F">
        <w:trPr>
          <w:cantSplit/>
          <w:trHeight w:val="20"/>
        </w:trPr>
        <w:tc>
          <w:tcPr>
            <w:tcW w:w="4283" w:type="dxa"/>
            <w:tcBorders>
              <w:top w:val="nil"/>
              <w:bottom w:val="nil"/>
              <w:right w:val="nil"/>
            </w:tcBorders>
            <w:shd w:val="clear" w:color="auto" w:fill="FFFFFF"/>
          </w:tcPr>
          <w:p w:rsidR="0047041D" w:rsidRPr="00472EC7" w:rsidRDefault="0047041D" w:rsidP="0043717B">
            <w:pPr>
              <w:tabs>
                <w:tab w:val="left" w:pos="426"/>
              </w:tabs>
              <w:spacing w:line="160" w:lineRule="exact"/>
              <w:rPr>
                <w:rFonts w:ascii="Arial Narrow" w:hAnsi="Arial Narrow"/>
                <w:snapToGrid w:val="0"/>
                <w:color w:val="000000"/>
                <w:sz w:val="16"/>
                <w:szCs w:val="16"/>
              </w:rPr>
            </w:pPr>
            <w:r w:rsidRPr="00472EC7">
              <w:rPr>
                <w:rFonts w:ascii="Arial Narrow" w:hAnsi="Arial Narrow"/>
                <w:snapToGrid w:val="0"/>
                <w:color w:val="000000"/>
                <w:sz w:val="16"/>
                <w:szCs w:val="16"/>
              </w:rPr>
              <w:tab/>
            </w:r>
            <w:r>
              <w:rPr>
                <w:rFonts w:ascii="Arial Narrow" w:hAnsi="Arial Narrow"/>
                <w:snapToGrid w:val="0"/>
                <w:color w:val="000000"/>
                <w:sz w:val="16"/>
                <w:szCs w:val="16"/>
              </w:rPr>
              <w:t>Α</w:t>
            </w:r>
            <w:r w:rsidRPr="00472EC7">
              <w:rPr>
                <w:rFonts w:ascii="Arial Narrow" w:hAnsi="Arial Narrow"/>
                <w:snapToGrid w:val="0"/>
                <w:color w:val="000000"/>
                <w:sz w:val="16"/>
                <w:szCs w:val="16"/>
              </w:rPr>
              <w:t>γαθά</w:t>
            </w:r>
            <w:r>
              <w:rPr>
                <w:rFonts w:ascii="Arial Narrow" w:hAnsi="Arial Narrow"/>
                <w:snapToGrid w:val="0"/>
                <w:color w:val="000000"/>
                <w:sz w:val="16"/>
                <w:szCs w:val="16"/>
              </w:rPr>
              <w:t xml:space="preserve"> χωρίς καύσιμα και πλοία</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20.050,7</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22.225,0</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23.263,4</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16.441,5</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17.276,1</w:t>
            </w:r>
          </w:p>
        </w:tc>
        <w:tc>
          <w:tcPr>
            <w:tcW w:w="779" w:type="dxa"/>
            <w:tcBorders>
              <w:top w:val="nil"/>
              <w:left w:val="nil"/>
              <w:bottom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16.606,9</w:t>
            </w:r>
          </w:p>
        </w:tc>
      </w:tr>
      <w:tr w:rsidR="0047041D" w:rsidTr="005C0E1F">
        <w:trPr>
          <w:cantSplit/>
          <w:trHeight w:val="20"/>
        </w:trPr>
        <w:tc>
          <w:tcPr>
            <w:tcW w:w="4283" w:type="dxa"/>
            <w:tcBorders>
              <w:top w:val="nil"/>
              <w:bottom w:val="nil"/>
              <w:right w:val="nil"/>
            </w:tcBorders>
            <w:shd w:val="clear" w:color="auto" w:fill="FFFFFF"/>
          </w:tcPr>
          <w:p w:rsidR="0047041D" w:rsidRPr="00472EC7" w:rsidRDefault="0047041D" w:rsidP="0043717B">
            <w:pPr>
              <w:tabs>
                <w:tab w:val="left" w:pos="426"/>
              </w:tabs>
              <w:spacing w:line="160" w:lineRule="exact"/>
              <w:rPr>
                <w:rFonts w:ascii="Arial Narrow" w:hAnsi="Arial Narrow"/>
                <w:b/>
                <w:snapToGrid w:val="0"/>
                <w:color w:val="000000"/>
                <w:sz w:val="16"/>
                <w:szCs w:val="16"/>
              </w:rPr>
            </w:pPr>
            <w:r w:rsidRPr="00472EC7">
              <w:rPr>
                <w:rFonts w:ascii="Arial Narrow" w:hAnsi="Arial Narrow"/>
                <w:snapToGrid w:val="0"/>
                <w:color w:val="000000"/>
                <w:sz w:val="16"/>
                <w:szCs w:val="16"/>
              </w:rPr>
              <w:t>I.A.2</w:t>
            </w:r>
            <w:r w:rsidRPr="00472EC7">
              <w:rPr>
                <w:rFonts w:ascii="Arial Narrow" w:hAnsi="Arial Narrow"/>
                <w:snapToGrid w:val="0"/>
                <w:color w:val="000000"/>
                <w:sz w:val="16"/>
                <w:szCs w:val="16"/>
              </w:rPr>
              <w:tab/>
            </w:r>
            <w:r w:rsidRPr="00472EC7">
              <w:rPr>
                <w:rFonts w:ascii="Arial Narrow" w:hAnsi="Arial Narrow"/>
                <w:b/>
                <w:snapToGrid w:val="0"/>
                <w:color w:val="000000"/>
                <w:sz w:val="16"/>
                <w:szCs w:val="16"/>
              </w:rPr>
              <w:t>Εισαγωγές</w:t>
            </w:r>
            <w:r>
              <w:rPr>
                <w:rFonts w:ascii="Arial Narrow" w:hAnsi="Arial Narrow"/>
                <w:b/>
                <w:snapToGrid w:val="0"/>
                <w:color w:val="000000"/>
                <w:sz w:val="16"/>
                <w:szCs w:val="16"/>
              </w:rPr>
              <w:t xml:space="preserve"> </w:t>
            </w:r>
            <w:r w:rsidRPr="00472EC7">
              <w:rPr>
                <w:rFonts w:ascii="Arial Narrow" w:hAnsi="Arial Narrow"/>
                <w:b/>
                <w:snapToGrid w:val="0"/>
                <w:color w:val="000000"/>
                <w:sz w:val="16"/>
                <w:szCs w:val="16"/>
              </w:rPr>
              <w:t>αγαθών</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b/>
                <w:bCs/>
                <w:sz w:val="16"/>
                <w:szCs w:val="16"/>
              </w:rPr>
            </w:pPr>
            <w:r w:rsidRPr="002B18EC">
              <w:rPr>
                <w:rFonts w:ascii="Arial Narrow" w:hAnsi="Arial Narrow" w:cs="Arial"/>
                <w:b/>
                <w:bCs/>
                <w:sz w:val="16"/>
                <w:szCs w:val="16"/>
              </w:rPr>
              <w:t>47.874,4</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b/>
                <w:bCs/>
                <w:sz w:val="16"/>
                <w:szCs w:val="16"/>
              </w:rPr>
            </w:pPr>
            <w:r w:rsidRPr="002B18EC">
              <w:rPr>
                <w:rFonts w:ascii="Arial Narrow" w:hAnsi="Arial Narrow" w:cs="Arial"/>
                <w:b/>
                <w:bCs/>
                <w:sz w:val="16"/>
                <w:szCs w:val="16"/>
              </w:rPr>
              <w:t>54.861,9</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b/>
                <w:bCs/>
                <w:sz w:val="16"/>
                <w:szCs w:val="16"/>
              </w:rPr>
            </w:pPr>
            <w:r w:rsidRPr="002B18EC">
              <w:rPr>
                <w:rFonts w:ascii="Arial Narrow" w:hAnsi="Arial Narrow" w:cs="Arial"/>
                <w:b/>
                <w:bCs/>
                <w:sz w:val="16"/>
                <w:szCs w:val="16"/>
              </w:rPr>
              <w:t>55.266,9</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b/>
                <w:bCs/>
                <w:sz w:val="16"/>
                <w:szCs w:val="16"/>
              </w:rPr>
            </w:pPr>
            <w:r w:rsidRPr="002B18EC">
              <w:rPr>
                <w:rFonts w:ascii="Arial Narrow" w:hAnsi="Arial Narrow" w:cs="Arial"/>
                <w:b/>
                <w:bCs/>
                <w:sz w:val="16"/>
                <w:szCs w:val="16"/>
              </w:rPr>
              <w:t>40.476,9</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b/>
                <w:bCs/>
                <w:sz w:val="16"/>
                <w:szCs w:val="16"/>
              </w:rPr>
            </w:pPr>
            <w:r w:rsidRPr="002B18EC">
              <w:rPr>
                <w:rFonts w:ascii="Arial Narrow" w:hAnsi="Arial Narrow" w:cs="Arial"/>
                <w:b/>
                <w:bCs/>
                <w:sz w:val="16"/>
                <w:szCs w:val="16"/>
              </w:rPr>
              <w:t>41.743,0</w:t>
            </w:r>
          </w:p>
        </w:tc>
        <w:tc>
          <w:tcPr>
            <w:tcW w:w="779" w:type="dxa"/>
            <w:tcBorders>
              <w:top w:val="nil"/>
              <w:left w:val="nil"/>
              <w:bottom w:val="nil"/>
            </w:tcBorders>
            <w:shd w:val="clear" w:color="auto" w:fill="FFFFFF"/>
            <w:vAlign w:val="bottom"/>
          </w:tcPr>
          <w:p w:rsidR="0047041D" w:rsidRPr="002B18EC" w:rsidRDefault="0047041D" w:rsidP="005C0E1F">
            <w:pPr>
              <w:jc w:val="right"/>
              <w:rPr>
                <w:rFonts w:ascii="Arial Narrow" w:hAnsi="Arial Narrow" w:cs="Arial"/>
                <w:b/>
                <w:bCs/>
                <w:sz w:val="16"/>
                <w:szCs w:val="16"/>
              </w:rPr>
            </w:pPr>
            <w:r w:rsidRPr="002B18EC">
              <w:rPr>
                <w:rFonts w:ascii="Arial Narrow" w:hAnsi="Arial Narrow" w:cs="Arial"/>
                <w:b/>
                <w:bCs/>
                <w:sz w:val="16"/>
                <w:szCs w:val="16"/>
              </w:rPr>
              <w:t>35.221,5</w:t>
            </w:r>
          </w:p>
        </w:tc>
      </w:tr>
      <w:tr w:rsidR="0047041D" w:rsidTr="005C0E1F">
        <w:trPr>
          <w:cantSplit/>
          <w:trHeight w:val="20"/>
        </w:trPr>
        <w:tc>
          <w:tcPr>
            <w:tcW w:w="4283" w:type="dxa"/>
            <w:tcBorders>
              <w:top w:val="nil"/>
              <w:bottom w:val="nil"/>
              <w:right w:val="nil"/>
            </w:tcBorders>
            <w:shd w:val="clear" w:color="auto" w:fill="FFFFFF"/>
          </w:tcPr>
          <w:p w:rsidR="0047041D" w:rsidRPr="00472EC7" w:rsidRDefault="0047041D" w:rsidP="0043717B">
            <w:pPr>
              <w:tabs>
                <w:tab w:val="left" w:pos="426"/>
              </w:tabs>
              <w:spacing w:line="160" w:lineRule="exact"/>
              <w:rPr>
                <w:rFonts w:ascii="Arial Narrow" w:hAnsi="Arial Narrow"/>
                <w:snapToGrid w:val="0"/>
                <w:color w:val="000000"/>
                <w:sz w:val="16"/>
                <w:szCs w:val="16"/>
              </w:rPr>
            </w:pPr>
            <w:r w:rsidRPr="00472EC7">
              <w:rPr>
                <w:rFonts w:ascii="Arial Narrow" w:hAnsi="Arial Narrow"/>
                <w:snapToGrid w:val="0"/>
                <w:color w:val="000000"/>
                <w:sz w:val="16"/>
                <w:szCs w:val="16"/>
              </w:rPr>
              <w:tab/>
              <w:t>Καύσιμα</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11.605,4</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15.197,5</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14.119,3</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11.193,8</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10.897,2</w:t>
            </w:r>
          </w:p>
        </w:tc>
        <w:tc>
          <w:tcPr>
            <w:tcW w:w="779" w:type="dxa"/>
            <w:tcBorders>
              <w:top w:val="nil"/>
              <w:left w:val="nil"/>
              <w:bottom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7.016,1</w:t>
            </w:r>
          </w:p>
        </w:tc>
      </w:tr>
      <w:tr w:rsidR="0047041D" w:rsidTr="005C0E1F">
        <w:trPr>
          <w:cantSplit/>
          <w:trHeight w:val="20"/>
        </w:trPr>
        <w:tc>
          <w:tcPr>
            <w:tcW w:w="4283" w:type="dxa"/>
            <w:tcBorders>
              <w:top w:val="nil"/>
              <w:bottom w:val="nil"/>
              <w:right w:val="nil"/>
            </w:tcBorders>
            <w:shd w:val="clear" w:color="auto" w:fill="FFFFFF"/>
          </w:tcPr>
          <w:p w:rsidR="0047041D" w:rsidRPr="00472EC7" w:rsidRDefault="0047041D" w:rsidP="0043717B">
            <w:pPr>
              <w:tabs>
                <w:tab w:val="left" w:pos="426"/>
              </w:tabs>
              <w:spacing w:line="160" w:lineRule="exact"/>
              <w:rPr>
                <w:rFonts w:ascii="Arial Narrow" w:hAnsi="Arial Narrow"/>
                <w:snapToGrid w:val="0"/>
                <w:color w:val="000000"/>
                <w:sz w:val="16"/>
                <w:szCs w:val="16"/>
              </w:rPr>
            </w:pPr>
            <w:r w:rsidRPr="00472EC7">
              <w:rPr>
                <w:rFonts w:ascii="Arial Narrow" w:hAnsi="Arial Narrow"/>
                <w:snapToGrid w:val="0"/>
                <w:color w:val="000000"/>
                <w:sz w:val="16"/>
                <w:szCs w:val="16"/>
              </w:rPr>
              <w:tab/>
              <w:t>Πλοία (</w:t>
            </w:r>
            <w:r>
              <w:rPr>
                <w:rFonts w:ascii="Arial Narrow" w:hAnsi="Arial Narrow"/>
                <w:snapToGrid w:val="0"/>
                <w:color w:val="000000"/>
                <w:sz w:val="16"/>
                <w:szCs w:val="16"/>
              </w:rPr>
              <w:t>αγορές</w:t>
            </w:r>
            <w:r w:rsidRPr="00472EC7">
              <w:rPr>
                <w:rFonts w:ascii="Arial Narrow" w:hAnsi="Arial Narrow"/>
                <w:snapToGrid w:val="0"/>
                <w:color w:val="000000"/>
                <w:sz w:val="16"/>
                <w:szCs w:val="16"/>
              </w:rPr>
              <w:t>)</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141,9</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187,7</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436,6</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171,5</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339,1</w:t>
            </w:r>
          </w:p>
        </w:tc>
        <w:tc>
          <w:tcPr>
            <w:tcW w:w="779" w:type="dxa"/>
            <w:tcBorders>
              <w:top w:val="nil"/>
              <w:left w:val="nil"/>
              <w:bottom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132,8</w:t>
            </w:r>
          </w:p>
        </w:tc>
      </w:tr>
      <w:tr w:rsidR="0047041D" w:rsidTr="005C0E1F">
        <w:trPr>
          <w:cantSplit/>
          <w:trHeight w:val="20"/>
        </w:trPr>
        <w:tc>
          <w:tcPr>
            <w:tcW w:w="4283" w:type="dxa"/>
            <w:tcBorders>
              <w:top w:val="nil"/>
              <w:bottom w:val="nil"/>
              <w:right w:val="nil"/>
            </w:tcBorders>
            <w:shd w:val="clear" w:color="auto" w:fill="FFFFFF"/>
          </w:tcPr>
          <w:p w:rsidR="0047041D" w:rsidRPr="00472EC7" w:rsidRDefault="0047041D" w:rsidP="0043717B">
            <w:pPr>
              <w:tabs>
                <w:tab w:val="left" w:pos="426"/>
              </w:tabs>
              <w:spacing w:line="160" w:lineRule="exact"/>
              <w:rPr>
                <w:rFonts w:ascii="Arial Narrow" w:hAnsi="Arial Narrow"/>
                <w:snapToGrid w:val="0"/>
                <w:color w:val="000000"/>
                <w:sz w:val="16"/>
                <w:szCs w:val="16"/>
              </w:rPr>
            </w:pPr>
            <w:r w:rsidRPr="00472EC7">
              <w:rPr>
                <w:rFonts w:ascii="Arial Narrow" w:hAnsi="Arial Narrow"/>
                <w:snapToGrid w:val="0"/>
                <w:color w:val="000000"/>
                <w:sz w:val="16"/>
                <w:szCs w:val="16"/>
              </w:rPr>
              <w:tab/>
            </w:r>
            <w:r>
              <w:rPr>
                <w:rFonts w:ascii="Arial Narrow" w:hAnsi="Arial Narrow"/>
                <w:snapToGrid w:val="0"/>
                <w:color w:val="000000"/>
                <w:sz w:val="16"/>
                <w:szCs w:val="16"/>
              </w:rPr>
              <w:t>Α</w:t>
            </w:r>
            <w:r w:rsidRPr="00472EC7">
              <w:rPr>
                <w:rFonts w:ascii="Arial Narrow" w:hAnsi="Arial Narrow"/>
                <w:snapToGrid w:val="0"/>
                <w:color w:val="000000"/>
                <w:sz w:val="16"/>
                <w:szCs w:val="16"/>
              </w:rPr>
              <w:t>γαθά</w:t>
            </w:r>
            <w:r>
              <w:rPr>
                <w:rFonts w:ascii="Arial Narrow" w:hAnsi="Arial Narrow"/>
                <w:snapToGrid w:val="0"/>
                <w:color w:val="000000"/>
                <w:sz w:val="16"/>
                <w:szCs w:val="16"/>
              </w:rPr>
              <w:t xml:space="preserve"> χωρίς καύσιμα και πλοία</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36.127,0</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39.476,7</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40.711,1</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29.111,6</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30.506,8</w:t>
            </w:r>
          </w:p>
        </w:tc>
        <w:tc>
          <w:tcPr>
            <w:tcW w:w="779" w:type="dxa"/>
            <w:tcBorders>
              <w:top w:val="nil"/>
              <w:left w:val="nil"/>
              <w:bottom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28.072,6</w:t>
            </w:r>
          </w:p>
        </w:tc>
      </w:tr>
      <w:tr w:rsidR="0047041D" w:rsidTr="005C0E1F">
        <w:trPr>
          <w:cantSplit/>
          <w:trHeight w:val="20"/>
        </w:trPr>
        <w:tc>
          <w:tcPr>
            <w:tcW w:w="4283" w:type="dxa"/>
            <w:tcBorders>
              <w:top w:val="nil"/>
              <w:bottom w:val="nil"/>
              <w:right w:val="nil"/>
            </w:tcBorders>
            <w:shd w:val="clear" w:color="auto" w:fill="D9D9D9" w:themeFill="background1" w:themeFillShade="D9"/>
          </w:tcPr>
          <w:p w:rsidR="0047041D" w:rsidRPr="00472EC7" w:rsidRDefault="0047041D" w:rsidP="0043717B">
            <w:pPr>
              <w:tabs>
                <w:tab w:val="left" w:pos="426"/>
              </w:tabs>
              <w:spacing w:line="160" w:lineRule="exact"/>
              <w:rPr>
                <w:rFonts w:ascii="Arial Narrow" w:hAnsi="Arial Narrow"/>
                <w:b/>
                <w:snapToGrid w:val="0"/>
                <w:color w:val="000000"/>
                <w:sz w:val="16"/>
                <w:szCs w:val="16"/>
              </w:rPr>
            </w:pPr>
            <w:r w:rsidRPr="00472EC7">
              <w:rPr>
                <w:rFonts w:ascii="Arial Narrow" w:hAnsi="Arial Narrow"/>
                <w:b/>
                <w:snapToGrid w:val="0"/>
                <w:color w:val="000000"/>
                <w:sz w:val="16"/>
                <w:szCs w:val="16"/>
              </w:rPr>
              <w:t>Ι.Β</w:t>
            </w:r>
            <w:r w:rsidRPr="00472EC7">
              <w:rPr>
                <w:rFonts w:ascii="Arial Narrow" w:hAnsi="Arial Narrow"/>
                <w:b/>
                <w:snapToGrid w:val="0"/>
                <w:color w:val="000000"/>
                <w:sz w:val="16"/>
                <w:szCs w:val="16"/>
              </w:rPr>
              <w:tab/>
              <w:t>Ισοζύγιο υπηρεσιών ( I.Β.1 -</w:t>
            </w:r>
            <w:r>
              <w:rPr>
                <w:rFonts w:ascii="Arial Narrow" w:hAnsi="Arial Narrow"/>
                <w:b/>
                <w:snapToGrid w:val="0"/>
                <w:color w:val="000000"/>
                <w:sz w:val="16"/>
                <w:szCs w:val="16"/>
              </w:rPr>
              <w:t xml:space="preserve"> </w:t>
            </w:r>
            <w:r w:rsidRPr="00472EC7">
              <w:rPr>
                <w:rFonts w:ascii="Arial Narrow" w:hAnsi="Arial Narrow"/>
                <w:b/>
                <w:snapToGrid w:val="0"/>
                <w:color w:val="000000"/>
                <w:sz w:val="16"/>
                <w:szCs w:val="16"/>
              </w:rPr>
              <w:t>I.Β.2)</w:t>
            </w:r>
          </w:p>
        </w:tc>
        <w:tc>
          <w:tcPr>
            <w:tcW w:w="802" w:type="dxa"/>
            <w:tcBorders>
              <w:top w:val="nil"/>
              <w:left w:val="nil"/>
              <w:bottom w:val="nil"/>
              <w:right w:val="nil"/>
            </w:tcBorders>
            <w:shd w:val="clear" w:color="auto" w:fill="D9D9D9" w:themeFill="background1" w:themeFillShade="D9"/>
            <w:vAlign w:val="bottom"/>
          </w:tcPr>
          <w:p w:rsidR="0047041D" w:rsidRPr="002B18EC" w:rsidRDefault="0047041D" w:rsidP="005C0E1F">
            <w:pPr>
              <w:jc w:val="right"/>
              <w:rPr>
                <w:rFonts w:ascii="Arial Narrow" w:hAnsi="Arial Narrow" w:cs="Arial"/>
                <w:b/>
                <w:bCs/>
                <w:sz w:val="16"/>
                <w:szCs w:val="16"/>
              </w:rPr>
            </w:pPr>
            <w:r w:rsidRPr="002B18EC">
              <w:rPr>
                <w:rFonts w:ascii="Arial Narrow" w:hAnsi="Arial Narrow" w:cs="Arial"/>
                <w:b/>
                <w:bCs/>
                <w:sz w:val="16"/>
                <w:szCs w:val="16"/>
              </w:rPr>
              <w:t>18.043,7</w:t>
            </w:r>
          </w:p>
        </w:tc>
        <w:tc>
          <w:tcPr>
            <w:tcW w:w="802" w:type="dxa"/>
            <w:tcBorders>
              <w:top w:val="nil"/>
              <w:left w:val="nil"/>
              <w:bottom w:val="nil"/>
              <w:right w:val="nil"/>
            </w:tcBorders>
            <w:shd w:val="clear" w:color="auto" w:fill="D9D9D9" w:themeFill="background1" w:themeFillShade="D9"/>
            <w:vAlign w:val="bottom"/>
          </w:tcPr>
          <w:p w:rsidR="0047041D" w:rsidRPr="002B18EC" w:rsidRDefault="0047041D" w:rsidP="005C0E1F">
            <w:pPr>
              <w:jc w:val="right"/>
              <w:rPr>
                <w:rFonts w:ascii="Arial Narrow" w:hAnsi="Arial Narrow" w:cs="Arial"/>
                <w:b/>
                <w:bCs/>
                <w:sz w:val="16"/>
                <w:szCs w:val="16"/>
              </w:rPr>
            </w:pPr>
            <w:r w:rsidRPr="002B18EC">
              <w:rPr>
                <w:rFonts w:ascii="Arial Narrow" w:hAnsi="Arial Narrow" w:cs="Arial"/>
                <w:b/>
                <w:bCs/>
                <w:sz w:val="16"/>
                <w:szCs w:val="16"/>
              </w:rPr>
              <w:t>19.304,4</w:t>
            </w:r>
          </w:p>
        </w:tc>
        <w:tc>
          <w:tcPr>
            <w:tcW w:w="802" w:type="dxa"/>
            <w:tcBorders>
              <w:top w:val="nil"/>
              <w:left w:val="nil"/>
              <w:bottom w:val="nil"/>
              <w:right w:val="nil"/>
            </w:tcBorders>
            <w:shd w:val="clear" w:color="auto" w:fill="D9D9D9" w:themeFill="background1" w:themeFillShade="D9"/>
            <w:vAlign w:val="bottom"/>
          </w:tcPr>
          <w:p w:rsidR="0047041D" w:rsidRPr="002B18EC" w:rsidRDefault="0047041D" w:rsidP="005C0E1F">
            <w:pPr>
              <w:jc w:val="right"/>
              <w:rPr>
                <w:rFonts w:ascii="Arial Narrow" w:hAnsi="Arial Narrow" w:cs="Arial"/>
                <w:b/>
                <w:bCs/>
                <w:sz w:val="16"/>
                <w:szCs w:val="16"/>
              </w:rPr>
            </w:pPr>
            <w:r w:rsidRPr="002B18EC">
              <w:rPr>
                <w:rFonts w:ascii="Arial Narrow" w:hAnsi="Arial Narrow" w:cs="Arial"/>
                <w:b/>
                <w:bCs/>
                <w:sz w:val="16"/>
                <w:szCs w:val="16"/>
              </w:rPr>
              <w:t>21.115,9</w:t>
            </w:r>
          </w:p>
        </w:tc>
        <w:tc>
          <w:tcPr>
            <w:tcW w:w="802" w:type="dxa"/>
            <w:tcBorders>
              <w:top w:val="nil"/>
              <w:left w:val="nil"/>
              <w:bottom w:val="nil"/>
              <w:right w:val="nil"/>
            </w:tcBorders>
            <w:shd w:val="clear" w:color="auto" w:fill="D9D9D9" w:themeFill="background1" w:themeFillShade="D9"/>
            <w:vAlign w:val="bottom"/>
          </w:tcPr>
          <w:p w:rsidR="0047041D" w:rsidRPr="002B18EC" w:rsidRDefault="0047041D" w:rsidP="005C0E1F">
            <w:pPr>
              <w:jc w:val="right"/>
              <w:rPr>
                <w:rFonts w:ascii="Arial Narrow" w:hAnsi="Arial Narrow" w:cs="Arial"/>
                <w:b/>
                <w:bCs/>
                <w:sz w:val="16"/>
                <w:szCs w:val="16"/>
              </w:rPr>
            </w:pPr>
            <w:r w:rsidRPr="002B18EC">
              <w:rPr>
                <w:rFonts w:ascii="Arial Narrow" w:hAnsi="Arial Narrow" w:cs="Arial"/>
                <w:b/>
                <w:bCs/>
                <w:sz w:val="16"/>
                <w:szCs w:val="16"/>
              </w:rPr>
              <w:t>16.397,1</w:t>
            </w:r>
          </w:p>
        </w:tc>
        <w:tc>
          <w:tcPr>
            <w:tcW w:w="802" w:type="dxa"/>
            <w:tcBorders>
              <w:top w:val="nil"/>
              <w:left w:val="nil"/>
              <w:bottom w:val="nil"/>
              <w:right w:val="nil"/>
            </w:tcBorders>
            <w:shd w:val="clear" w:color="auto" w:fill="D9D9D9" w:themeFill="background1" w:themeFillShade="D9"/>
            <w:vAlign w:val="bottom"/>
          </w:tcPr>
          <w:p w:rsidR="0047041D" w:rsidRPr="002B18EC" w:rsidRDefault="0047041D" w:rsidP="005C0E1F">
            <w:pPr>
              <w:jc w:val="right"/>
              <w:rPr>
                <w:rFonts w:ascii="Arial Narrow" w:hAnsi="Arial Narrow" w:cs="Arial"/>
                <w:b/>
                <w:bCs/>
                <w:sz w:val="16"/>
                <w:szCs w:val="16"/>
              </w:rPr>
            </w:pPr>
            <w:r w:rsidRPr="002B18EC">
              <w:rPr>
                <w:rFonts w:ascii="Arial Narrow" w:hAnsi="Arial Narrow" w:cs="Arial"/>
                <w:b/>
                <w:bCs/>
                <w:sz w:val="16"/>
                <w:szCs w:val="16"/>
              </w:rPr>
              <w:t>18.420,9</w:t>
            </w:r>
          </w:p>
        </w:tc>
        <w:tc>
          <w:tcPr>
            <w:tcW w:w="779" w:type="dxa"/>
            <w:tcBorders>
              <w:top w:val="nil"/>
              <w:left w:val="nil"/>
              <w:bottom w:val="nil"/>
            </w:tcBorders>
            <w:shd w:val="clear" w:color="auto" w:fill="D9D9D9" w:themeFill="background1" w:themeFillShade="D9"/>
            <w:vAlign w:val="bottom"/>
          </w:tcPr>
          <w:p w:rsidR="0047041D" w:rsidRPr="002B18EC" w:rsidRDefault="0047041D" w:rsidP="005C0E1F">
            <w:pPr>
              <w:jc w:val="right"/>
              <w:rPr>
                <w:rFonts w:ascii="Arial Narrow" w:hAnsi="Arial Narrow" w:cs="Arial"/>
                <w:b/>
                <w:bCs/>
                <w:sz w:val="16"/>
                <w:szCs w:val="16"/>
              </w:rPr>
            </w:pPr>
            <w:r w:rsidRPr="002B18EC">
              <w:rPr>
                <w:rFonts w:ascii="Arial Narrow" w:hAnsi="Arial Narrow" w:cs="Arial"/>
                <w:b/>
                <w:bCs/>
                <w:sz w:val="16"/>
                <w:szCs w:val="16"/>
              </w:rPr>
              <w:t>5.640,9</w:t>
            </w:r>
          </w:p>
        </w:tc>
      </w:tr>
      <w:tr w:rsidR="0047041D" w:rsidTr="005C0E1F">
        <w:trPr>
          <w:cantSplit/>
          <w:trHeight w:val="20"/>
        </w:trPr>
        <w:tc>
          <w:tcPr>
            <w:tcW w:w="4283" w:type="dxa"/>
            <w:tcBorders>
              <w:top w:val="nil"/>
              <w:bottom w:val="nil"/>
              <w:right w:val="nil"/>
            </w:tcBorders>
            <w:shd w:val="clear" w:color="auto" w:fill="FFFFFF"/>
          </w:tcPr>
          <w:p w:rsidR="0047041D" w:rsidRPr="00472EC7" w:rsidRDefault="0047041D" w:rsidP="0043717B">
            <w:pPr>
              <w:tabs>
                <w:tab w:val="left" w:pos="426"/>
              </w:tabs>
              <w:spacing w:line="160" w:lineRule="exact"/>
              <w:rPr>
                <w:rFonts w:ascii="Arial Narrow" w:hAnsi="Arial Narrow"/>
                <w:b/>
                <w:snapToGrid w:val="0"/>
                <w:color w:val="000000"/>
                <w:sz w:val="16"/>
                <w:szCs w:val="16"/>
              </w:rPr>
            </w:pPr>
            <w:r w:rsidRPr="00472EC7">
              <w:rPr>
                <w:rFonts w:ascii="Arial Narrow" w:hAnsi="Arial Narrow"/>
                <w:snapToGrid w:val="0"/>
                <w:color w:val="000000"/>
                <w:sz w:val="16"/>
                <w:szCs w:val="16"/>
              </w:rPr>
              <w:t>I.B.1</w:t>
            </w:r>
            <w:r w:rsidRPr="00472EC7">
              <w:rPr>
                <w:rFonts w:ascii="Arial Narrow" w:hAnsi="Arial Narrow"/>
                <w:snapToGrid w:val="0"/>
                <w:color w:val="000000"/>
                <w:sz w:val="16"/>
                <w:szCs w:val="16"/>
              </w:rPr>
              <w:tab/>
            </w:r>
            <w:r w:rsidRPr="00472EC7">
              <w:rPr>
                <w:rFonts w:ascii="Arial Narrow" w:hAnsi="Arial Narrow"/>
                <w:b/>
                <w:snapToGrid w:val="0"/>
                <w:color w:val="000000"/>
                <w:sz w:val="16"/>
                <w:szCs w:val="16"/>
              </w:rPr>
              <w:t xml:space="preserve">Εισπράξεις </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b/>
                <w:bCs/>
                <w:sz w:val="16"/>
                <w:szCs w:val="16"/>
              </w:rPr>
            </w:pPr>
            <w:r w:rsidRPr="002B18EC">
              <w:rPr>
                <w:rFonts w:ascii="Arial Narrow" w:hAnsi="Arial Narrow" w:cs="Arial"/>
                <w:b/>
                <w:bCs/>
                <w:sz w:val="16"/>
                <w:szCs w:val="16"/>
              </w:rPr>
              <w:t>33.661,3</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b/>
                <w:bCs/>
                <w:sz w:val="16"/>
                <w:szCs w:val="16"/>
              </w:rPr>
            </w:pPr>
            <w:r w:rsidRPr="002B18EC">
              <w:rPr>
                <w:rFonts w:ascii="Arial Narrow" w:hAnsi="Arial Narrow" w:cs="Arial"/>
                <w:b/>
                <w:bCs/>
                <w:sz w:val="16"/>
                <w:szCs w:val="16"/>
              </w:rPr>
              <w:t>37.159,3</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b/>
                <w:bCs/>
                <w:sz w:val="16"/>
                <w:szCs w:val="16"/>
              </w:rPr>
            </w:pPr>
            <w:r w:rsidRPr="002B18EC">
              <w:rPr>
                <w:rFonts w:ascii="Arial Narrow" w:hAnsi="Arial Narrow" w:cs="Arial"/>
                <w:b/>
                <w:bCs/>
                <w:sz w:val="16"/>
                <w:szCs w:val="16"/>
              </w:rPr>
              <w:t>40.162,6</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b/>
                <w:bCs/>
                <w:sz w:val="16"/>
                <w:szCs w:val="16"/>
              </w:rPr>
            </w:pPr>
            <w:r w:rsidRPr="002B18EC">
              <w:rPr>
                <w:rFonts w:ascii="Arial Narrow" w:hAnsi="Arial Narrow" w:cs="Arial"/>
                <w:b/>
                <w:bCs/>
                <w:sz w:val="16"/>
                <w:szCs w:val="16"/>
              </w:rPr>
              <w:t>29.525,8</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b/>
                <w:bCs/>
                <w:sz w:val="16"/>
                <w:szCs w:val="16"/>
              </w:rPr>
            </w:pPr>
            <w:r w:rsidRPr="002B18EC">
              <w:rPr>
                <w:rFonts w:ascii="Arial Narrow" w:hAnsi="Arial Narrow" w:cs="Arial"/>
                <w:b/>
                <w:bCs/>
                <w:sz w:val="16"/>
                <w:szCs w:val="16"/>
              </w:rPr>
              <w:t>32.259,8</w:t>
            </w:r>
          </w:p>
        </w:tc>
        <w:tc>
          <w:tcPr>
            <w:tcW w:w="779" w:type="dxa"/>
            <w:tcBorders>
              <w:top w:val="nil"/>
              <w:left w:val="nil"/>
              <w:bottom w:val="nil"/>
            </w:tcBorders>
            <w:shd w:val="clear" w:color="auto" w:fill="FFFFFF"/>
            <w:vAlign w:val="bottom"/>
          </w:tcPr>
          <w:p w:rsidR="0047041D" w:rsidRPr="002B18EC" w:rsidRDefault="0047041D" w:rsidP="005C0E1F">
            <w:pPr>
              <w:jc w:val="right"/>
              <w:rPr>
                <w:rFonts w:ascii="Arial Narrow" w:hAnsi="Arial Narrow" w:cs="Arial"/>
                <w:b/>
                <w:bCs/>
                <w:sz w:val="16"/>
                <w:szCs w:val="16"/>
              </w:rPr>
            </w:pPr>
            <w:r w:rsidRPr="002B18EC">
              <w:rPr>
                <w:rFonts w:ascii="Arial Narrow" w:hAnsi="Arial Narrow" w:cs="Arial"/>
                <w:b/>
                <w:bCs/>
                <w:sz w:val="16"/>
                <w:szCs w:val="16"/>
              </w:rPr>
              <w:t>17.493,6</w:t>
            </w:r>
          </w:p>
        </w:tc>
      </w:tr>
      <w:tr w:rsidR="0047041D" w:rsidTr="005C0E1F">
        <w:trPr>
          <w:cantSplit/>
          <w:trHeight w:val="20"/>
        </w:trPr>
        <w:tc>
          <w:tcPr>
            <w:tcW w:w="4283" w:type="dxa"/>
            <w:tcBorders>
              <w:top w:val="nil"/>
              <w:bottom w:val="nil"/>
              <w:right w:val="nil"/>
            </w:tcBorders>
            <w:shd w:val="clear" w:color="auto" w:fill="FFFFFF"/>
          </w:tcPr>
          <w:p w:rsidR="0047041D" w:rsidRPr="00472EC7" w:rsidRDefault="0047041D" w:rsidP="0043717B">
            <w:pPr>
              <w:tabs>
                <w:tab w:val="left" w:pos="426"/>
              </w:tabs>
              <w:spacing w:line="160" w:lineRule="exact"/>
              <w:rPr>
                <w:rFonts w:ascii="Arial Narrow" w:hAnsi="Arial Narrow"/>
                <w:snapToGrid w:val="0"/>
                <w:color w:val="000000"/>
                <w:sz w:val="16"/>
                <w:szCs w:val="16"/>
              </w:rPr>
            </w:pPr>
            <w:r w:rsidRPr="00472EC7">
              <w:rPr>
                <w:rFonts w:ascii="Arial Narrow" w:hAnsi="Arial Narrow"/>
                <w:snapToGrid w:val="0"/>
                <w:color w:val="000000"/>
                <w:sz w:val="16"/>
                <w:szCs w:val="16"/>
              </w:rPr>
              <w:tab/>
              <w:t>Ταξιδιωτικό</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14.630,1</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16.085,8</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18.178,8</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14.112,6</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16.107,1</w:t>
            </w:r>
          </w:p>
        </w:tc>
        <w:tc>
          <w:tcPr>
            <w:tcW w:w="779" w:type="dxa"/>
            <w:tcBorders>
              <w:top w:val="nil"/>
              <w:left w:val="nil"/>
              <w:bottom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3.509,4</w:t>
            </w:r>
          </w:p>
        </w:tc>
      </w:tr>
      <w:tr w:rsidR="0047041D" w:rsidTr="005C0E1F">
        <w:trPr>
          <w:cantSplit/>
          <w:trHeight w:val="20"/>
        </w:trPr>
        <w:tc>
          <w:tcPr>
            <w:tcW w:w="4283" w:type="dxa"/>
            <w:tcBorders>
              <w:top w:val="nil"/>
              <w:bottom w:val="nil"/>
              <w:right w:val="nil"/>
            </w:tcBorders>
            <w:shd w:val="clear" w:color="auto" w:fill="FFFFFF"/>
          </w:tcPr>
          <w:p w:rsidR="0047041D" w:rsidRPr="00472EC7" w:rsidRDefault="0047041D" w:rsidP="0043717B">
            <w:pPr>
              <w:tabs>
                <w:tab w:val="left" w:pos="426"/>
              </w:tabs>
              <w:spacing w:line="160" w:lineRule="exact"/>
              <w:rPr>
                <w:rFonts w:ascii="Arial Narrow" w:hAnsi="Arial Narrow"/>
                <w:snapToGrid w:val="0"/>
                <w:color w:val="000000"/>
                <w:sz w:val="16"/>
                <w:szCs w:val="16"/>
              </w:rPr>
            </w:pPr>
            <w:r w:rsidRPr="00472EC7">
              <w:rPr>
                <w:rFonts w:ascii="Arial Narrow" w:hAnsi="Arial Narrow"/>
                <w:snapToGrid w:val="0"/>
                <w:color w:val="000000"/>
                <w:sz w:val="16"/>
                <w:szCs w:val="16"/>
              </w:rPr>
              <w:tab/>
              <w:t>Μεταφορές</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14.473,8</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16.629,9</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17.303,1</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12.178,8</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12.847,6</w:t>
            </w:r>
          </w:p>
        </w:tc>
        <w:tc>
          <w:tcPr>
            <w:tcW w:w="779" w:type="dxa"/>
            <w:tcBorders>
              <w:top w:val="nil"/>
              <w:left w:val="nil"/>
              <w:bottom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10.765,1</w:t>
            </w:r>
          </w:p>
        </w:tc>
      </w:tr>
      <w:tr w:rsidR="0047041D" w:rsidTr="005C0E1F">
        <w:trPr>
          <w:cantSplit/>
          <w:trHeight w:val="20"/>
        </w:trPr>
        <w:tc>
          <w:tcPr>
            <w:tcW w:w="4283" w:type="dxa"/>
            <w:tcBorders>
              <w:top w:val="nil"/>
              <w:bottom w:val="nil"/>
              <w:right w:val="nil"/>
            </w:tcBorders>
            <w:shd w:val="clear" w:color="auto" w:fill="FFFFFF"/>
          </w:tcPr>
          <w:p w:rsidR="0047041D" w:rsidRPr="00472EC7" w:rsidRDefault="0047041D" w:rsidP="0043717B">
            <w:pPr>
              <w:tabs>
                <w:tab w:val="left" w:pos="426"/>
              </w:tabs>
              <w:spacing w:line="160" w:lineRule="exact"/>
              <w:rPr>
                <w:rFonts w:ascii="Arial Narrow" w:hAnsi="Arial Narrow"/>
                <w:snapToGrid w:val="0"/>
                <w:color w:val="000000"/>
                <w:sz w:val="16"/>
                <w:szCs w:val="16"/>
              </w:rPr>
            </w:pPr>
            <w:r w:rsidRPr="00472EC7">
              <w:rPr>
                <w:rFonts w:ascii="Arial Narrow" w:hAnsi="Arial Narrow"/>
                <w:snapToGrid w:val="0"/>
                <w:color w:val="000000"/>
                <w:sz w:val="16"/>
                <w:szCs w:val="16"/>
              </w:rPr>
              <w:tab/>
              <w:t>Λοιπές υπηρεσίες</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4.557,3</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4.443,6</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4.680,7</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3.234,4</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3.305,1</w:t>
            </w:r>
          </w:p>
        </w:tc>
        <w:tc>
          <w:tcPr>
            <w:tcW w:w="779" w:type="dxa"/>
            <w:tcBorders>
              <w:top w:val="nil"/>
              <w:left w:val="nil"/>
              <w:bottom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3.219,1</w:t>
            </w:r>
          </w:p>
        </w:tc>
      </w:tr>
      <w:tr w:rsidR="0047041D" w:rsidTr="005C0E1F">
        <w:trPr>
          <w:cantSplit/>
          <w:trHeight w:val="20"/>
        </w:trPr>
        <w:tc>
          <w:tcPr>
            <w:tcW w:w="4283" w:type="dxa"/>
            <w:tcBorders>
              <w:top w:val="nil"/>
              <w:bottom w:val="nil"/>
              <w:right w:val="nil"/>
            </w:tcBorders>
            <w:shd w:val="clear" w:color="auto" w:fill="FFFFFF"/>
          </w:tcPr>
          <w:p w:rsidR="0047041D" w:rsidRPr="00472EC7" w:rsidRDefault="0047041D" w:rsidP="0043717B">
            <w:pPr>
              <w:tabs>
                <w:tab w:val="left" w:pos="426"/>
              </w:tabs>
              <w:spacing w:line="160" w:lineRule="exact"/>
              <w:rPr>
                <w:rFonts w:ascii="Arial Narrow" w:hAnsi="Arial Narrow"/>
                <w:b/>
                <w:snapToGrid w:val="0"/>
                <w:color w:val="000000"/>
                <w:sz w:val="16"/>
                <w:szCs w:val="16"/>
              </w:rPr>
            </w:pPr>
            <w:r w:rsidRPr="00472EC7">
              <w:rPr>
                <w:rFonts w:ascii="Arial Narrow" w:hAnsi="Arial Narrow"/>
                <w:snapToGrid w:val="0"/>
                <w:color w:val="000000"/>
                <w:sz w:val="16"/>
                <w:szCs w:val="16"/>
              </w:rPr>
              <w:t>I.B.2</w:t>
            </w:r>
            <w:r w:rsidRPr="00472EC7">
              <w:rPr>
                <w:rFonts w:ascii="Arial Narrow" w:hAnsi="Arial Narrow"/>
                <w:snapToGrid w:val="0"/>
                <w:color w:val="000000"/>
                <w:sz w:val="16"/>
                <w:szCs w:val="16"/>
              </w:rPr>
              <w:tab/>
            </w:r>
            <w:r w:rsidRPr="00472EC7">
              <w:rPr>
                <w:rFonts w:ascii="Arial Narrow" w:hAnsi="Arial Narrow"/>
                <w:b/>
                <w:snapToGrid w:val="0"/>
                <w:color w:val="000000"/>
                <w:sz w:val="16"/>
                <w:szCs w:val="16"/>
              </w:rPr>
              <w:t xml:space="preserve">Πληρωμές </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b/>
                <w:bCs/>
                <w:sz w:val="16"/>
                <w:szCs w:val="16"/>
              </w:rPr>
            </w:pPr>
            <w:r w:rsidRPr="002B18EC">
              <w:rPr>
                <w:rFonts w:ascii="Arial Narrow" w:hAnsi="Arial Narrow" w:cs="Arial"/>
                <w:b/>
                <w:bCs/>
                <w:sz w:val="16"/>
                <w:szCs w:val="16"/>
              </w:rPr>
              <w:t>15.617,6</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b/>
                <w:bCs/>
                <w:sz w:val="16"/>
                <w:szCs w:val="16"/>
              </w:rPr>
            </w:pPr>
            <w:r w:rsidRPr="002B18EC">
              <w:rPr>
                <w:rFonts w:ascii="Arial Narrow" w:hAnsi="Arial Narrow" w:cs="Arial"/>
                <w:b/>
                <w:bCs/>
                <w:sz w:val="16"/>
                <w:szCs w:val="16"/>
              </w:rPr>
              <w:t>17.854,9</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b/>
                <w:bCs/>
                <w:sz w:val="16"/>
                <w:szCs w:val="16"/>
              </w:rPr>
            </w:pPr>
            <w:r w:rsidRPr="002B18EC">
              <w:rPr>
                <w:rFonts w:ascii="Arial Narrow" w:hAnsi="Arial Narrow" w:cs="Arial"/>
                <w:b/>
                <w:bCs/>
                <w:sz w:val="16"/>
                <w:szCs w:val="16"/>
              </w:rPr>
              <w:t>19.046,8</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b/>
                <w:bCs/>
                <w:sz w:val="16"/>
                <w:szCs w:val="16"/>
              </w:rPr>
            </w:pPr>
            <w:r w:rsidRPr="002B18EC">
              <w:rPr>
                <w:rFonts w:ascii="Arial Narrow" w:hAnsi="Arial Narrow" w:cs="Arial"/>
                <w:b/>
                <w:bCs/>
                <w:sz w:val="16"/>
                <w:szCs w:val="16"/>
              </w:rPr>
              <w:t>13.128,8</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b/>
                <w:bCs/>
                <w:sz w:val="16"/>
                <w:szCs w:val="16"/>
              </w:rPr>
            </w:pPr>
            <w:r w:rsidRPr="002B18EC">
              <w:rPr>
                <w:rFonts w:ascii="Arial Narrow" w:hAnsi="Arial Narrow" w:cs="Arial"/>
                <w:b/>
                <w:bCs/>
                <w:sz w:val="16"/>
                <w:szCs w:val="16"/>
              </w:rPr>
              <w:t>13.838,9</w:t>
            </w:r>
          </w:p>
        </w:tc>
        <w:tc>
          <w:tcPr>
            <w:tcW w:w="779" w:type="dxa"/>
            <w:tcBorders>
              <w:top w:val="nil"/>
              <w:left w:val="nil"/>
              <w:bottom w:val="nil"/>
            </w:tcBorders>
            <w:shd w:val="clear" w:color="auto" w:fill="FFFFFF"/>
            <w:vAlign w:val="bottom"/>
          </w:tcPr>
          <w:p w:rsidR="0047041D" w:rsidRPr="002B18EC" w:rsidRDefault="0047041D" w:rsidP="005C0E1F">
            <w:pPr>
              <w:jc w:val="right"/>
              <w:rPr>
                <w:rFonts w:ascii="Arial Narrow" w:hAnsi="Arial Narrow" w:cs="Arial"/>
                <w:b/>
                <w:bCs/>
                <w:sz w:val="16"/>
                <w:szCs w:val="16"/>
              </w:rPr>
            </w:pPr>
            <w:r w:rsidRPr="002B18EC">
              <w:rPr>
                <w:rFonts w:ascii="Arial Narrow" w:hAnsi="Arial Narrow" w:cs="Arial"/>
                <w:b/>
                <w:bCs/>
                <w:sz w:val="16"/>
                <w:szCs w:val="16"/>
              </w:rPr>
              <w:t>11.852,7</w:t>
            </w:r>
          </w:p>
        </w:tc>
      </w:tr>
      <w:tr w:rsidR="0047041D" w:rsidTr="005C0E1F">
        <w:trPr>
          <w:cantSplit/>
          <w:trHeight w:val="20"/>
        </w:trPr>
        <w:tc>
          <w:tcPr>
            <w:tcW w:w="4283" w:type="dxa"/>
            <w:tcBorders>
              <w:top w:val="nil"/>
              <w:bottom w:val="nil"/>
              <w:right w:val="nil"/>
            </w:tcBorders>
            <w:shd w:val="clear" w:color="auto" w:fill="FFFFFF"/>
          </w:tcPr>
          <w:p w:rsidR="0047041D" w:rsidRPr="00472EC7" w:rsidRDefault="0047041D" w:rsidP="0043717B">
            <w:pPr>
              <w:tabs>
                <w:tab w:val="left" w:pos="426"/>
              </w:tabs>
              <w:spacing w:line="160" w:lineRule="exact"/>
              <w:rPr>
                <w:rFonts w:ascii="Arial Narrow" w:hAnsi="Arial Narrow"/>
                <w:snapToGrid w:val="0"/>
                <w:color w:val="000000"/>
                <w:sz w:val="16"/>
                <w:szCs w:val="16"/>
              </w:rPr>
            </w:pPr>
            <w:r w:rsidRPr="00472EC7">
              <w:rPr>
                <w:rFonts w:ascii="Arial Narrow" w:hAnsi="Arial Narrow"/>
                <w:snapToGrid w:val="0"/>
                <w:color w:val="000000"/>
                <w:sz w:val="16"/>
                <w:szCs w:val="16"/>
              </w:rPr>
              <w:tab/>
              <w:t>Ταξιδιωτικό</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1.904,7</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2.191,0</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2.743,8</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1.605,8</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2.012,5</w:t>
            </w:r>
          </w:p>
        </w:tc>
        <w:tc>
          <w:tcPr>
            <w:tcW w:w="779" w:type="dxa"/>
            <w:tcBorders>
              <w:top w:val="nil"/>
              <w:left w:val="nil"/>
              <w:bottom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641,2</w:t>
            </w:r>
          </w:p>
        </w:tc>
      </w:tr>
      <w:tr w:rsidR="0047041D" w:rsidTr="005C0E1F">
        <w:trPr>
          <w:cantSplit/>
          <w:trHeight w:val="20"/>
        </w:trPr>
        <w:tc>
          <w:tcPr>
            <w:tcW w:w="4283" w:type="dxa"/>
            <w:tcBorders>
              <w:top w:val="nil"/>
              <w:bottom w:val="nil"/>
              <w:right w:val="nil"/>
            </w:tcBorders>
            <w:shd w:val="clear" w:color="auto" w:fill="FFFFFF"/>
          </w:tcPr>
          <w:p w:rsidR="0047041D" w:rsidRPr="00472EC7" w:rsidRDefault="0047041D" w:rsidP="0043717B">
            <w:pPr>
              <w:tabs>
                <w:tab w:val="left" w:pos="426"/>
              </w:tabs>
              <w:spacing w:line="160" w:lineRule="exact"/>
              <w:rPr>
                <w:rFonts w:ascii="Arial Narrow" w:hAnsi="Arial Narrow"/>
                <w:snapToGrid w:val="0"/>
                <w:color w:val="000000"/>
                <w:sz w:val="16"/>
                <w:szCs w:val="16"/>
              </w:rPr>
            </w:pPr>
            <w:r w:rsidRPr="00472EC7">
              <w:rPr>
                <w:rFonts w:ascii="Arial Narrow" w:hAnsi="Arial Narrow"/>
                <w:snapToGrid w:val="0"/>
                <w:color w:val="000000"/>
                <w:sz w:val="16"/>
                <w:szCs w:val="16"/>
              </w:rPr>
              <w:tab/>
              <w:t>Μεταφορές</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9.520,6</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11.044,3</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11.377,4</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8.059,7</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8.295,0</w:t>
            </w:r>
          </w:p>
        </w:tc>
        <w:tc>
          <w:tcPr>
            <w:tcW w:w="779" w:type="dxa"/>
            <w:tcBorders>
              <w:top w:val="nil"/>
              <w:left w:val="nil"/>
              <w:bottom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7.680,7</w:t>
            </w:r>
          </w:p>
        </w:tc>
      </w:tr>
      <w:tr w:rsidR="0047041D" w:rsidTr="005C0E1F">
        <w:trPr>
          <w:cantSplit/>
          <w:trHeight w:val="20"/>
        </w:trPr>
        <w:tc>
          <w:tcPr>
            <w:tcW w:w="4283" w:type="dxa"/>
            <w:tcBorders>
              <w:top w:val="nil"/>
              <w:bottom w:val="nil"/>
              <w:right w:val="nil"/>
            </w:tcBorders>
            <w:shd w:val="clear" w:color="auto" w:fill="FFFFFF"/>
          </w:tcPr>
          <w:p w:rsidR="0047041D" w:rsidRPr="00472EC7" w:rsidRDefault="0047041D" w:rsidP="0043717B">
            <w:pPr>
              <w:tabs>
                <w:tab w:val="left" w:pos="426"/>
              </w:tabs>
              <w:spacing w:line="160" w:lineRule="exact"/>
              <w:rPr>
                <w:rFonts w:ascii="Arial Narrow" w:hAnsi="Arial Narrow"/>
                <w:snapToGrid w:val="0"/>
                <w:color w:val="000000"/>
                <w:sz w:val="16"/>
                <w:szCs w:val="16"/>
              </w:rPr>
            </w:pPr>
            <w:r w:rsidRPr="00472EC7">
              <w:rPr>
                <w:rFonts w:ascii="Arial Narrow" w:hAnsi="Arial Narrow"/>
                <w:snapToGrid w:val="0"/>
                <w:color w:val="000000"/>
                <w:sz w:val="16"/>
                <w:szCs w:val="16"/>
              </w:rPr>
              <w:tab/>
              <w:t>Λοιπές υπηρεσίες</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4.192,3</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4.619,6</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4.925,5</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3.463,3</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3.531,4</w:t>
            </w:r>
          </w:p>
        </w:tc>
        <w:tc>
          <w:tcPr>
            <w:tcW w:w="779" w:type="dxa"/>
            <w:tcBorders>
              <w:top w:val="nil"/>
              <w:left w:val="nil"/>
              <w:bottom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3.530,8</w:t>
            </w:r>
          </w:p>
        </w:tc>
      </w:tr>
      <w:tr w:rsidR="0047041D" w:rsidTr="005C0E1F">
        <w:trPr>
          <w:cantSplit/>
          <w:trHeight w:val="20"/>
        </w:trPr>
        <w:tc>
          <w:tcPr>
            <w:tcW w:w="4283" w:type="dxa"/>
            <w:tcBorders>
              <w:top w:val="nil"/>
              <w:bottom w:val="nil"/>
              <w:right w:val="nil"/>
            </w:tcBorders>
            <w:shd w:val="clear" w:color="auto" w:fill="D9D9D9" w:themeFill="background1" w:themeFillShade="D9"/>
          </w:tcPr>
          <w:p w:rsidR="0047041D" w:rsidRPr="00472EC7" w:rsidRDefault="0047041D" w:rsidP="0043717B">
            <w:pPr>
              <w:tabs>
                <w:tab w:val="left" w:pos="426"/>
              </w:tabs>
              <w:spacing w:line="160" w:lineRule="exact"/>
              <w:rPr>
                <w:rFonts w:ascii="Arial Narrow" w:hAnsi="Arial Narrow"/>
                <w:b/>
                <w:snapToGrid w:val="0"/>
                <w:color w:val="000000"/>
                <w:sz w:val="16"/>
                <w:szCs w:val="16"/>
              </w:rPr>
            </w:pPr>
            <w:r w:rsidRPr="00472EC7">
              <w:rPr>
                <w:rFonts w:ascii="Arial Narrow" w:hAnsi="Arial Narrow"/>
                <w:b/>
                <w:snapToGrid w:val="0"/>
                <w:color w:val="000000"/>
                <w:sz w:val="16"/>
                <w:szCs w:val="16"/>
              </w:rPr>
              <w:t>Ι.Γ</w:t>
            </w:r>
            <w:r w:rsidRPr="00472EC7">
              <w:rPr>
                <w:rFonts w:ascii="Arial Narrow" w:hAnsi="Arial Narrow"/>
                <w:b/>
                <w:snapToGrid w:val="0"/>
                <w:color w:val="000000"/>
                <w:sz w:val="16"/>
                <w:szCs w:val="16"/>
              </w:rPr>
              <w:tab/>
              <w:t xml:space="preserve">Ισοζύγιο </w:t>
            </w:r>
            <w:r>
              <w:rPr>
                <w:rFonts w:ascii="Arial Narrow" w:hAnsi="Arial Narrow"/>
                <w:b/>
                <w:snapToGrid w:val="0"/>
                <w:color w:val="000000"/>
                <w:sz w:val="16"/>
                <w:szCs w:val="16"/>
              </w:rPr>
              <w:t xml:space="preserve">πρωτογενών </w:t>
            </w:r>
            <w:r w:rsidRPr="00472EC7">
              <w:rPr>
                <w:rFonts w:ascii="Arial Narrow" w:hAnsi="Arial Narrow"/>
                <w:b/>
                <w:snapToGrid w:val="0"/>
                <w:color w:val="000000"/>
                <w:sz w:val="16"/>
                <w:szCs w:val="16"/>
              </w:rPr>
              <w:t>εισοδημάτων</w:t>
            </w:r>
            <w:r>
              <w:rPr>
                <w:rFonts w:ascii="Arial Narrow" w:hAnsi="Arial Narrow"/>
                <w:b/>
                <w:snapToGrid w:val="0"/>
                <w:color w:val="000000"/>
                <w:sz w:val="16"/>
                <w:szCs w:val="16"/>
              </w:rPr>
              <w:t xml:space="preserve"> </w:t>
            </w:r>
            <w:r w:rsidRPr="00472EC7">
              <w:rPr>
                <w:rFonts w:ascii="Arial Narrow" w:hAnsi="Arial Narrow"/>
                <w:b/>
                <w:snapToGrid w:val="0"/>
                <w:color w:val="000000"/>
                <w:sz w:val="16"/>
                <w:szCs w:val="16"/>
              </w:rPr>
              <w:t>(I.Γ.1 -</w:t>
            </w:r>
            <w:r>
              <w:rPr>
                <w:rFonts w:ascii="Arial Narrow" w:hAnsi="Arial Narrow"/>
                <w:b/>
                <w:snapToGrid w:val="0"/>
                <w:color w:val="000000"/>
                <w:sz w:val="16"/>
                <w:szCs w:val="16"/>
              </w:rPr>
              <w:t xml:space="preserve"> </w:t>
            </w:r>
            <w:r w:rsidRPr="00472EC7">
              <w:rPr>
                <w:rFonts w:ascii="Arial Narrow" w:hAnsi="Arial Narrow"/>
                <w:b/>
                <w:snapToGrid w:val="0"/>
                <w:color w:val="000000"/>
                <w:sz w:val="16"/>
                <w:szCs w:val="16"/>
              </w:rPr>
              <w:t>I.Γ.2)</w:t>
            </w:r>
          </w:p>
        </w:tc>
        <w:tc>
          <w:tcPr>
            <w:tcW w:w="802" w:type="dxa"/>
            <w:tcBorders>
              <w:top w:val="nil"/>
              <w:left w:val="nil"/>
              <w:bottom w:val="nil"/>
              <w:right w:val="nil"/>
            </w:tcBorders>
            <w:shd w:val="clear" w:color="auto" w:fill="D9D9D9" w:themeFill="background1" w:themeFillShade="D9"/>
            <w:vAlign w:val="bottom"/>
          </w:tcPr>
          <w:p w:rsidR="0047041D" w:rsidRPr="002B18EC" w:rsidRDefault="0047041D" w:rsidP="005C0E1F">
            <w:pPr>
              <w:jc w:val="right"/>
              <w:rPr>
                <w:rFonts w:ascii="Arial Narrow" w:hAnsi="Arial Narrow" w:cs="Arial"/>
                <w:b/>
                <w:bCs/>
                <w:sz w:val="16"/>
                <w:szCs w:val="16"/>
              </w:rPr>
            </w:pPr>
            <w:r w:rsidRPr="002B18EC">
              <w:rPr>
                <w:rFonts w:ascii="Arial Narrow" w:hAnsi="Arial Narrow" w:cs="Arial"/>
                <w:b/>
                <w:bCs/>
                <w:sz w:val="16"/>
                <w:szCs w:val="16"/>
              </w:rPr>
              <w:t>-1.057,3</w:t>
            </w:r>
          </w:p>
        </w:tc>
        <w:tc>
          <w:tcPr>
            <w:tcW w:w="802" w:type="dxa"/>
            <w:tcBorders>
              <w:top w:val="nil"/>
              <w:left w:val="nil"/>
              <w:bottom w:val="nil"/>
              <w:right w:val="nil"/>
            </w:tcBorders>
            <w:shd w:val="clear" w:color="auto" w:fill="D9D9D9" w:themeFill="background1" w:themeFillShade="D9"/>
            <w:vAlign w:val="bottom"/>
          </w:tcPr>
          <w:p w:rsidR="0047041D" w:rsidRPr="002B18EC" w:rsidRDefault="0047041D" w:rsidP="005C0E1F">
            <w:pPr>
              <w:jc w:val="right"/>
              <w:rPr>
                <w:rFonts w:ascii="Arial Narrow" w:hAnsi="Arial Narrow" w:cs="Arial"/>
                <w:b/>
                <w:bCs/>
                <w:sz w:val="16"/>
                <w:szCs w:val="16"/>
              </w:rPr>
            </w:pPr>
            <w:r w:rsidRPr="002B18EC">
              <w:rPr>
                <w:rFonts w:ascii="Arial Narrow" w:hAnsi="Arial Narrow" w:cs="Arial"/>
                <w:b/>
                <w:bCs/>
                <w:sz w:val="16"/>
                <w:szCs w:val="16"/>
              </w:rPr>
              <w:t>-1.726,4</w:t>
            </w:r>
          </w:p>
        </w:tc>
        <w:tc>
          <w:tcPr>
            <w:tcW w:w="802" w:type="dxa"/>
            <w:tcBorders>
              <w:top w:val="nil"/>
              <w:left w:val="nil"/>
              <w:bottom w:val="nil"/>
              <w:right w:val="nil"/>
            </w:tcBorders>
            <w:shd w:val="clear" w:color="auto" w:fill="D9D9D9" w:themeFill="background1" w:themeFillShade="D9"/>
            <w:vAlign w:val="bottom"/>
          </w:tcPr>
          <w:p w:rsidR="0047041D" w:rsidRPr="002B18EC" w:rsidRDefault="0047041D" w:rsidP="005C0E1F">
            <w:pPr>
              <w:jc w:val="right"/>
              <w:rPr>
                <w:rFonts w:ascii="Arial Narrow" w:hAnsi="Arial Narrow" w:cs="Arial"/>
                <w:b/>
                <w:bCs/>
                <w:sz w:val="16"/>
                <w:szCs w:val="16"/>
              </w:rPr>
            </w:pPr>
            <w:r w:rsidRPr="002B18EC">
              <w:rPr>
                <w:rFonts w:ascii="Arial Narrow" w:hAnsi="Arial Narrow" w:cs="Arial"/>
                <w:b/>
                <w:bCs/>
                <w:sz w:val="16"/>
                <w:szCs w:val="16"/>
              </w:rPr>
              <w:t>-1.591,6</w:t>
            </w:r>
          </w:p>
        </w:tc>
        <w:tc>
          <w:tcPr>
            <w:tcW w:w="802" w:type="dxa"/>
            <w:tcBorders>
              <w:top w:val="nil"/>
              <w:left w:val="nil"/>
              <w:bottom w:val="nil"/>
              <w:right w:val="nil"/>
            </w:tcBorders>
            <w:shd w:val="clear" w:color="auto" w:fill="D9D9D9" w:themeFill="background1" w:themeFillShade="D9"/>
            <w:vAlign w:val="bottom"/>
          </w:tcPr>
          <w:p w:rsidR="0047041D" w:rsidRPr="002B18EC" w:rsidRDefault="0047041D" w:rsidP="005C0E1F">
            <w:pPr>
              <w:jc w:val="right"/>
              <w:rPr>
                <w:rFonts w:ascii="Arial Narrow" w:hAnsi="Arial Narrow" w:cs="Arial"/>
                <w:b/>
                <w:bCs/>
                <w:sz w:val="16"/>
                <w:szCs w:val="16"/>
              </w:rPr>
            </w:pPr>
            <w:r w:rsidRPr="002B18EC">
              <w:rPr>
                <w:rFonts w:ascii="Arial Narrow" w:hAnsi="Arial Narrow" w:cs="Arial"/>
                <w:b/>
                <w:bCs/>
                <w:sz w:val="16"/>
                <w:szCs w:val="16"/>
              </w:rPr>
              <w:t>-1.177,2</w:t>
            </w:r>
          </w:p>
        </w:tc>
        <w:tc>
          <w:tcPr>
            <w:tcW w:w="802" w:type="dxa"/>
            <w:tcBorders>
              <w:top w:val="nil"/>
              <w:left w:val="nil"/>
              <w:bottom w:val="nil"/>
              <w:right w:val="nil"/>
            </w:tcBorders>
            <w:shd w:val="clear" w:color="auto" w:fill="D9D9D9" w:themeFill="background1" w:themeFillShade="D9"/>
            <w:vAlign w:val="bottom"/>
          </w:tcPr>
          <w:p w:rsidR="0047041D" w:rsidRPr="002B18EC" w:rsidRDefault="0047041D" w:rsidP="005C0E1F">
            <w:pPr>
              <w:jc w:val="right"/>
              <w:rPr>
                <w:rFonts w:ascii="Arial Narrow" w:hAnsi="Arial Narrow" w:cs="Arial"/>
                <w:b/>
                <w:bCs/>
                <w:sz w:val="16"/>
                <w:szCs w:val="16"/>
              </w:rPr>
            </w:pPr>
            <w:r w:rsidRPr="002B18EC">
              <w:rPr>
                <w:rFonts w:ascii="Arial Narrow" w:hAnsi="Arial Narrow" w:cs="Arial"/>
                <w:b/>
                <w:bCs/>
                <w:sz w:val="16"/>
                <w:szCs w:val="16"/>
              </w:rPr>
              <w:t>-1.188,9</w:t>
            </w:r>
          </w:p>
        </w:tc>
        <w:tc>
          <w:tcPr>
            <w:tcW w:w="779" w:type="dxa"/>
            <w:tcBorders>
              <w:top w:val="nil"/>
              <w:left w:val="nil"/>
              <w:bottom w:val="nil"/>
            </w:tcBorders>
            <w:shd w:val="clear" w:color="auto" w:fill="D9D9D9" w:themeFill="background1" w:themeFillShade="D9"/>
            <w:vAlign w:val="bottom"/>
          </w:tcPr>
          <w:p w:rsidR="0047041D" w:rsidRPr="002B18EC" w:rsidRDefault="0047041D" w:rsidP="005C0E1F">
            <w:pPr>
              <w:jc w:val="right"/>
              <w:rPr>
                <w:rFonts w:ascii="Arial Narrow" w:hAnsi="Arial Narrow" w:cs="Arial"/>
                <w:b/>
                <w:bCs/>
                <w:sz w:val="16"/>
                <w:szCs w:val="16"/>
              </w:rPr>
            </w:pPr>
            <w:r w:rsidRPr="002B18EC">
              <w:rPr>
                <w:rFonts w:ascii="Arial Narrow" w:hAnsi="Arial Narrow" w:cs="Arial"/>
                <w:b/>
                <w:bCs/>
                <w:sz w:val="16"/>
                <w:szCs w:val="16"/>
              </w:rPr>
              <w:t>-435,5</w:t>
            </w:r>
          </w:p>
        </w:tc>
      </w:tr>
      <w:tr w:rsidR="0047041D" w:rsidTr="005C0E1F">
        <w:trPr>
          <w:cantSplit/>
          <w:trHeight w:val="20"/>
        </w:trPr>
        <w:tc>
          <w:tcPr>
            <w:tcW w:w="4283" w:type="dxa"/>
            <w:tcBorders>
              <w:top w:val="nil"/>
              <w:bottom w:val="nil"/>
              <w:right w:val="nil"/>
            </w:tcBorders>
            <w:shd w:val="clear" w:color="auto" w:fill="FFFFFF"/>
          </w:tcPr>
          <w:p w:rsidR="0047041D" w:rsidRPr="00472EC7" w:rsidRDefault="0047041D" w:rsidP="0043717B">
            <w:pPr>
              <w:tabs>
                <w:tab w:val="left" w:pos="426"/>
              </w:tabs>
              <w:spacing w:line="160" w:lineRule="exact"/>
              <w:rPr>
                <w:rFonts w:ascii="Arial Narrow" w:hAnsi="Arial Narrow"/>
                <w:b/>
                <w:snapToGrid w:val="0"/>
                <w:color w:val="000000"/>
                <w:sz w:val="16"/>
                <w:szCs w:val="16"/>
              </w:rPr>
            </w:pPr>
            <w:r w:rsidRPr="00472EC7">
              <w:rPr>
                <w:rFonts w:ascii="Arial Narrow" w:hAnsi="Arial Narrow"/>
                <w:snapToGrid w:val="0"/>
                <w:color w:val="000000"/>
                <w:sz w:val="16"/>
                <w:szCs w:val="16"/>
              </w:rPr>
              <w:t xml:space="preserve">I.Γ.1 </w:t>
            </w:r>
            <w:r w:rsidRPr="00472EC7">
              <w:rPr>
                <w:rFonts w:ascii="Arial Narrow" w:hAnsi="Arial Narrow"/>
                <w:snapToGrid w:val="0"/>
                <w:color w:val="000000"/>
                <w:sz w:val="16"/>
                <w:szCs w:val="16"/>
              </w:rPr>
              <w:tab/>
            </w:r>
            <w:r w:rsidRPr="00472EC7">
              <w:rPr>
                <w:rFonts w:ascii="Arial Narrow" w:hAnsi="Arial Narrow"/>
                <w:b/>
                <w:snapToGrid w:val="0"/>
                <w:color w:val="000000"/>
                <w:sz w:val="16"/>
                <w:szCs w:val="16"/>
              </w:rPr>
              <w:t xml:space="preserve">Εισπράξεις </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b/>
                <w:bCs/>
                <w:sz w:val="16"/>
                <w:szCs w:val="16"/>
              </w:rPr>
            </w:pPr>
            <w:r w:rsidRPr="002B18EC">
              <w:rPr>
                <w:rFonts w:ascii="Arial Narrow" w:hAnsi="Arial Narrow" w:cs="Arial"/>
                <w:b/>
                <w:bCs/>
                <w:sz w:val="16"/>
                <w:szCs w:val="16"/>
              </w:rPr>
              <w:t>6.184,1</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b/>
                <w:bCs/>
                <w:sz w:val="16"/>
                <w:szCs w:val="16"/>
              </w:rPr>
            </w:pPr>
            <w:r w:rsidRPr="002B18EC">
              <w:rPr>
                <w:rFonts w:ascii="Arial Narrow" w:hAnsi="Arial Narrow" w:cs="Arial"/>
                <w:b/>
                <w:bCs/>
                <w:sz w:val="16"/>
                <w:szCs w:val="16"/>
              </w:rPr>
              <w:t>6.058,5</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b/>
                <w:bCs/>
                <w:sz w:val="16"/>
                <w:szCs w:val="16"/>
              </w:rPr>
            </w:pPr>
            <w:r w:rsidRPr="002B18EC">
              <w:rPr>
                <w:rFonts w:ascii="Arial Narrow" w:hAnsi="Arial Narrow" w:cs="Arial"/>
                <w:b/>
                <w:bCs/>
                <w:sz w:val="16"/>
                <w:szCs w:val="16"/>
              </w:rPr>
              <w:t>6.202,9</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b/>
                <w:bCs/>
                <w:sz w:val="16"/>
                <w:szCs w:val="16"/>
              </w:rPr>
            </w:pPr>
            <w:r w:rsidRPr="002B18EC">
              <w:rPr>
                <w:rFonts w:ascii="Arial Narrow" w:hAnsi="Arial Narrow" w:cs="Arial"/>
                <w:b/>
                <w:bCs/>
                <w:sz w:val="16"/>
                <w:szCs w:val="16"/>
              </w:rPr>
              <w:t>4.825,5</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b/>
                <w:bCs/>
                <w:sz w:val="16"/>
                <w:szCs w:val="16"/>
              </w:rPr>
            </w:pPr>
            <w:r w:rsidRPr="002B18EC">
              <w:rPr>
                <w:rFonts w:ascii="Arial Narrow" w:hAnsi="Arial Narrow" w:cs="Arial"/>
                <w:b/>
                <w:bCs/>
                <w:sz w:val="16"/>
                <w:szCs w:val="16"/>
              </w:rPr>
              <w:t>4.909,3</w:t>
            </w:r>
          </w:p>
        </w:tc>
        <w:tc>
          <w:tcPr>
            <w:tcW w:w="779" w:type="dxa"/>
            <w:tcBorders>
              <w:top w:val="nil"/>
              <w:left w:val="nil"/>
              <w:bottom w:val="nil"/>
            </w:tcBorders>
            <w:shd w:val="clear" w:color="auto" w:fill="FFFFFF"/>
            <w:vAlign w:val="bottom"/>
          </w:tcPr>
          <w:p w:rsidR="0047041D" w:rsidRPr="002B18EC" w:rsidRDefault="0047041D" w:rsidP="005C0E1F">
            <w:pPr>
              <w:jc w:val="right"/>
              <w:rPr>
                <w:rFonts w:ascii="Arial Narrow" w:hAnsi="Arial Narrow" w:cs="Arial"/>
                <w:b/>
                <w:bCs/>
                <w:sz w:val="16"/>
                <w:szCs w:val="16"/>
              </w:rPr>
            </w:pPr>
            <w:r w:rsidRPr="002B18EC">
              <w:rPr>
                <w:rFonts w:ascii="Arial Narrow" w:hAnsi="Arial Narrow" w:cs="Arial"/>
                <w:b/>
                <w:bCs/>
                <w:sz w:val="16"/>
                <w:szCs w:val="16"/>
              </w:rPr>
              <w:t>5.205,2</w:t>
            </w:r>
          </w:p>
        </w:tc>
      </w:tr>
      <w:tr w:rsidR="0047041D" w:rsidTr="005C0E1F">
        <w:trPr>
          <w:cantSplit/>
          <w:trHeight w:val="20"/>
        </w:trPr>
        <w:tc>
          <w:tcPr>
            <w:tcW w:w="4283" w:type="dxa"/>
            <w:tcBorders>
              <w:top w:val="nil"/>
              <w:bottom w:val="nil"/>
              <w:right w:val="nil"/>
            </w:tcBorders>
            <w:shd w:val="clear" w:color="auto" w:fill="FFFFFF"/>
          </w:tcPr>
          <w:p w:rsidR="0047041D" w:rsidRPr="00472EC7" w:rsidRDefault="0047041D" w:rsidP="0043717B">
            <w:pPr>
              <w:tabs>
                <w:tab w:val="left" w:pos="426"/>
              </w:tabs>
              <w:spacing w:line="160" w:lineRule="exact"/>
              <w:rPr>
                <w:rFonts w:ascii="Arial Narrow" w:hAnsi="Arial Narrow"/>
                <w:snapToGrid w:val="0"/>
                <w:color w:val="000000"/>
                <w:sz w:val="16"/>
                <w:szCs w:val="16"/>
              </w:rPr>
            </w:pPr>
            <w:r w:rsidRPr="00472EC7">
              <w:rPr>
                <w:rFonts w:ascii="Arial Narrow" w:hAnsi="Arial Narrow"/>
                <w:snapToGrid w:val="0"/>
                <w:color w:val="000000"/>
                <w:sz w:val="16"/>
                <w:szCs w:val="16"/>
              </w:rPr>
              <w:tab/>
            </w:r>
            <w:r>
              <w:rPr>
                <w:rFonts w:ascii="Arial Narrow" w:hAnsi="Arial Narrow"/>
                <w:snapToGrid w:val="0"/>
                <w:color w:val="000000"/>
                <w:sz w:val="16"/>
                <w:szCs w:val="16"/>
              </w:rPr>
              <w:t>Από εργασία (α</w:t>
            </w:r>
            <w:r w:rsidRPr="00472EC7">
              <w:rPr>
                <w:rFonts w:ascii="Arial Narrow" w:hAnsi="Arial Narrow"/>
                <w:snapToGrid w:val="0"/>
                <w:color w:val="000000"/>
                <w:sz w:val="16"/>
                <w:szCs w:val="16"/>
              </w:rPr>
              <w:t>μοιβές, μισθοί</w:t>
            </w:r>
            <w:r>
              <w:rPr>
                <w:rFonts w:ascii="Arial Narrow" w:hAnsi="Arial Narrow"/>
                <w:snapToGrid w:val="0"/>
                <w:color w:val="000000"/>
                <w:sz w:val="16"/>
                <w:szCs w:val="16"/>
              </w:rPr>
              <w:t>)</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216,6</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223,0</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246,9</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157,3</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185,3</w:t>
            </w:r>
          </w:p>
        </w:tc>
        <w:tc>
          <w:tcPr>
            <w:tcW w:w="779" w:type="dxa"/>
            <w:tcBorders>
              <w:top w:val="nil"/>
              <w:left w:val="nil"/>
              <w:bottom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150,7</w:t>
            </w:r>
          </w:p>
        </w:tc>
      </w:tr>
      <w:tr w:rsidR="0047041D" w:rsidTr="005C0E1F">
        <w:trPr>
          <w:cantSplit/>
          <w:trHeight w:val="20"/>
        </w:trPr>
        <w:tc>
          <w:tcPr>
            <w:tcW w:w="4283" w:type="dxa"/>
            <w:tcBorders>
              <w:top w:val="nil"/>
              <w:bottom w:val="nil"/>
              <w:right w:val="nil"/>
            </w:tcBorders>
            <w:shd w:val="clear" w:color="auto" w:fill="FFFFFF"/>
          </w:tcPr>
          <w:p w:rsidR="0047041D" w:rsidRPr="00472EC7" w:rsidRDefault="0047041D" w:rsidP="0043717B">
            <w:pPr>
              <w:tabs>
                <w:tab w:val="left" w:pos="426"/>
              </w:tabs>
              <w:spacing w:line="160" w:lineRule="exact"/>
              <w:rPr>
                <w:rFonts w:ascii="Arial Narrow" w:hAnsi="Arial Narrow"/>
                <w:snapToGrid w:val="0"/>
                <w:color w:val="000000"/>
                <w:sz w:val="16"/>
                <w:szCs w:val="16"/>
              </w:rPr>
            </w:pPr>
            <w:r w:rsidRPr="00472EC7">
              <w:rPr>
                <w:rFonts w:ascii="Arial Narrow" w:hAnsi="Arial Narrow"/>
                <w:snapToGrid w:val="0"/>
                <w:color w:val="000000"/>
                <w:sz w:val="16"/>
                <w:szCs w:val="16"/>
              </w:rPr>
              <w:tab/>
            </w:r>
            <w:r>
              <w:rPr>
                <w:rFonts w:ascii="Arial Narrow" w:hAnsi="Arial Narrow"/>
                <w:snapToGrid w:val="0"/>
                <w:color w:val="000000"/>
                <w:sz w:val="16"/>
                <w:szCs w:val="16"/>
              </w:rPr>
              <w:t>Από επενδύσεις (τ</w:t>
            </w:r>
            <w:r w:rsidRPr="00472EC7">
              <w:rPr>
                <w:rFonts w:ascii="Arial Narrow" w:hAnsi="Arial Narrow"/>
                <w:snapToGrid w:val="0"/>
                <w:color w:val="000000"/>
                <w:sz w:val="16"/>
                <w:szCs w:val="16"/>
              </w:rPr>
              <w:t>όκοι, μερίσματα, κέρδη</w:t>
            </w:r>
            <w:r>
              <w:rPr>
                <w:rFonts w:ascii="Arial Narrow" w:hAnsi="Arial Narrow"/>
                <w:snapToGrid w:val="0"/>
                <w:color w:val="000000"/>
                <w:sz w:val="16"/>
                <w:szCs w:val="16"/>
              </w:rPr>
              <w:t>)</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3.148,0</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2.731,4</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3.046,7</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1.946,7</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2.199,5</w:t>
            </w:r>
          </w:p>
        </w:tc>
        <w:tc>
          <w:tcPr>
            <w:tcW w:w="779" w:type="dxa"/>
            <w:tcBorders>
              <w:top w:val="nil"/>
              <w:left w:val="nil"/>
              <w:bottom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2.185,4</w:t>
            </w:r>
          </w:p>
        </w:tc>
      </w:tr>
      <w:tr w:rsidR="0047041D" w:rsidTr="005C0E1F">
        <w:trPr>
          <w:cantSplit/>
          <w:trHeight w:val="20"/>
        </w:trPr>
        <w:tc>
          <w:tcPr>
            <w:tcW w:w="4283" w:type="dxa"/>
            <w:tcBorders>
              <w:top w:val="nil"/>
              <w:bottom w:val="nil"/>
              <w:right w:val="nil"/>
            </w:tcBorders>
            <w:shd w:val="clear" w:color="auto" w:fill="FFFFFF"/>
          </w:tcPr>
          <w:p w:rsidR="0047041D" w:rsidRPr="00472EC7" w:rsidRDefault="0047041D" w:rsidP="0043717B">
            <w:pPr>
              <w:tabs>
                <w:tab w:val="left" w:pos="426"/>
              </w:tabs>
              <w:spacing w:line="160" w:lineRule="exact"/>
              <w:rPr>
                <w:rFonts w:ascii="Arial Narrow" w:hAnsi="Arial Narrow"/>
                <w:snapToGrid w:val="0"/>
                <w:color w:val="000000"/>
                <w:sz w:val="16"/>
                <w:szCs w:val="16"/>
              </w:rPr>
            </w:pPr>
            <w:r>
              <w:rPr>
                <w:rFonts w:ascii="Arial Narrow" w:hAnsi="Arial Narrow"/>
                <w:snapToGrid w:val="0"/>
                <w:color w:val="000000"/>
                <w:sz w:val="16"/>
                <w:szCs w:val="16"/>
              </w:rPr>
              <w:tab/>
              <w:t>Λοιπά πρωτογενή εισοδήματα</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2.819,5</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3.104,1</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2.909,3</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2.721,6</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2.524,6</w:t>
            </w:r>
          </w:p>
        </w:tc>
        <w:tc>
          <w:tcPr>
            <w:tcW w:w="779" w:type="dxa"/>
            <w:tcBorders>
              <w:top w:val="nil"/>
              <w:left w:val="nil"/>
              <w:bottom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2.869,1</w:t>
            </w:r>
          </w:p>
        </w:tc>
      </w:tr>
      <w:tr w:rsidR="0047041D" w:rsidTr="005C0E1F">
        <w:trPr>
          <w:cantSplit/>
          <w:trHeight w:val="20"/>
        </w:trPr>
        <w:tc>
          <w:tcPr>
            <w:tcW w:w="4283" w:type="dxa"/>
            <w:tcBorders>
              <w:top w:val="nil"/>
              <w:bottom w:val="nil"/>
              <w:right w:val="nil"/>
            </w:tcBorders>
            <w:shd w:val="clear" w:color="auto" w:fill="FFFFFF"/>
          </w:tcPr>
          <w:p w:rsidR="0047041D" w:rsidRPr="00472EC7" w:rsidRDefault="0047041D" w:rsidP="0043717B">
            <w:pPr>
              <w:tabs>
                <w:tab w:val="left" w:pos="426"/>
              </w:tabs>
              <w:spacing w:line="160" w:lineRule="exact"/>
              <w:rPr>
                <w:rFonts w:ascii="Arial Narrow" w:hAnsi="Arial Narrow"/>
                <w:b/>
                <w:snapToGrid w:val="0"/>
                <w:color w:val="000000"/>
                <w:sz w:val="16"/>
                <w:szCs w:val="16"/>
              </w:rPr>
            </w:pPr>
            <w:r w:rsidRPr="00472EC7">
              <w:rPr>
                <w:rFonts w:ascii="Arial Narrow" w:hAnsi="Arial Narrow"/>
                <w:snapToGrid w:val="0"/>
                <w:color w:val="000000"/>
                <w:sz w:val="16"/>
                <w:szCs w:val="16"/>
              </w:rPr>
              <w:t xml:space="preserve">I.Γ.2 </w:t>
            </w:r>
            <w:r w:rsidRPr="00472EC7">
              <w:rPr>
                <w:rFonts w:ascii="Arial Narrow" w:hAnsi="Arial Narrow"/>
                <w:snapToGrid w:val="0"/>
                <w:color w:val="000000"/>
                <w:sz w:val="16"/>
                <w:szCs w:val="16"/>
              </w:rPr>
              <w:tab/>
            </w:r>
            <w:r w:rsidRPr="00472EC7">
              <w:rPr>
                <w:rFonts w:ascii="Arial Narrow" w:hAnsi="Arial Narrow"/>
                <w:b/>
                <w:snapToGrid w:val="0"/>
                <w:color w:val="000000"/>
                <w:sz w:val="16"/>
                <w:szCs w:val="16"/>
              </w:rPr>
              <w:t xml:space="preserve">Πληρωμές </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b/>
                <w:bCs/>
                <w:sz w:val="16"/>
                <w:szCs w:val="16"/>
              </w:rPr>
            </w:pPr>
            <w:r w:rsidRPr="002B18EC">
              <w:rPr>
                <w:rFonts w:ascii="Arial Narrow" w:hAnsi="Arial Narrow" w:cs="Arial"/>
                <w:b/>
                <w:bCs/>
                <w:sz w:val="16"/>
                <w:szCs w:val="16"/>
              </w:rPr>
              <w:t>7.241,3</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b/>
                <w:bCs/>
                <w:sz w:val="16"/>
                <w:szCs w:val="16"/>
              </w:rPr>
            </w:pPr>
            <w:r w:rsidRPr="002B18EC">
              <w:rPr>
                <w:rFonts w:ascii="Arial Narrow" w:hAnsi="Arial Narrow" w:cs="Arial"/>
                <w:b/>
                <w:bCs/>
                <w:sz w:val="16"/>
                <w:szCs w:val="16"/>
              </w:rPr>
              <w:t>7.784,9</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b/>
                <w:bCs/>
                <w:sz w:val="16"/>
                <w:szCs w:val="16"/>
              </w:rPr>
            </w:pPr>
            <w:r w:rsidRPr="002B18EC">
              <w:rPr>
                <w:rFonts w:ascii="Arial Narrow" w:hAnsi="Arial Narrow" w:cs="Arial"/>
                <w:b/>
                <w:bCs/>
                <w:sz w:val="16"/>
                <w:szCs w:val="16"/>
              </w:rPr>
              <w:t>7.794,5</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b/>
                <w:bCs/>
                <w:sz w:val="16"/>
                <w:szCs w:val="16"/>
              </w:rPr>
            </w:pPr>
            <w:r w:rsidRPr="002B18EC">
              <w:rPr>
                <w:rFonts w:ascii="Arial Narrow" w:hAnsi="Arial Narrow" w:cs="Arial"/>
                <w:b/>
                <w:bCs/>
                <w:sz w:val="16"/>
                <w:szCs w:val="16"/>
              </w:rPr>
              <w:t>6.002,8</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b/>
                <w:bCs/>
                <w:sz w:val="16"/>
                <w:szCs w:val="16"/>
              </w:rPr>
            </w:pPr>
            <w:r w:rsidRPr="002B18EC">
              <w:rPr>
                <w:rFonts w:ascii="Arial Narrow" w:hAnsi="Arial Narrow" w:cs="Arial"/>
                <w:b/>
                <w:bCs/>
                <w:sz w:val="16"/>
                <w:szCs w:val="16"/>
              </w:rPr>
              <w:t>6.098,2</w:t>
            </w:r>
          </w:p>
        </w:tc>
        <w:tc>
          <w:tcPr>
            <w:tcW w:w="779" w:type="dxa"/>
            <w:tcBorders>
              <w:top w:val="nil"/>
              <w:left w:val="nil"/>
              <w:bottom w:val="nil"/>
            </w:tcBorders>
            <w:shd w:val="clear" w:color="auto" w:fill="FFFFFF"/>
            <w:vAlign w:val="bottom"/>
          </w:tcPr>
          <w:p w:rsidR="0047041D" w:rsidRPr="002B18EC" w:rsidRDefault="0047041D" w:rsidP="005C0E1F">
            <w:pPr>
              <w:jc w:val="right"/>
              <w:rPr>
                <w:rFonts w:ascii="Arial Narrow" w:hAnsi="Arial Narrow" w:cs="Arial"/>
                <w:b/>
                <w:bCs/>
                <w:sz w:val="16"/>
                <w:szCs w:val="16"/>
              </w:rPr>
            </w:pPr>
            <w:r w:rsidRPr="002B18EC">
              <w:rPr>
                <w:rFonts w:ascii="Arial Narrow" w:hAnsi="Arial Narrow" w:cs="Arial"/>
                <w:b/>
                <w:bCs/>
                <w:sz w:val="16"/>
                <w:szCs w:val="16"/>
              </w:rPr>
              <w:t>5.640,7</w:t>
            </w:r>
          </w:p>
        </w:tc>
      </w:tr>
      <w:tr w:rsidR="0047041D" w:rsidTr="005C0E1F">
        <w:trPr>
          <w:cantSplit/>
          <w:trHeight w:val="20"/>
        </w:trPr>
        <w:tc>
          <w:tcPr>
            <w:tcW w:w="4283" w:type="dxa"/>
            <w:tcBorders>
              <w:top w:val="nil"/>
              <w:bottom w:val="nil"/>
              <w:right w:val="nil"/>
            </w:tcBorders>
            <w:shd w:val="clear" w:color="auto" w:fill="FFFFFF"/>
          </w:tcPr>
          <w:p w:rsidR="0047041D" w:rsidRPr="00472EC7" w:rsidRDefault="0047041D" w:rsidP="0043717B">
            <w:pPr>
              <w:tabs>
                <w:tab w:val="left" w:pos="426"/>
              </w:tabs>
              <w:spacing w:line="160" w:lineRule="exact"/>
              <w:rPr>
                <w:rFonts w:ascii="Arial Narrow" w:hAnsi="Arial Narrow"/>
                <w:snapToGrid w:val="0"/>
                <w:color w:val="000000"/>
                <w:sz w:val="16"/>
                <w:szCs w:val="16"/>
              </w:rPr>
            </w:pPr>
            <w:r w:rsidRPr="00472EC7">
              <w:rPr>
                <w:rFonts w:ascii="Arial Narrow" w:hAnsi="Arial Narrow"/>
                <w:snapToGrid w:val="0"/>
                <w:color w:val="000000"/>
                <w:sz w:val="16"/>
                <w:szCs w:val="16"/>
              </w:rPr>
              <w:tab/>
            </w:r>
            <w:r>
              <w:rPr>
                <w:rFonts w:ascii="Arial Narrow" w:hAnsi="Arial Narrow"/>
                <w:snapToGrid w:val="0"/>
                <w:color w:val="000000"/>
                <w:sz w:val="16"/>
                <w:szCs w:val="16"/>
              </w:rPr>
              <w:t>Από εργασία (α</w:t>
            </w:r>
            <w:r w:rsidRPr="00472EC7">
              <w:rPr>
                <w:rFonts w:ascii="Arial Narrow" w:hAnsi="Arial Narrow"/>
                <w:snapToGrid w:val="0"/>
                <w:color w:val="000000"/>
                <w:sz w:val="16"/>
                <w:szCs w:val="16"/>
              </w:rPr>
              <w:t>μοιβές, μισθοί</w:t>
            </w:r>
            <w:r>
              <w:rPr>
                <w:rFonts w:ascii="Arial Narrow" w:hAnsi="Arial Narrow"/>
                <w:snapToGrid w:val="0"/>
                <w:color w:val="000000"/>
                <w:sz w:val="16"/>
                <w:szCs w:val="16"/>
              </w:rPr>
              <w:t>)</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1.343,7</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1.363,7</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1.411,6</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1.007,3</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1.060,7</w:t>
            </w:r>
          </w:p>
        </w:tc>
        <w:tc>
          <w:tcPr>
            <w:tcW w:w="779" w:type="dxa"/>
            <w:tcBorders>
              <w:top w:val="nil"/>
              <w:left w:val="nil"/>
              <w:bottom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1.034,1</w:t>
            </w:r>
          </w:p>
        </w:tc>
      </w:tr>
      <w:tr w:rsidR="0047041D" w:rsidTr="005C0E1F">
        <w:trPr>
          <w:cantSplit/>
          <w:trHeight w:val="20"/>
        </w:trPr>
        <w:tc>
          <w:tcPr>
            <w:tcW w:w="4283" w:type="dxa"/>
            <w:tcBorders>
              <w:top w:val="nil"/>
              <w:bottom w:val="nil"/>
              <w:right w:val="nil"/>
            </w:tcBorders>
            <w:shd w:val="clear" w:color="auto" w:fill="FFFFFF"/>
          </w:tcPr>
          <w:p w:rsidR="0047041D" w:rsidRPr="00472EC7" w:rsidRDefault="0047041D" w:rsidP="0043717B">
            <w:pPr>
              <w:tabs>
                <w:tab w:val="left" w:pos="426"/>
              </w:tabs>
              <w:spacing w:line="160" w:lineRule="exact"/>
              <w:rPr>
                <w:rFonts w:ascii="Arial Narrow" w:hAnsi="Arial Narrow"/>
                <w:snapToGrid w:val="0"/>
                <w:color w:val="000000"/>
                <w:sz w:val="16"/>
                <w:szCs w:val="16"/>
              </w:rPr>
            </w:pPr>
            <w:r w:rsidRPr="00472EC7">
              <w:rPr>
                <w:rFonts w:ascii="Arial Narrow" w:hAnsi="Arial Narrow"/>
                <w:snapToGrid w:val="0"/>
                <w:color w:val="000000"/>
                <w:sz w:val="16"/>
                <w:szCs w:val="16"/>
              </w:rPr>
              <w:tab/>
            </w:r>
            <w:r>
              <w:rPr>
                <w:rFonts w:ascii="Arial Narrow" w:hAnsi="Arial Narrow"/>
                <w:snapToGrid w:val="0"/>
                <w:color w:val="000000"/>
                <w:sz w:val="16"/>
                <w:szCs w:val="16"/>
              </w:rPr>
              <w:t>Από επενδύσεις (τ</w:t>
            </w:r>
            <w:r w:rsidRPr="00472EC7">
              <w:rPr>
                <w:rFonts w:ascii="Arial Narrow" w:hAnsi="Arial Narrow"/>
                <w:snapToGrid w:val="0"/>
                <w:color w:val="000000"/>
                <w:sz w:val="16"/>
                <w:szCs w:val="16"/>
              </w:rPr>
              <w:t>όκοι, μερίσματα, κέρδη</w:t>
            </w:r>
            <w:r>
              <w:rPr>
                <w:rFonts w:ascii="Arial Narrow" w:hAnsi="Arial Narrow"/>
                <w:snapToGrid w:val="0"/>
                <w:color w:val="000000"/>
                <w:sz w:val="16"/>
                <w:szCs w:val="16"/>
              </w:rPr>
              <w:t>)</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5.492,3</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6.019,1</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5.975,9</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4.683,0</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4.695,3</w:t>
            </w:r>
          </w:p>
        </w:tc>
        <w:tc>
          <w:tcPr>
            <w:tcW w:w="779" w:type="dxa"/>
            <w:tcBorders>
              <w:top w:val="nil"/>
              <w:left w:val="nil"/>
              <w:bottom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4.275,7</w:t>
            </w:r>
          </w:p>
        </w:tc>
      </w:tr>
      <w:tr w:rsidR="0047041D" w:rsidTr="005C0E1F">
        <w:trPr>
          <w:cantSplit/>
          <w:trHeight w:val="20"/>
        </w:trPr>
        <w:tc>
          <w:tcPr>
            <w:tcW w:w="4283" w:type="dxa"/>
            <w:tcBorders>
              <w:top w:val="nil"/>
              <w:bottom w:val="nil"/>
              <w:right w:val="nil"/>
            </w:tcBorders>
            <w:shd w:val="clear" w:color="auto" w:fill="FFFFFF"/>
          </w:tcPr>
          <w:p w:rsidR="0047041D" w:rsidRPr="00472EC7" w:rsidRDefault="0047041D" w:rsidP="0043717B">
            <w:pPr>
              <w:tabs>
                <w:tab w:val="left" w:pos="426"/>
              </w:tabs>
              <w:spacing w:line="160" w:lineRule="exact"/>
              <w:rPr>
                <w:rFonts w:ascii="Arial Narrow" w:hAnsi="Arial Narrow"/>
                <w:snapToGrid w:val="0"/>
                <w:color w:val="000000"/>
                <w:sz w:val="16"/>
                <w:szCs w:val="16"/>
              </w:rPr>
            </w:pPr>
            <w:r>
              <w:rPr>
                <w:rFonts w:ascii="Arial Narrow" w:hAnsi="Arial Narrow"/>
                <w:snapToGrid w:val="0"/>
                <w:color w:val="000000"/>
                <w:sz w:val="16"/>
                <w:szCs w:val="16"/>
              </w:rPr>
              <w:tab/>
              <w:t>Λοιπά πρωτογενή εισοδήματα</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405,4</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402,1</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407,0</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312,5</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342,3</w:t>
            </w:r>
          </w:p>
        </w:tc>
        <w:tc>
          <w:tcPr>
            <w:tcW w:w="779" w:type="dxa"/>
            <w:tcBorders>
              <w:top w:val="nil"/>
              <w:left w:val="nil"/>
              <w:bottom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330,9</w:t>
            </w:r>
          </w:p>
        </w:tc>
      </w:tr>
      <w:tr w:rsidR="0047041D" w:rsidTr="005C0E1F">
        <w:trPr>
          <w:cantSplit/>
          <w:trHeight w:val="20"/>
        </w:trPr>
        <w:tc>
          <w:tcPr>
            <w:tcW w:w="4283" w:type="dxa"/>
            <w:tcBorders>
              <w:top w:val="nil"/>
              <w:bottom w:val="nil"/>
              <w:right w:val="nil"/>
            </w:tcBorders>
            <w:shd w:val="clear" w:color="auto" w:fill="D9D9D9" w:themeFill="background1" w:themeFillShade="D9"/>
          </w:tcPr>
          <w:p w:rsidR="0047041D" w:rsidRPr="00472EC7" w:rsidRDefault="0047041D" w:rsidP="0043717B">
            <w:pPr>
              <w:tabs>
                <w:tab w:val="left" w:pos="426"/>
              </w:tabs>
              <w:spacing w:line="160" w:lineRule="exact"/>
              <w:rPr>
                <w:rFonts w:ascii="Arial Narrow" w:hAnsi="Arial Narrow"/>
                <w:b/>
                <w:snapToGrid w:val="0"/>
                <w:color w:val="000000"/>
                <w:sz w:val="16"/>
                <w:szCs w:val="16"/>
              </w:rPr>
            </w:pPr>
            <w:r w:rsidRPr="00472EC7">
              <w:rPr>
                <w:rFonts w:ascii="Arial Narrow" w:hAnsi="Arial Narrow"/>
                <w:b/>
                <w:snapToGrid w:val="0"/>
                <w:color w:val="000000"/>
                <w:sz w:val="16"/>
                <w:szCs w:val="16"/>
              </w:rPr>
              <w:t>Ι.Δ</w:t>
            </w:r>
            <w:r w:rsidRPr="00472EC7">
              <w:rPr>
                <w:rFonts w:ascii="Arial Narrow" w:hAnsi="Arial Narrow"/>
                <w:b/>
                <w:snapToGrid w:val="0"/>
                <w:color w:val="000000"/>
                <w:sz w:val="16"/>
                <w:szCs w:val="16"/>
              </w:rPr>
              <w:tab/>
              <w:t xml:space="preserve">Ισοζύγιο </w:t>
            </w:r>
            <w:r>
              <w:rPr>
                <w:rFonts w:ascii="Arial Narrow" w:hAnsi="Arial Narrow"/>
                <w:b/>
                <w:snapToGrid w:val="0"/>
                <w:color w:val="000000"/>
                <w:sz w:val="16"/>
                <w:szCs w:val="16"/>
              </w:rPr>
              <w:t xml:space="preserve">δευτερογενών εισοδημάτων </w:t>
            </w:r>
            <w:r w:rsidRPr="00472EC7">
              <w:rPr>
                <w:rFonts w:ascii="Arial Narrow" w:hAnsi="Arial Narrow"/>
                <w:b/>
                <w:snapToGrid w:val="0"/>
                <w:color w:val="000000"/>
                <w:sz w:val="16"/>
                <w:szCs w:val="16"/>
              </w:rPr>
              <w:t>(I.Δ.1 - I.Δ.2)</w:t>
            </w:r>
          </w:p>
        </w:tc>
        <w:tc>
          <w:tcPr>
            <w:tcW w:w="802" w:type="dxa"/>
            <w:tcBorders>
              <w:top w:val="nil"/>
              <w:left w:val="nil"/>
              <w:bottom w:val="nil"/>
              <w:right w:val="nil"/>
            </w:tcBorders>
            <w:shd w:val="clear" w:color="auto" w:fill="D9D9D9" w:themeFill="background1" w:themeFillShade="D9"/>
            <w:vAlign w:val="bottom"/>
          </w:tcPr>
          <w:p w:rsidR="0047041D" w:rsidRPr="002B18EC" w:rsidRDefault="0047041D" w:rsidP="005C0E1F">
            <w:pPr>
              <w:jc w:val="right"/>
              <w:rPr>
                <w:rFonts w:ascii="Arial Narrow" w:hAnsi="Arial Narrow" w:cs="Arial"/>
                <w:b/>
                <w:bCs/>
                <w:sz w:val="16"/>
                <w:szCs w:val="16"/>
              </w:rPr>
            </w:pPr>
            <w:r w:rsidRPr="002B18EC">
              <w:rPr>
                <w:rFonts w:ascii="Arial Narrow" w:hAnsi="Arial Narrow" w:cs="Arial"/>
                <w:b/>
                <w:bCs/>
                <w:sz w:val="16"/>
                <w:szCs w:val="16"/>
              </w:rPr>
              <w:t>-558,7</w:t>
            </w:r>
          </w:p>
        </w:tc>
        <w:tc>
          <w:tcPr>
            <w:tcW w:w="802" w:type="dxa"/>
            <w:tcBorders>
              <w:top w:val="nil"/>
              <w:left w:val="nil"/>
              <w:bottom w:val="nil"/>
              <w:right w:val="nil"/>
            </w:tcBorders>
            <w:shd w:val="clear" w:color="auto" w:fill="D9D9D9" w:themeFill="background1" w:themeFillShade="D9"/>
            <w:vAlign w:val="bottom"/>
          </w:tcPr>
          <w:p w:rsidR="0047041D" w:rsidRPr="002B18EC" w:rsidRDefault="0047041D" w:rsidP="005C0E1F">
            <w:pPr>
              <w:jc w:val="right"/>
              <w:rPr>
                <w:rFonts w:ascii="Arial Narrow" w:hAnsi="Arial Narrow" w:cs="Arial"/>
                <w:b/>
                <w:bCs/>
                <w:sz w:val="16"/>
                <w:szCs w:val="16"/>
              </w:rPr>
            </w:pPr>
            <w:r w:rsidRPr="002B18EC">
              <w:rPr>
                <w:rFonts w:ascii="Arial Narrow" w:hAnsi="Arial Narrow" w:cs="Arial"/>
                <w:b/>
                <w:bCs/>
                <w:sz w:val="16"/>
                <w:szCs w:val="16"/>
              </w:rPr>
              <w:t>-321,1</w:t>
            </w:r>
          </w:p>
        </w:tc>
        <w:tc>
          <w:tcPr>
            <w:tcW w:w="802" w:type="dxa"/>
            <w:tcBorders>
              <w:top w:val="nil"/>
              <w:left w:val="nil"/>
              <w:bottom w:val="nil"/>
              <w:right w:val="nil"/>
            </w:tcBorders>
            <w:shd w:val="clear" w:color="auto" w:fill="D9D9D9" w:themeFill="background1" w:themeFillShade="D9"/>
            <w:vAlign w:val="bottom"/>
          </w:tcPr>
          <w:p w:rsidR="0047041D" w:rsidRPr="002B18EC" w:rsidRDefault="0047041D" w:rsidP="005C0E1F">
            <w:pPr>
              <w:jc w:val="right"/>
              <w:rPr>
                <w:rFonts w:ascii="Arial Narrow" w:hAnsi="Arial Narrow" w:cs="Arial"/>
                <w:b/>
                <w:bCs/>
                <w:sz w:val="16"/>
                <w:szCs w:val="16"/>
              </w:rPr>
            </w:pPr>
            <w:r w:rsidRPr="002B18EC">
              <w:rPr>
                <w:rFonts w:ascii="Arial Narrow" w:hAnsi="Arial Narrow" w:cs="Arial"/>
                <w:b/>
                <w:bCs/>
                <w:sz w:val="16"/>
                <w:szCs w:val="16"/>
              </w:rPr>
              <w:t>583,5</w:t>
            </w:r>
          </w:p>
        </w:tc>
        <w:tc>
          <w:tcPr>
            <w:tcW w:w="802" w:type="dxa"/>
            <w:tcBorders>
              <w:top w:val="nil"/>
              <w:left w:val="nil"/>
              <w:bottom w:val="nil"/>
              <w:right w:val="nil"/>
            </w:tcBorders>
            <w:shd w:val="clear" w:color="auto" w:fill="D9D9D9" w:themeFill="background1" w:themeFillShade="D9"/>
            <w:vAlign w:val="bottom"/>
          </w:tcPr>
          <w:p w:rsidR="0047041D" w:rsidRPr="002B18EC" w:rsidRDefault="0047041D" w:rsidP="005C0E1F">
            <w:pPr>
              <w:jc w:val="right"/>
              <w:rPr>
                <w:rFonts w:ascii="Arial Narrow" w:hAnsi="Arial Narrow" w:cs="Arial"/>
                <w:b/>
                <w:bCs/>
                <w:sz w:val="16"/>
                <w:szCs w:val="16"/>
              </w:rPr>
            </w:pPr>
            <w:r w:rsidRPr="002B18EC">
              <w:rPr>
                <w:rFonts w:ascii="Arial Narrow" w:hAnsi="Arial Narrow" w:cs="Arial"/>
                <w:b/>
                <w:bCs/>
                <w:sz w:val="16"/>
                <w:szCs w:val="16"/>
              </w:rPr>
              <w:t>-9,2</w:t>
            </w:r>
          </w:p>
        </w:tc>
        <w:tc>
          <w:tcPr>
            <w:tcW w:w="802" w:type="dxa"/>
            <w:tcBorders>
              <w:top w:val="nil"/>
              <w:left w:val="nil"/>
              <w:bottom w:val="nil"/>
              <w:right w:val="nil"/>
            </w:tcBorders>
            <w:shd w:val="clear" w:color="auto" w:fill="D9D9D9" w:themeFill="background1" w:themeFillShade="D9"/>
            <w:vAlign w:val="bottom"/>
          </w:tcPr>
          <w:p w:rsidR="0047041D" w:rsidRPr="002B18EC" w:rsidRDefault="0047041D" w:rsidP="005C0E1F">
            <w:pPr>
              <w:jc w:val="right"/>
              <w:rPr>
                <w:rFonts w:ascii="Arial Narrow" w:hAnsi="Arial Narrow" w:cs="Arial"/>
                <w:b/>
                <w:bCs/>
                <w:sz w:val="16"/>
                <w:szCs w:val="16"/>
              </w:rPr>
            </w:pPr>
            <w:r w:rsidRPr="002B18EC">
              <w:rPr>
                <w:rFonts w:ascii="Arial Narrow" w:hAnsi="Arial Narrow" w:cs="Arial"/>
                <w:b/>
                <w:bCs/>
                <w:sz w:val="16"/>
                <w:szCs w:val="16"/>
              </w:rPr>
              <w:t>146,5</w:t>
            </w:r>
          </w:p>
        </w:tc>
        <w:tc>
          <w:tcPr>
            <w:tcW w:w="779" w:type="dxa"/>
            <w:tcBorders>
              <w:top w:val="nil"/>
              <w:left w:val="nil"/>
              <w:bottom w:val="nil"/>
            </w:tcBorders>
            <w:shd w:val="clear" w:color="auto" w:fill="D9D9D9" w:themeFill="background1" w:themeFillShade="D9"/>
            <w:vAlign w:val="bottom"/>
          </w:tcPr>
          <w:p w:rsidR="0047041D" w:rsidRPr="002B18EC" w:rsidRDefault="0047041D" w:rsidP="005C0E1F">
            <w:pPr>
              <w:jc w:val="right"/>
              <w:rPr>
                <w:rFonts w:ascii="Arial Narrow" w:hAnsi="Arial Narrow" w:cs="Arial"/>
                <w:b/>
                <w:bCs/>
                <w:sz w:val="16"/>
                <w:szCs w:val="16"/>
              </w:rPr>
            </w:pPr>
            <w:r w:rsidRPr="002B18EC">
              <w:rPr>
                <w:rFonts w:ascii="Arial Narrow" w:hAnsi="Arial Narrow" w:cs="Arial"/>
                <w:b/>
                <w:bCs/>
                <w:sz w:val="16"/>
                <w:szCs w:val="16"/>
              </w:rPr>
              <w:t>307,8</w:t>
            </w:r>
          </w:p>
        </w:tc>
      </w:tr>
      <w:tr w:rsidR="0047041D" w:rsidTr="005C0E1F">
        <w:trPr>
          <w:cantSplit/>
          <w:trHeight w:val="20"/>
        </w:trPr>
        <w:tc>
          <w:tcPr>
            <w:tcW w:w="4283" w:type="dxa"/>
            <w:tcBorders>
              <w:top w:val="nil"/>
              <w:bottom w:val="nil"/>
              <w:right w:val="nil"/>
            </w:tcBorders>
            <w:shd w:val="clear" w:color="auto" w:fill="FFFFFF"/>
          </w:tcPr>
          <w:p w:rsidR="0047041D" w:rsidRPr="00472EC7" w:rsidRDefault="0047041D" w:rsidP="0043717B">
            <w:pPr>
              <w:tabs>
                <w:tab w:val="left" w:pos="426"/>
              </w:tabs>
              <w:spacing w:line="160" w:lineRule="exact"/>
              <w:rPr>
                <w:rFonts w:ascii="Arial Narrow" w:hAnsi="Arial Narrow"/>
                <w:b/>
                <w:snapToGrid w:val="0"/>
                <w:color w:val="000000"/>
                <w:sz w:val="16"/>
                <w:szCs w:val="16"/>
              </w:rPr>
            </w:pPr>
            <w:r w:rsidRPr="00472EC7">
              <w:rPr>
                <w:rFonts w:ascii="Arial Narrow" w:hAnsi="Arial Narrow"/>
                <w:snapToGrid w:val="0"/>
                <w:color w:val="000000"/>
                <w:sz w:val="16"/>
                <w:szCs w:val="16"/>
              </w:rPr>
              <w:t>I.Δ.1</w:t>
            </w:r>
            <w:r w:rsidRPr="00472EC7">
              <w:rPr>
                <w:rFonts w:ascii="Arial Narrow" w:hAnsi="Arial Narrow"/>
                <w:snapToGrid w:val="0"/>
                <w:color w:val="000000"/>
                <w:sz w:val="16"/>
                <w:szCs w:val="16"/>
              </w:rPr>
              <w:tab/>
            </w:r>
            <w:r w:rsidRPr="00472EC7">
              <w:rPr>
                <w:rFonts w:ascii="Arial Narrow" w:hAnsi="Arial Narrow"/>
                <w:b/>
                <w:snapToGrid w:val="0"/>
                <w:color w:val="000000"/>
                <w:sz w:val="16"/>
                <w:szCs w:val="16"/>
              </w:rPr>
              <w:t xml:space="preserve">Εισπράξεις </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b/>
                <w:bCs/>
                <w:sz w:val="16"/>
                <w:szCs w:val="16"/>
              </w:rPr>
            </w:pPr>
            <w:r w:rsidRPr="002B18EC">
              <w:rPr>
                <w:rFonts w:ascii="Arial Narrow" w:hAnsi="Arial Narrow" w:cs="Arial"/>
                <w:b/>
                <w:bCs/>
                <w:sz w:val="16"/>
                <w:szCs w:val="16"/>
              </w:rPr>
              <w:t>1.949,9</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b/>
                <w:bCs/>
                <w:sz w:val="16"/>
                <w:szCs w:val="16"/>
              </w:rPr>
            </w:pPr>
            <w:r w:rsidRPr="002B18EC">
              <w:rPr>
                <w:rFonts w:ascii="Arial Narrow" w:hAnsi="Arial Narrow" w:cs="Arial"/>
                <w:b/>
                <w:bCs/>
                <w:sz w:val="16"/>
                <w:szCs w:val="16"/>
              </w:rPr>
              <w:t>2.177,6</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b/>
                <w:bCs/>
                <w:sz w:val="16"/>
                <w:szCs w:val="16"/>
              </w:rPr>
            </w:pPr>
            <w:r w:rsidRPr="002B18EC">
              <w:rPr>
                <w:rFonts w:ascii="Arial Narrow" w:hAnsi="Arial Narrow" w:cs="Arial"/>
                <w:b/>
                <w:bCs/>
                <w:sz w:val="16"/>
                <w:szCs w:val="16"/>
              </w:rPr>
              <w:t>3.827,9</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b/>
                <w:bCs/>
                <w:sz w:val="16"/>
                <w:szCs w:val="16"/>
              </w:rPr>
            </w:pPr>
            <w:r w:rsidRPr="002B18EC">
              <w:rPr>
                <w:rFonts w:ascii="Arial Narrow" w:hAnsi="Arial Narrow" w:cs="Arial"/>
                <w:b/>
                <w:bCs/>
                <w:sz w:val="16"/>
                <w:szCs w:val="16"/>
              </w:rPr>
              <w:t>1.714,6</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b/>
                <w:bCs/>
                <w:sz w:val="16"/>
                <w:szCs w:val="16"/>
              </w:rPr>
            </w:pPr>
            <w:r w:rsidRPr="002B18EC">
              <w:rPr>
                <w:rFonts w:ascii="Arial Narrow" w:hAnsi="Arial Narrow" w:cs="Arial"/>
                <w:b/>
                <w:bCs/>
                <w:sz w:val="16"/>
                <w:szCs w:val="16"/>
              </w:rPr>
              <w:t>2.647,4</w:t>
            </w:r>
          </w:p>
        </w:tc>
        <w:tc>
          <w:tcPr>
            <w:tcW w:w="779" w:type="dxa"/>
            <w:tcBorders>
              <w:top w:val="nil"/>
              <w:left w:val="nil"/>
              <w:bottom w:val="nil"/>
            </w:tcBorders>
            <w:shd w:val="clear" w:color="auto" w:fill="FFFFFF"/>
            <w:vAlign w:val="bottom"/>
          </w:tcPr>
          <w:p w:rsidR="0047041D" w:rsidRPr="002B18EC" w:rsidRDefault="0047041D" w:rsidP="005C0E1F">
            <w:pPr>
              <w:jc w:val="right"/>
              <w:rPr>
                <w:rFonts w:ascii="Arial Narrow" w:hAnsi="Arial Narrow" w:cs="Arial"/>
                <w:b/>
                <w:bCs/>
                <w:sz w:val="16"/>
                <w:szCs w:val="16"/>
              </w:rPr>
            </w:pPr>
            <w:r w:rsidRPr="002B18EC">
              <w:rPr>
                <w:rFonts w:ascii="Arial Narrow" w:hAnsi="Arial Narrow" w:cs="Arial"/>
                <w:b/>
                <w:bCs/>
                <w:sz w:val="16"/>
                <w:szCs w:val="16"/>
              </w:rPr>
              <w:t>2.902,0</w:t>
            </w:r>
          </w:p>
        </w:tc>
      </w:tr>
      <w:tr w:rsidR="0047041D" w:rsidTr="005C0E1F">
        <w:trPr>
          <w:cantSplit/>
          <w:trHeight w:val="20"/>
        </w:trPr>
        <w:tc>
          <w:tcPr>
            <w:tcW w:w="4283" w:type="dxa"/>
            <w:tcBorders>
              <w:top w:val="nil"/>
              <w:bottom w:val="nil"/>
              <w:right w:val="nil"/>
            </w:tcBorders>
            <w:shd w:val="clear" w:color="auto" w:fill="FFFFFF"/>
          </w:tcPr>
          <w:p w:rsidR="0047041D" w:rsidRPr="00472EC7" w:rsidRDefault="0047041D" w:rsidP="0043717B">
            <w:pPr>
              <w:tabs>
                <w:tab w:val="left" w:pos="426"/>
              </w:tabs>
              <w:spacing w:line="160" w:lineRule="exact"/>
              <w:rPr>
                <w:rFonts w:ascii="Arial Narrow" w:hAnsi="Arial Narrow"/>
                <w:snapToGrid w:val="0"/>
                <w:color w:val="000000"/>
                <w:sz w:val="16"/>
                <w:szCs w:val="16"/>
              </w:rPr>
            </w:pPr>
            <w:r w:rsidRPr="00472EC7">
              <w:rPr>
                <w:rFonts w:ascii="Arial Narrow" w:hAnsi="Arial Narrow"/>
                <w:snapToGrid w:val="0"/>
                <w:color w:val="000000"/>
                <w:sz w:val="16"/>
                <w:szCs w:val="16"/>
              </w:rPr>
              <w:tab/>
              <w:t xml:space="preserve">Γενική </w:t>
            </w:r>
            <w:r>
              <w:rPr>
                <w:rFonts w:ascii="Arial Narrow" w:hAnsi="Arial Narrow"/>
                <w:snapToGrid w:val="0"/>
                <w:color w:val="000000"/>
                <w:sz w:val="16"/>
                <w:szCs w:val="16"/>
              </w:rPr>
              <w:t>Κ</w:t>
            </w:r>
            <w:r w:rsidRPr="00472EC7">
              <w:rPr>
                <w:rFonts w:ascii="Arial Narrow" w:hAnsi="Arial Narrow"/>
                <w:snapToGrid w:val="0"/>
                <w:color w:val="000000"/>
                <w:sz w:val="16"/>
                <w:szCs w:val="16"/>
              </w:rPr>
              <w:t xml:space="preserve">υβέρνηση </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939,8</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1.034,7</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2.361,2</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907,2</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1.588,5</w:t>
            </w:r>
          </w:p>
        </w:tc>
        <w:tc>
          <w:tcPr>
            <w:tcW w:w="779" w:type="dxa"/>
            <w:tcBorders>
              <w:top w:val="nil"/>
              <w:left w:val="nil"/>
              <w:bottom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1.704,4</w:t>
            </w:r>
          </w:p>
        </w:tc>
      </w:tr>
      <w:tr w:rsidR="0047041D" w:rsidTr="005C0E1F">
        <w:trPr>
          <w:cantSplit/>
          <w:trHeight w:val="20"/>
        </w:trPr>
        <w:tc>
          <w:tcPr>
            <w:tcW w:w="4283" w:type="dxa"/>
            <w:tcBorders>
              <w:top w:val="nil"/>
              <w:bottom w:val="nil"/>
              <w:right w:val="nil"/>
            </w:tcBorders>
            <w:shd w:val="clear" w:color="auto" w:fill="FFFFFF"/>
          </w:tcPr>
          <w:p w:rsidR="0047041D" w:rsidRPr="00472EC7" w:rsidRDefault="0047041D" w:rsidP="0043717B">
            <w:pPr>
              <w:tabs>
                <w:tab w:val="left" w:pos="426"/>
              </w:tabs>
              <w:spacing w:line="160" w:lineRule="exact"/>
              <w:rPr>
                <w:rFonts w:ascii="Arial Narrow" w:hAnsi="Arial Narrow"/>
                <w:snapToGrid w:val="0"/>
                <w:color w:val="000000"/>
                <w:sz w:val="16"/>
                <w:szCs w:val="16"/>
              </w:rPr>
            </w:pPr>
            <w:r w:rsidRPr="00472EC7">
              <w:rPr>
                <w:rFonts w:ascii="Arial Narrow" w:hAnsi="Arial Narrow"/>
                <w:snapToGrid w:val="0"/>
                <w:color w:val="000000"/>
                <w:sz w:val="16"/>
                <w:szCs w:val="16"/>
              </w:rPr>
              <w:tab/>
              <w:t xml:space="preserve">Λοιποί τομείς </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1.010,1</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1.142,9</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1.466,8</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807,4</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1.058,9</w:t>
            </w:r>
          </w:p>
        </w:tc>
        <w:tc>
          <w:tcPr>
            <w:tcW w:w="779" w:type="dxa"/>
            <w:tcBorders>
              <w:top w:val="nil"/>
              <w:left w:val="nil"/>
              <w:bottom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1.197,6</w:t>
            </w:r>
          </w:p>
        </w:tc>
      </w:tr>
      <w:tr w:rsidR="0047041D" w:rsidTr="005C0E1F">
        <w:trPr>
          <w:cantSplit/>
          <w:trHeight w:val="20"/>
        </w:trPr>
        <w:tc>
          <w:tcPr>
            <w:tcW w:w="4283" w:type="dxa"/>
            <w:tcBorders>
              <w:top w:val="nil"/>
              <w:bottom w:val="nil"/>
              <w:right w:val="nil"/>
            </w:tcBorders>
            <w:shd w:val="clear" w:color="auto" w:fill="FFFFFF"/>
          </w:tcPr>
          <w:p w:rsidR="0047041D" w:rsidRPr="00472EC7" w:rsidRDefault="0047041D" w:rsidP="0043717B">
            <w:pPr>
              <w:tabs>
                <w:tab w:val="left" w:pos="426"/>
              </w:tabs>
              <w:spacing w:line="160" w:lineRule="exact"/>
              <w:rPr>
                <w:rFonts w:ascii="Arial Narrow" w:hAnsi="Arial Narrow"/>
                <w:b/>
                <w:snapToGrid w:val="0"/>
                <w:color w:val="000000"/>
                <w:sz w:val="16"/>
                <w:szCs w:val="16"/>
              </w:rPr>
            </w:pPr>
            <w:r w:rsidRPr="00472EC7">
              <w:rPr>
                <w:rFonts w:ascii="Arial Narrow" w:hAnsi="Arial Narrow"/>
                <w:snapToGrid w:val="0"/>
                <w:color w:val="000000"/>
                <w:sz w:val="16"/>
                <w:szCs w:val="16"/>
              </w:rPr>
              <w:t>I.Δ.2</w:t>
            </w:r>
            <w:r w:rsidRPr="00472EC7">
              <w:rPr>
                <w:rFonts w:ascii="Arial Narrow" w:hAnsi="Arial Narrow"/>
                <w:snapToGrid w:val="0"/>
                <w:color w:val="000000"/>
                <w:sz w:val="16"/>
                <w:szCs w:val="16"/>
              </w:rPr>
              <w:tab/>
            </w:r>
            <w:r w:rsidRPr="00472EC7">
              <w:rPr>
                <w:rFonts w:ascii="Arial Narrow" w:hAnsi="Arial Narrow"/>
                <w:b/>
                <w:snapToGrid w:val="0"/>
                <w:color w:val="000000"/>
                <w:sz w:val="16"/>
                <w:szCs w:val="16"/>
              </w:rPr>
              <w:t xml:space="preserve">Πληρωμές </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b/>
                <w:bCs/>
                <w:sz w:val="16"/>
                <w:szCs w:val="16"/>
              </w:rPr>
            </w:pPr>
            <w:r w:rsidRPr="002B18EC">
              <w:rPr>
                <w:rFonts w:ascii="Arial Narrow" w:hAnsi="Arial Narrow" w:cs="Arial"/>
                <w:b/>
                <w:bCs/>
                <w:sz w:val="16"/>
                <w:szCs w:val="16"/>
              </w:rPr>
              <w:t>2.508,6</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b/>
                <w:bCs/>
                <w:sz w:val="16"/>
                <w:szCs w:val="16"/>
              </w:rPr>
            </w:pPr>
            <w:r w:rsidRPr="002B18EC">
              <w:rPr>
                <w:rFonts w:ascii="Arial Narrow" w:hAnsi="Arial Narrow" w:cs="Arial"/>
                <w:b/>
                <w:bCs/>
                <w:sz w:val="16"/>
                <w:szCs w:val="16"/>
              </w:rPr>
              <w:t>2.498,8</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b/>
                <w:bCs/>
                <w:sz w:val="16"/>
                <w:szCs w:val="16"/>
              </w:rPr>
            </w:pPr>
            <w:r w:rsidRPr="002B18EC">
              <w:rPr>
                <w:rFonts w:ascii="Arial Narrow" w:hAnsi="Arial Narrow" w:cs="Arial"/>
                <w:b/>
                <w:bCs/>
                <w:sz w:val="16"/>
                <w:szCs w:val="16"/>
              </w:rPr>
              <w:t>3.244,5</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b/>
                <w:bCs/>
                <w:sz w:val="16"/>
                <w:szCs w:val="16"/>
              </w:rPr>
            </w:pPr>
            <w:r w:rsidRPr="002B18EC">
              <w:rPr>
                <w:rFonts w:ascii="Arial Narrow" w:hAnsi="Arial Narrow" w:cs="Arial"/>
                <w:b/>
                <w:bCs/>
                <w:sz w:val="16"/>
                <w:szCs w:val="16"/>
              </w:rPr>
              <w:t>1.723,8</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b/>
                <w:bCs/>
                <w:sz w:val="16"/>
                <w:szCs w:val="16"/>
              </w:rPr>
            </w:pPr>
            <w:r w:rsidRPr="002B18EC">
              <w:rPr>
                <w:rFonts w:ascii="Arial Narrow" w:hAnsi="Arial Narrow" w:cs="Arial"/>
                <w:b/>
                <w:bCs/>
                <w:sz w:val="16"/>
                <w:szCs w:val="16"/>
              </w:rPr>
              <w:t>2.500,9</w:t>
            </w:r>
          </w:p>
        </w:tc>
        <w:tc>
          <w:tcPr>
            <w:tcW w:w="779" w:type="dxa"/>
            <w:tcBorders>
              <w:top w:val="nil"/>
              <w:left w:val="nil"/>
              <w:bottom w:val="nil"/>
            </w:tcBorders>
            <w:shd w:val="clear" w:color="auto" w:fill="FFFFFF"/>
            <w:vAlign w:val="bottom"/>
          </w:tcPr>
          <w:p w:rsidR="0047041D" w:rsidRPr="002B18EC" w:rsidRDefault="0047041D" w:rsidP="005C0E1F">
            <w:pPr>
              <w:jc w:val="right"/>
              <w:rPr>
                <w:rFonts w:ascii="Arial Narrow" w:hAnsi="Arial Narrow" w:cs="Arial"/>
                <w:b/>
                <w:bCs/>
                <w:sz w:val="16"/>
                <w:szCs w:val="16"/>
              </w:rPr>
            </w:pPr>
            <w:r w:rsidRPr="002B18EC">
              <w:rPr>
                <w:rFonts w:ascii="Arial Narrow" w:hAnsi="Arial Narrow" w:cs="Arial"/>
                <w:b/>
                <w:bCs/>
                <w:sz w:val="16"/>
                <w:szCs w:val="16"/>
              </w:rPr>
              <w:t>2.594,2</w:t>
            </w:r>
          </w:p>
        </w:tc>
      </w:tr>
      <w:tr w:rsidR="0047041D" w:rsidTr="005C0E1F">
        <w:trPr>
          <w:cantSplit/>
          <w:trHeight w:val="20"/>
        </w:trPr>
        <w:tc>
          <w:tcPr>
            <w:tcW w:w="4283" w:type="dxa"/>
            <w:tcBorders>
              <w:top w:val="nil"/>
              <w:bottom w:val="nil"/>
              <w:right w:val="nil"/>
            </w:tcBorders>
            <w:shd w:val="clear" w:color="auto" w:fill="FFFFFF"/>
          </w:tcPr>
          <w:p w:rsidR="0047041D" w:rsidRPr="00472EC7" w:rsidRDefault="0047041D" w:rsidP="0043717B">
            <w:pPr>
              <w:tabs>
                <w:tab w:val="left" w:pos="426"/>
              </w:tabs>
              <w:spacing w:line="160" w:lineRule="exact"/>
              <w:rPr>
                <w:rFonts w:ascii="Arial Narrow" w:hAnsi="Arial Narrow"/>
                <w:snapToGrid w:val="0"/>
                <w:color w:val="000000"/>
                <w:sz w:val="16"/>
                <w:szCs w:val="16"/>
              </w:rPr>
            </w:pPr>
            <w:r w:rsidRPr="00472EC7">
              <w:rPr>
                <w:rFonts w:ascii="Arial Narrow" w:hAnsi="Arial Narrow"/>
                <w:snapToGrid w:val="0"/>
                <w:color w:val="000000"/>
                <w:sz w:val="16"/>
                <w:szCs w:val="16"/>
              </w:rPr>
              <w:tab/>
              <w:t xml:space="preserve">Γενική </w:t>
            </w:r>
            <w:r>
              <w:rPr>
                <w:rFonts w:ascii="Arial Narrow" w:hAnsi="Arial Narrow"/>
                <w:snapToGrid w:val="0"/>
                <w:color w:val="000000"/>
                <w:sz w:val="16"/>
                <w:szCs w:val="16"/>
              </w:rPr>
              <w:t>Κ</w:t>
            </w:r>
            <w:r w:rsidRPr="00472EC7">
              <w:rPr>
                <w:rFonts w:ascii="Arial Narrow" w:hAnsi="Arial Narrow"/>
                <w:snapToGrid w:val="0"/>
                <w:color w:val="000000"/>
                <w:sz w:val="16"/>
                <w:szCs w:val="16"/>
              </w:rPr>
              <w:t xml:space="preserve">υβέρνηση </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1.792,7</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1.702,8</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1.830,3</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1.195,2</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1.463,5</w:t>
            </w:r>
          </w:p>
        </w:tc>
        <w:tc>
          <w:tcPr>
            <w:tcW w:w="779" w:type="dxa"/>
            <w:tcBorders>
              <w:top w:val="nil"/>
              <w:left w:val="nil"/>
              <w:bottom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1.383,4</w:t>
            </w:r>
          </w:p>
        </w:tc>
      </w:tr>
      <w:tr w:rsidR="0047041D" w:rsidTr="005C0E1F">
        <w:trPr>
          <w:cantSplit/>
          <w:trHeight w:val="20"/>
        </w:trPr>
        <w:tc>
          <w:tcPr>
            <w:tcW w:w="4283" w:type="dxa"/>
            <w:tcBorders>
              <w:top w:val="nil"/>
              <w:bottom w:val="nil"/>
              <w:right w:val="nil"/>
            </w:tcBorders>
            <w:shd w:val="clear" w:color="auto" w:fill="FFFFFF"/>
          </w:tcPr>
          <w:p w:rsidR="0047041D" w:rsidRPr="00472EC7" w:rsidRDefault="0047041D" w:rsidP="0043717B">
            <w:pPr>
              <w:tabs>
                <w:tab w:val="left" w:pos="426"/>
              </w:tabs>
              <w:spacing w:line="160" w:lineRule="exact"/>
              <w:rPr>
                <w:rFonts w:ascii="Arial Narrow" w:hAnsi="Arial Narrow"/>
                <w:snapToGrid w:val="0"/>
                <w:color w:val="000000"/>
                <w:sz w:val="16"/>
                <w:szCs w:val="16"/>
              </w:rPr>
            </w:pPr>
            <w:r w:rsidRPr="00472EC7">
              <w:rPr>
                <w:rFonts w:ascii="Arial Narrow" w:hAnsi="Arial Narrow"/>
                <w:snapToGrid w:val="0"/>
                <w:color w:val="000000"/>
                <w:sz w:val="16"/>
                <w:szCs w:val="16"/>
              </w:rPr>
              <w:tab/>
              <w:t>Λοιποί τομείς</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715,9</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796,0</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1.414,2</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528,5</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1.037,3</w:t>
            </w:r>
          </w:p>
        </w:tc>
        <w:tc>
          <w:tcPr>
            <w:tcW w:w="779" w:type="dxa"/>
            <w:tcBorders>
              <w:top w:val="nil"/>
              <w:left w:val="nil"/>
              <w:bottom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1.210,8</w:t>
            </w:r>
          </w:p>
        </w:tc>
      </w:tr>
      <w:tr w:rsidR="0047041D" w:rsidTr="005C0E1F">
        <w:trPr>
          <w:cantSplit/>
          <w:trHeight w:val="20"/>
        </w:trPr>
        <w:tc>
          <w:tcPr>
            <w:tcW w:w="4283" w:type="dxa"/>
            <w:tcBorders>
              <w:top w:val="nil"/>
              <w:bottom w:val="nil"/>
              <w:right w:val="nil"/>
            </w:tcBorders>
            <w:shd w:val="clear" w:color="auto" w:fill="D9D9D9" w:themeFill="background1" w:themeFillShade="D9"/>
          </w:tcPr>
          <w:p w:rsidR="0047041D" w:rsidRPr="00472EC7" w:rsidRDefault="0047041D" w:rsidP="0043717B">
            <w:pPr>
              <w:tabs>
                <w:tab w:val="left" w:pos="426"/>
              </w:tabs>
              <w:spacing w:line="160" w:lineRule="exact"/>
              <w:rPr>
                <w:rFonts w:ascii="Arial Narrow" w:hAnsi="Arial Narrow"/>
                <w:b/>
                <w:i/>
                <w:snapToGrid w:val="0"/>
                <w:color w:val="000000"/>
                <w:sz w:val="16"/>
                <w:szCs w:val="16"/>
              </w:rPr>
            </w:pPr>
            <w:r w:rsidRPr="00472EC7">
              <w:rPr>
                <w:rFonts w:ascii="Arial Narrow" w:hAnsi="Arial Narrow"/>
                <w:b/>
                <w:snapToGrid w:val="0"/>
                <w:color w:val="000000"/>
                <w:sz w:val="16"/>
                <w:szCs w:val="16"/>
              </w:rPr>
              <w:t>IΙ.</w:t>
            </w:r>
            <w:r w:rsidRPr="00472EC7">
              <w:rPr>
                <w:rFonts w:ascii="Arial Narrow" w:hAnsi="Arial Narrow"/>
                <w:b/>
                <w:snapToGrid w:val="0"/>
                <w:color w:val="000000"/>
                <w:sz w:val="16"/>
                <w:szCs w:val="16"/>
              </w:rPr>
              <w:tab/>
              <w:t>Ισοζύγιο κεφαλα</w:t>
            </w:r>
            <w:r>
              <w:rPr>
                <w:rFonts w:ascii="Arial Narrow" w:hAnsi="Arial Narrow"/>
                <w:b/>
                <w:snapToGrid w:val="0"/>
                <w:color w:val="000000"/>
                <w:sz w:val="16"/>
                <w:szCs w:val="16"/>
              </w:rPr>
              <w:t xml:space="preserve">ίων </w:t>
            </w:r>
            <w:r w:rsidRPr="00472EC7">
              <w:rPr>
                <w:rFonts w:ascii="Arial Narrow" w:hAnsi="Arial Narrow"/>
                <w:b/>
                <w:snapToGrid w:val="0"/>
                <w:color w:val="000000"/>
                <w:sz w:val="16"/>
                <w:szCs w:val="16"/>
              </w:rPr>
              <w:t>(ΙΙ.1-ΙΙ.2)</w:t>
            </w:r>
          </w:p>
        </w:tc>
        <w:tc>
          <w:tcPr>
            <w:tcW w:w="802" w:type="dxa"/>
            <w:tcBorders>
              <w:top w:val="nil"/>
              <w:left w:val="nil"/>
              <w:bottom w:val="nil"/>
              <w:right w:val="nil"/>
            </w:tcBorders>
            <w:shd w:val="clear" w:color="auto" w:fill="D9D9D9" w:themeFill="background1" w:themeFillShade="D9"/>
            <w:vAlign w:val="bottom"/>
          </w:tcPr>
          <w:p w:rsidR="0047041D" w:rsidRPr="002B18EC" w:rsidRDefault="0047041D" w:rsidP="005C0E1F">
            <w:pPr>
              <w:jc w:val="right"/>
              <w:rPr>
                <w:rFonts w:ascii="Arial Narrow" w:hAnsi="Arial Narrow" w:cs="Arial"/>
                <w:b/>
                <w:bCs/>
                <w:sz w:val="16"/>
                <w:szCs w:val="16"/>
              </w:rPr>
            </w:pPr>
            <w:r w:rsidRPr="002B18EC">
              <w:rPr>
                <w:rFonts w:ascii="Arial Narrow" w:hAnsi="Arial Narrow" w:cs="Arial"/>
                <w:b/>
                <w:bCs/>
                <w:sz w:val="16"/>
                <w:szCs w:val="16"/>
              </w:rPr>
              <w:t>914,5</w:t>
            </w:r>
          </w:p>
        </w:tc>
        <w:tc>
          <w:tcPr>
            <w:tcW w:w="802" w:type="dxa"/>
            <w:tcBorders>
              <w:top w:val="nil"/>
              <w:left w:val="nil"/>
              <w:bottom w:val="nil"/>
              <w:right w:val="nil"/>
            </w:tcBorders>
            <w:shd w:val="clear" w:color="auto" w:fill="D9D9D9" w:themeFill="background1" w:themeFillShade="D9"/>
            <w:vAlign w:val="bottom"/>
          </w:tcPr>
          <w:p w:rsidR="0047041D" w:rsidRPr="002B18EC" w:rsidRDefault="0047041D" w:rsidP="005C0E1F">
            <w:pPr>
              <w:jc w:val="right"/>
              <w:rPr>
                <w:rFonts w:ascii="Arial Narrow" w:hAnsi="Arial Narrow" w:cs="Arial"/>
                <w:b/>
                <w:bCs/>
                <w:sz w:val="16"/>
                <w:szCs w:val="16"/>
              </w:rPr>
            </w:pPr>
            <w:r w:rsidRPr="002B18EC">
              <w:rPr>
                <w:rFonts w:ascii="Arial Narrow" w:hAnsi="Arial Narrow" w:cs="Arial"/>
                <w:b/>
                <w:bCs/>
                <w:sz w:val="16"/>
                <w:szCs w:val="16"/>
              </w:rPr>
              <w:t>353,2</w:t>
            </w:r>
          </w:p>
        </w:tc>
        <w:tc>
          <w:tcPr>
            <w:tcW w:w="802" w:type="dxa"/>
            <w:tcBorders>
              <w:top w:val="nil"/>
              <w:left w:val="nil"/>
              <w:bottom w:val="nil"/>
              <w:right w:val="nil"/>
            </w:tcBorders>
            <w:shd w:val="clear" w:color="auto" w:fill="D9D9D9" w:themeFill="background1" w:themeFillShade="D9"/>
            <w:vAlign w:val="bottom"/>
          </w:tcPr>
          <w:p w:rsidR="0047041D" w:rsidRPr="002B18EC" w:rsidRDefault="0047041D" w:rsidP="005C0E1F">
            <w:pPr>
              <w:jc w:val="right"/>
              <w:rPr>
                <w:rFonts w:ascii="Arial Narrow" w:hAnsi="Arial Narrow" w:cs="Arial"/>
                <w:b/>
                <w:bCs/>
                <w:sz w:val="16"/>
                <w:szCs w:val="16"/>
              </w:rPr>
            </w:pPr>
            <w:r w:rsidRPr="002B18EC">
              <w:rPr>
                <w:rFonts w:ascii="Arial Narrow" w:hAnsi="Arial Narrow" w:cs="Arial"/>
                <w:b/>
                <w:bCs/>
                <w:sz w:val="16"/>
                <w:szCs w:val="16"/>
              </w:rPr>
              <w:t>679,8</w:t>
            </w:r>
          </w:p>
        </w:tc>
        <w:tc>
          <w:tcPr>
            <w:tcW w:w="802" w:type="dxa"/>
            <w:tcBorders>
              <w:top w:val="nil"/>
              <w:left w:val="nil"/>
              <w:bottom w:val="nil"/>
              <w:right w:val="nil"/>
            </w:tcBorders>
            <w:shd w:val="clear" w:color="auto" w:fill="D9D9D9" w:themeFill="background1" w:themeFillShade="D9"/>
            <w:vAlign w:val="bottom"/>
          </w:tcPr>
          <w:p w:rsidR="0047041D" w:rsidRPr="002B18EC" w:rsidRDefault="0047041D" w:rsidP="005C0E1F">
            <w:pPr>
              <w:jc w:val="right"/>
              <w:rPr>
                <w:rFonts w:ascii="Arial Narrow" w:hAnsi="Arial Narrow" w:cs="Arial"/>
                <w:b/>
                <w:bCs/>
                <w:sz w:val="16"/>
                <w:szCs w:val="16"/>
              </w:rPr>
            </w:pPr>
            <w:r w:rsidRPr="002B18EC">
              <w:rPr>
                <w:rFonts w:ascii="Arial Narrow" w:hAnsi="Arial Narrow" w:cs="Arial"/>
                <w:b/>
                <w:bCs/>
                <w:sz w:val="16"/>
                <w:szCs w:val="16"/>
              </w:rPr>
              <w:t>166,3</w:t>
            </w:r>
          </w:p>
        </w:tc>
        <w:tc>
          <w:tcPr>
            <w:tcW w:w="802" w:type="dxa"/>
            <w:tcBorders>
              <w:top w:val="nil"/>
              <w:left w:val="nil"/>
              <w:bottom w:val="nil"/>
              <w:right w:val="nil"/>
            </w:tcBorders>
            <w:shd w:val="clear" w:color="auto" w:fill="D9D9D9" w:themeFill="background1" w:themeFillShade="D9"/>
            <w:vAlign w:val="bottom"/>
          </w:tcPr>
          <w:p w:rsidR="0047041D" w:rsidRPr="002B18EC" w:rsidRDefault="0047041D" w:rsidP="005C0E1F">
            <w:pPr>
              <w:jc w:val="right"/>
              <w:rPr>
                <w:rFonts w:ascii="Arial Narrow" w:hAnsi="Arial Narrow" w:cs="Arial"/>
                <w:b/>
                <w:bCs/>
                <w:sz w:val="16"/>
                <w:szCs w:val="16"/>
              </w:rPr>
            </w:pPr>
            <w:r w:rsidRPr="002B18EC">
              <w:rPr>
                <w:rFonts w:ascii="Arial Narrow" w:hAnsi="Arial Narrow" w:cs="Arial"/>
                <w:b/>
                <w:bCs/>
                <w:sz w:val="16"/>
                <w:szCs w:val="16"/>
              </w:rPr>
              <w:t>214,0</w:t>
            </w:r>
          </w:p>
        </w:tc>
        <w:tc>
          <w:tcPr>
            <w:tcW w:w="779" w:type="dxa"/>
            <w:tcBorders>
              <w:top w:val="nil"/>
              <w:left w:val="nil"/>
              <w:bottom w:val="nil"/>
            </w:tcBorders>
            <w:shd w:val="clear" w:color="auto" w:fill="D9D9D9" w:themeFill="background1" w:themeFillShade="D9"/>
            <w:vAlign w:val="bottom"/>
          </w:tcPr>
          <w:p w:rsidR="0047041D" w:rsidRPr="002B18EC" w:rsidRDefault="0047041D" w:rsidP="005C0E1F">
            <w:pPr>
              <w:jc w:val="right"/>
              <w:rPr>
                <w:rFonts w:ascii="Arial Narrow" w:hAnsi="Arial Narrow" w:cs="Arial"/>
                <w:b/>
                <w:bCs/>
                <w:sz w:val="16"/>
                <w:szCs w:val="16"/>
              </w:rPr>
            </w:pPr>
            <w:r w:rsidRPr="002B18EC">
              <w:rPr>
                <w:rFonts w:ascii="Arial Narrow" w:hAnsi="Arial Narrow" w:cs="Arial"/>
                <w:b/>
                <w:bCs/>
                <w:sz w:val="16"/>
                <w:szCs w:val="16"/>
              </w:rPr>
              <w:t>1.331,6</w:t>
            </w:r>
          </w:p>
        </w:tc>
      </w:tr>
      <w:tr w:rsidR="0047041D" w:rsidTr="005C0E1F">
        <w:trPr>
          <w:cantSplit/>
          <w:trHeight w:val="20"/>
        </w:trPr>
        <w:tc>
          <w:tcPr>
            <w:tcW w:w="4283" w:type="dxa"/>
            <w:tcBorders>
              <w:top w:val="nil"/>
              <w:bottom w:val="nil"/>
              <w:right w:val="nil"/>
            </w:tcBorders>
            <w:shd w:val="clear" w:color="auto" w:fill="auto"/>
          </w:tcPr>
          <w:p w:rsidR="0047041D" w:rsidRPr="00472EC7" w:rsidRDefault="0047041D" w:rsidP="0043717B">
            <w:pPr>
              <w:tabs>
                <w:tab w:val="left" w:pos="426"/>
              </w:tabs>
              <w:spacing w:line="160" w:lineRule="exact"/>
              <w:rPr>
                <w:rFonts w:ascii="Arial Narrow" w:hAnsi="Arial Narrow"/>
                <w:b/>
                <w:snapToGrid w:val="0"/>
                <w:color w:val="000000"/>
                <w:sz w:val="16"/>
                <w:szCs w:val="16"/>
              </w:rPr>
            </w:pPr>
            <w:r w:rsidRPr="00472EC7">
              <w:rPr>
                <w:rFonts w:ascii="Arial Narrow" w:hAnsi="Arial Narrow"/>
                <w:snapToGrid w:val="0"/>
                <w:color w:val="000000"/>
                <w:sz w:val="16"/>
                <w:szCs w:val="16"/>
              </w:rPr>
              <w:t>IΙ.1</w:t>
            </w:r>
            <w:r w:rsidRPr="00472EC7">
              <w:rPr>
                <w:rFonts w:ascii="Arial Narrow" w:hAnsi="Arial Narrow"/>
                <w:snapToGrid w:val="0"/>
                <w:color w:val="000000"/>
                <w:sz w:val="16"/>
                <w:szCs w:val="16"/>
              </w:rPr>
              <w:tab/>
            </w:r>
            <w:r w:rsidRPr="00472EC7">
              <w:rPr>
                <w:rFonts w:ascii="Arial Narrow" w:hAnsi="Arial Narrow"/>
                <w:b/>
                <w:snapToGrid w:val="0"/>
                <w:color w:val="000000"/>
                <w:sz w:val="16"/>
                <w:szCs w:val="16"/>
              </w:rPr>
              <w:t xml:space="preserve">Εισπράξεις </w:t>
            </w:r>
          </w:p>
        </w:tc>
        <w:tc>
          <w:tcPr>
            <w:tcW w:w="802" w:type="dxa"/>
            <w:tcBorders>
              <w:top w:val="nil"/>
              <w:left w:val="nil"/>
              <w:bottom w:val="nil"/>
              <w:right w:val="nil"/>
            </w:tcBorders>
            <w:shd w:val="clear" w:color="auto" w:fill="auto"/>
            <w:vAlign w:val="bottom"/>
          </w:tcPr>
          <w:p w:rsidR="0047041D" w:rsidRPr="002B18EC" w:rsidRDefault="0047041D" w:rsidP="005C0E1F">
            <w:pPr>
              <w:jc w:val="right"/>
              <w:rPr>
                <w:rFonts w:ascii="Arial Narrow" w:hAnsi="Arial Narrow" w:cs="Arial"/>
                <w:b/>
                <w:bCs/>
                <w:sz w:val="16"/>
                <w:szCs w:val="16"/>
              </w:rPr>
            </w:pPr>
            <w:r w:rsidRPr="002B18EC">
              <w:rPr>
                <w:rFonts w:ascii="Arial Narrow" w:hAnsi="Arial Narrow" w:cs="Arial"/>
                <w:b/>
                <w:bCs/>
                <w:sz w:val="16"/>
                <w:szCs w:val="16"/>
              </w:rPr>
              <w:t>1.133,8</w:t>
            </w:r>
          </w:p>
        </w:tc>
        <w:tc>
          <w:tcPr>
            <w:tcW w:w="802" w:type="dxa"/>
            <w:tcBorders>
              <w:top w:val="nil"/>
              <w:left w:val="nil"/>
              <w:bottom w:val="nil"/>
              <w:right w:val="nil"/>
            </w:tcBorders>
            <w:shd w:val="clear" w:color="auto" w:fill="auto"/>
            <w:vAlign w:val="bottom"/>
          </w:tcPr>
          <w:p w:rsidR="0047041D" w:rsidRPr="002B18EC" w:rsidRDefault="0047041D" w:rsidP="005C0E1F">
            <w:pPr>
              <w:jc w:val="right"/>
              <w:rPr>
                <w:rFonts w:ascii="Arial Narrow" w:hAnsi="Arial Narrow" w:cs="Arial"/>
                <w:b/>
                <w:bCs/>
                <w:sz w:val="16"/>
                <w:szCs w:val="16"/>
              </w:rPr>
            </w:pPr>
            <w:r w:rsidRPr="002B18EC">
              <w:rPr>
                <w:rFonts w:ascii="Arial Narrow" w:hAnsi="Arial Narrow" w:cs="Arial"/>
                <w:b/>
                <w:bCs/>
                <w:sz w:val="16"/>
                <w:szCs w:val="16"/>
              </w:rPr>
              <w:t>1.007,4</w:t>
            </w:r>
          </w:p>
        </w:tc>
        <w:tc>
          <w:tcPr>
            <w:tcW w:w="802" w:type="dxa"/>
            <w:tcBorders>
              <w:top w:val="nil"/>
              <w:left w:val="nil"/>
              <w:bottom w:val="nil"/>
              <w:right w:val="nil"/>
            </w:tcBorders>
            <w:shd w:val="clear" w:color="auto" w:fill="auto"/>
            <w:vAlign w:val="bottom"/>
          </w:tcPr>
          <w:p w:rsidR="0047041D" w:rsidRPr="002B18EC" w:rsidRDefault="0047041D" w:rsidP="005C0E1F">
            <w:pPr>
              <w:jc w:val="right"/>
              <w:rPr>
                <w:rFonts w:ascii="Arial Narrow" w:hAnsi="Arial Narrow" w:cs="Arial"/>
                <w:b/>
                <w:bCs/>
                <w:sz w:val="16"/>
                <w:szCs w:val="16"/>
              </w:rPr>
            </w:pPr>
            <w:r w:rsidRPr="002B18EC">
              <w:rPr>
                <w:rFonts w:ascii="Arial Narrow" w:hAnsi="Arial Narrow" w:cs="Arial"/>
                <w:b/>
                <w:bCs/>
                <w:sz w:val="16"/>
                <w:szCs w:val="16"/>
              </w:rPr>
              <w:t>1.178,7</w:t>
            </w:r>
          </w:p>
        </w:tc>
        <w:tc>
          <w:tcPr>
            <w:tcW w:w="802" w:type="dxa"/>
            <w:tcBorders>
              <w:top w:val="nil"/>
              <w:left w:val="nil"/>
              <w:bottom w:val="nil"/>
              <w:right w:val="nil"/>
            </w:tcBorders>
            <w:shd w:val="clear" w:color="auto" w:fill="auto"/>
            <w:vAlign w:val="bottom"/>
          </w:tcPr>
          <w:p w:rsidR="0047041D" w:rsidRPr="002B18EC" w:rsidRDefault="0047041D" w:rsidP="005C0E1F">
            <w:pPr>
              <w:jc w:val="right"/>
              <w:rPr>
                <w:rFonts w:ascii="Arial Narrow" w:hAnsi="Arial Narrow" w:cs="Arial"/>
                <w:b/>
                <w:bCs/>
                <w:sz w:val="16"/>
                <w:szCs w:val="16"/>
              </w:rPr>
            </w:pPr>
            <w:r w:rsidRPr="002B18EC">
              <w:rPr>
                <w:rFonts w:ascii="Arial Narrow" w:hAnsi="Arial Narrow" w:cs="Arial"/>
                <w:b/>
                <w:bCs/>
                <w:sz w:val="16"/>
                <w:szCs w:val="16"/>
              </w:rPr>
              <w:t>511,9</w:t>
            </w:r>
          </w:p>
        </w:tc>
        <w:tc>
          <w:tcPr>
            <w:tcW w:w="802" w:type="dxa"/>
            <w:tcBorders>
              <w:top w:val="nil"/>
              <w:left w:val="nil"/>
              <w:bottom w:val="nil"/>
              <w:right w:val="nil"/>
            </w:tcBorders>
            <w:shd w:val="clear" w:color="auto" w:fill="auto"/>
            <w:vAlign w:val="bottom"/>
          </w:tcPr>
          <w:p w:rsidR="0047041D" w:rsidRPr="002B18EC" w:rsidRDefault="0047041D" w:rsidP="005C0E1F">
            <w:pPr>
              <w:jc w:val="right"/>
              <w:rPr>
                <w:rFonts w:ascii="Arial Narrow" w:hAnsi="Arial Narrow" w:cs="Arial"/>
                <w:b/>
                <w:bCs/>
                <w:sz w:val="16"/>
                <w:szCs w:val="16"/>
              </w:rPr>
            </w:pPr>
            <w:r w:rsidRPr="002B18EC">
              <w:rPr>
                <w:rFonts w:ascii="Arial Narrow" w:hAnsi="Arial Narrow" w:cs="Arial"/>
                <w:b/>
                <w:bCs/>
                <w:sz w:val="16"/>
                <w:szCs w:val="16"/>
              </w:rPr>
              <w:t>641,8</w:t>
            </w:r>
          </w:p>
        </w:tc>
        <w:tc>
          <w:tcPr>
            <w:tcW w:w="779" w:type="dxa"/>
            <w:tcBorders>
              <w:top w:val="nil"/>
              <w:left w:val="nil"/>
              <w:bottom w:val="nil"/>
            </w:tcBorders>
            <w:shd w:val="clear" w:color="auto" w:fill="auto"/>
            <w:vAlign w:val="bottom"/>
          </w:tcPr>
          <w:p w:rsidR="0047041D" w:rsidRPr="002B18EC" w:rsidRDefault="0047041D" w:rsidP="005C0E1F">
            <w:pPr>
              <w:jc w:val="right"/>
              <w:rPr>
                <w:rFonts w:ascii="Arial Narrow" w:hAnsi="Arial Narrow" w:cs="Arial"/>
                <w:b/>
                <w:bCs/>
                <w:sz w:val="16"/>
                <w:szCs w:val="16"/>
              </w:rPr>
            </w:pPr>
            <w:r w:rsidRPr="002B18EC">
              <w:rPr>
                <w:rFonts w:ascii="Arial Narrow" w:hAnsi="Arial Narrow" w:cs="Arial"/>
                <w:b/>
                <w:bCs/>
                <w:sz w:val="16"/>
                <w:szCs w:val="16"/>
              </w:rPr>
              <w:t>1.645,0</w:t>
            </w:r>
          </w:p>
        </w:tc>
      </w:tr>
      <w:tr w:rsidR="0047041D" w:rsidTr="005C0E1F">
        <w:trPr>
          <w:cantSplit/>
          <w:trHeight w:val="20"/>
        </w:trPr>
        <w:tc>
          <w:tcPr>
            <w:tcW w:w="4283" w:type="dxa"/>
            <w:tcBorders>
              <w:top w:val="nil"/>
              <w:bottom w:val="nil"/>
              <w:right w:val="nil"/>
            </w:tcBorders>
            <w:shd w:val="clear" w:color="auto" w:fill="FFFFFF"/>
          </w:tcPr>
          <w:p w:rsidR="0047041D" w:rsidRPr="00472EC7" w:rsidRDefault="0047041D" w:rsidP="0043717B">
            <w:pPr>
              <w:tabs>
                <w:tab w:val="left" w:pos="426"/>
              </w:tabs>
              <w:spacing w:line="160" w:lineRule="exact"/>
              <w:rPr>
                <w:rFonts w:ascii="Arial Narrow" w:hAnsi="Arial Narrow"/>
                <w:snapToGrid w:val="0"/>
                <w:color w:val="000000"/>
                <w:sz w:val="16"/>
                <w:szCs w:val="16"/>
              </w:rPr>
            </w:pPr>
            <w:r w:rsidRPr="00472EC7">
              <w:rPr>
                <w:rFonts w:ascii="Arial Narrow" w:hAnsi="Arial Narrow"/>
                <w:snapToGrid w:val="0"/>
                <w:color w:val="000000"/>
                <w:sz w:val="16"/>
                <w:szCs w:val="16"/>
              </w:rPr>
              <w:tab/>
              <w:t xml:space="preserve">Γενική </w:t>
            </w:r>
            <w:r>
              <w:rPr>
                <w:rFonts w:ascii="Arial Narrow" w:hAnsi="Arial Narrow"/>
                <w:snapToGrid w:val="0"/>
                <w:color w:val="000000"/>
                <w:sz w:val="16"/>
                <w:szCs w:val="16"/>
              </w:rPr>
              <w:t>Κ</w:t>
            </w:r>
            <w:r w:rsidRPr="00472EC7">
              <w:rPr>
                <w:rFonts w:ascii="Arial Narrow" w:hAnsi="Arial Narrow"/>
                <w:snapToGrid w:val="0"/>
                <w:color w:val="000000"/>
                <w:sz w:val="16"/>
                <w:szCs w:val="16"/>
              </w:rPr>
              <w:t xml:space="preserve">υβέρνηση </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1.040,2</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627,5</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1.023,0</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302,7</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508,7</w:t>
            </w:r>
          </w:p>
        </w:tc>
        <w:tc>
          <w:tcPr>
            <w:tcW w:w="779" w:type="dxa"/>
            <w:tcBorders>
              <w:top w:val="nil"/>
              <w:left w:val="nil"/>
              <w:bottom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1.500,1</w:t>
            </w:r>
          </w:p>
        </w:tc>
      </w:tr>
      <w:tr w:rsidR="0047041D" w:rsidTr="005C0E1F">
        <w:trPr>
          <w:cantSplit/>
          <w:trHeight w:val="20"/>
        </w:trPr>
        <w:tc>
          <w:tcPr>
            <w:tcW w:w="4283" w:type="dxa"/>
            <w:tcBorders>
              <w:top w:val="nil"/>
              <w:bottom w:val="nil"/>
              <w:right w:val="nil"/>
            </w:tcBorders>
            <w:shd w:val="clear" w:color="auto" w:fill="FFFFFF"/>
          </w:tcPr>
          <w:p w:rsidR="0047041D" w:rsidRPr="00472EC7" w:rsidRDefault="0047041D" w:rsidP="0043717B">
            <w:pPr>
              <w:tabs>
                <w:tab w:val="left" w:pos="426"/>
              </w:tabs>
              <w:spacing w:line="160" w:lineRule="exact"/>
              <w:rPr>
                <w:rFonts w:ascii="Arial Narrow" w:hAnsi="Arial Narrow"/>
                <w:snapToGrid w:val="0"/>
                <w:color w:val="000000"/>
                <w:sz w:val="16"/>
                <w:szCs w:val="16"/>
              </w:rPr>
            </w:pPr>
            <w:r w:rsidRPr="00472EC7">
              <w:rPr>
                <w:rFonts w:ascii="Arial Narrow" w:hAnsi="Arial Narrow"/>
                <w:snapToGrid w:val="0"/>
                <w:color w:val="000000"/>
                <w:sz w:val="16"/>
                <w:szCs w:val="16"/>
              </w:rPr>
              <w:tab/>
              <w:t xml:space="preserve">Λοιποί τομείς </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93,6</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379,8</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155,8</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209,1</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133,2</w:t>
            </w:r>
          </w:p>
        </w:tc>
        <w:tc>
          <w:tcPr>
            <w:tcW w:w="779" w:type="dxa"/>
            <w:tcBorders>
              <w:top w:val="nil"/>
              <w:left w:val="nil"/>
              <w:bottom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144,9</w:t>
            </w:r>
          </w:p>
        </w:tc>
      </w:tr>
      <w:tr w:rsidR="0047041D" w:rsidTr="005C0E1F">
        <w:trPr>
          <w:cantSplit/>
          <w:trHeight w:val="20"/>
        </w:trPr>
        <w:tc>
          <w:tcPr>
            <w:tcW w:w="4283" w:type="dxa"/>
            <w:tcBorders>
              <w:top w:val="nil"/>
              <w:bottom w:val="nil"/>
              <w:right w:val="nil"/>
            </w:tcBorders>
            <w:shd w:val="clear" w:color="auto" w:fill="FFFFFF"/>
          </w:tcPr>
          <w:p w:rsidR="0047041D" w:rsidRPr="00472EC7" w:rsidRDefault="0047041D" w:rsidP="0043717B">
            <w:pPr>
              <w:tabs>
                <w:tab w:val="left" w:pos="426"/>
              </w:tabs>
              <w:spacing w:line="160" w:lineRule="exact"/>
              <w:rPr>
                <w:rFonts w:ascii="Arial Narrow" w:hAnsi="Arial Narrow"/>
                <w:b/>
                <w:snapToGrid w:val="0"/>
                <w:color w:val="000000"/>
                <w:sz w:val="16"/>
                <w:szCs w:val="16"/>
              </w:rPr>
            </w:pPr>
            <w:r w:rsidRPr="00472EC7">
              <w:rPr>
                <w:rFonts w:ascii="Arial Narrow" w:hAnsi="Arial Narrow"/>
                <w:snapToGrid w:val="0"/>
                <w:color w:val="000000"/>
                <w:sz w:val="16"/>
                <w:szCs w:val="16"/>
              </w:rPr>
              <w:t>IΙ.2</w:t>
            </w:r>
            <w:r w:rsidRPr="00472EC7">
              <w:rPr>
                <w:rFonts w:ascii="Arial Narrow" w:hAnsi="Arial Narrow"/>
                <w:snapToGrid w:val="0"/>
                <w:color w:val="000000"/>
                <w:sz w:val="16"/>
                <w:szCs w:val="16"/>
              </w:rPr>
              <w:tab/>
            </w:r>
            <w:r w:rsidRPr="00472EC7">
              <w:rPr>
                <w:rFonts w:ascii="Arial Narrow" w:hAnsi="Arial Narrow"/>
                <w:b/>
                <w:snapToGrid w:val="0"/>
                <w:color w:val="000000"/>
                <w:sz w:val="16"/>
                <w:szCs w:val="16"/>
              </w:rPr>
              <w:t>Πληρωμές</w:t>
            </w:r>
            <w:r>
              <w:rPr>
                <w:rFonts w:ascii="Arial Narrow" w:hAnsi="Arial Narrow"/>
                <w:b/>
                <w:snapToGrid w:val="0"/>
                <w:color w:val="000000"/>
                <w:sz w:val="16"/>
                <w:szCs w:val="16"/>
              </w:rPr>
              <w:t xml:space="preserve">                 </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b/>
                <w:bCs/>
                <w:sz w:val="16"/>
                <w:szCs w:val="16"/>
              </w:rPr>
            </w:pPr>
            <w:r w:rsidRPr="002B18EC">
              <w:rPr>
                <w:rFonts w:ascii="Arial Narrow" w:hAnsi="Arial Narrow" w:cs="Arial"/>
                <w:b/>
                <w:bCs/>
                <w:sz w:val="16"/>
                <w:szCs w:val="16"/>
              </w:rPr>
              <w:t>219,3</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b/>
                <w:bCs/>
                <w:sz w:val="16"/>
                <w:szCs w:val="16"/>
              </w:rPr>
            </w:pPr>
            <w:r w:rsidRPr="002B18EC">
              <w:rPr>
                <w:rFonts w:ascii="Arial Narrow" w:hAnsi="Arial Narrow" w:cs="Arial"/>
                <w:b/>
                <w:bCs/>
                <w:sz w:val="16"/>
                <w:szCs w:val="16"/>
              </w:rPr>
              <w:t>654,2</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b/>
                <w:bCs/>
                <w:sz w:val="16"/>
                <w:szCs w:val="16"/>
              </w:rPr>
            </w:pPr>
            <w:r w:rsidRPr="002B18EC">
              <w:rPr>
                <w:rFonts w:ascii="Arial Narrow" w:hAnsi="Arial Narrow" w:cs="Arial"/>
                <w:b/>
                <w:bCs/>
                <w:sz w:val="16"/>
                <w:szCs w:val="16"/>
              </w:rPr>
              <w:t>498,9</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b/>
                <w:bCs/>
                <w:sz w:val="16"/>
                <w:szCs w:val="16"/>
              </w:rPr>
            </w:pPr>
            <w:r w:rsidRPr="002B18EC">
              <w:rPr>
                <w:rFonts w:ascii="Arial Narrow" w:hAnsi="Arial Narrow" w:cs="Arial"/>
                <w:b/>
                <w:bCs/>
                <w:sz w:val="16"/>
                <w:szCs w:val="16"/>
              </w:rPr>
              <w:t>345,5</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b/>
                <w:bCs/>
                <w:sz w:val="16"/>
                <w:szCs w:val="16"/>
              </w:rPr>
            </w:pPr>
            <w:r w:rsidRPr="002B18EC">
              <w:rPr>
                <w:rFonts w:ascii="Arial Narrow" w:hAnsi="Arial Narrow" w:cs="Arial"/>
                <w:b/>
                <w:bCs/>
                <w:sz w:val="16"/>
                <w:szCs w:val="16"/>
              </w:rPr>
              <w:t>427,8</w:t>
            </w:r>
          </w:p>
        </w:tc>
        <w:tc>
          <w:tcPr>
            <w:tcW w:w="779" w:type="dxa"/>
            <w:tcBorders>
              <w:top w:val="nil"/>
              <w:left w:val="nil"/>
              <w:bottom w:val="nil"/>
            </w:tcBorders>
            <w:shd w:val="clear" w:color="auto" w:fill="FFFFFF"/>
            <w:vAlign w:val="bottom"/>
          </w:tcPr>
          <w:p w:rsidR="0047041D" w:rsidRPr="002B18EC" w:rsidRDefault="0047041D" w:rsidP="005C0E1F">
            <w:pPr>
              <w:jc w:val="right"/>
              <w:rPr>
                <w:rFonts w:ascii="Arial Narrow" w:hAnsi="Arial Narrow" w:cs="Arial"/>
                <w:b/>
                <w:bCs/>
                <w:sz w:val="16"/>
                <w:szCs w:val="16"/>
              </w:rPr>
            </w:pPr>
            <w:r w:rsidRPr="002B18EC">
              <w:rPr>
                <w:rFonts w:ascii="Arial Narrow" w:hAnsi="Arial Narrow" w:cs="Arial"/>
                <w:b/>
                <w:bCs/>
                <w:sz w:val="16"/>
                <w:szCs w:val="16"/>
              </w:rPr>
              <w:t>313,4</w:t>
            </w:r>
          </w:p>
        </w:tc>
      </w:tr>
      <w:tr w:rsidR="0047041D" w:rsidTr="005C0E1F">
        <w:trPr>
          <w:cantSplit/>
          <w:trHeight w:val="20"/>
        </w:trPr>
        <w:tc>
          <w:tcPr>
            <w:tcW w:w="4283" w:type="dxa"/>
            <w:tcBorders>
              <w:top w:val="nil"/>
              <w:bottom w:val="nil"/>
              <w:right w:val="nil"/>
            </w:tcBorders>
            <w:shd w:val="clear" w:color="auto" w:fill="FFFFFF"/>
          </w:tcPr>
          <w:p w:rsidR="0047041D" w:rsidRPr="00472EC7" w:rsidRDefault="0047041D" w:rsidP="0043717B">
            <w:pPr>
              <w:tabs>
                <w:tab w:val="left" w:pos="426"/>
              </w:tabs>
              <w:spacing w:line="160" w:lineRule="exact"/>
              <w:rPr>
                <w:rFonts w:ascii="Arial Narrow" w:hAnsi="Arial Narrow"/>
                <w:snapToGrid w:val="0"/>
                <w:color w:val="000000"/>
                <w:sz w:val="16"/>
                <w:szCs w:val="16"/>
              </w:rPr>
            </w:pPr>
            <w:r w:rsidRPr="00472EC7">
              <w:rPr>
                <w:rFonts w:ascii="Arial Narrow" w:hAnsi="Arial Narrow"/>
                <w:snapToGrid w:val="0"/>
                <w:color w:val="000000"/>
                <w:sz w:val="16"/>
                <w:szCs w:val="16"/>
              </w:rPr>
              <w:tab/>
              <w:t>Γ</w:t>
            </w:r>
            <w:r>
              <w:rPr>
                <w:rFonts w:ascii="Arial Narrow" w:hAnsi="Arial Narrow"/>
                <w:snapToGrid w:val="0"/>
                <w:color w:val="000000"/>
                <w:sz w:val="16"/>
                <w:szCs w:val="16"/>
              </w:rPr>
              <w:t>ενική Κ</w:t>
            </w:r>
            <w:r w:rsidRPr="00472EC7">
              <w:rPr>
                <w:rFonts w:ascii="Arial Narrow" w:hAnsi="Arial Narrow"/>
                <w:snapToGrid w:val="0"/>
                <w:color w:val="000000"/>
                <w:sz w:val="16"/>
                <w:szCs w:val="16"/>
              </w:rPr>
              <w:t xml:space="preserve">υβέρνηση </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3,0</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4,1</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4,9</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2,1</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3,0</w:t>
            </w:r>
          </w:p>
        </w:tc>
        <w:tc>
          <w:tcPr>
            <w:tcW w:w="779" w:type="dxa"/>
            <w:tcBorders>
              <w:top w:val="nil"/>
              <w:left w:val="nil"/>
              <w:bottom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3,3</w:t>
            </w:r>
          </w:p>
        </w:tc>
      </w:tr>
      <w:tr w:rsidR="0047041D" w:rsidTr="005C0E1F">
        <w:trPr>
          <w:cantSplit/>
          <w:trHeight w:val="20"/>
        </w:trPr>
        <w:tc>
          <w:tcPr>
            <w:tcW w:w="4283" w:type="dxa"/>
            <w:tcBorders>
              <w:top w:val="nil"/>
              <w:bottom w:val="nil"/>
              <w:right w:val="nil"/>
            </w:tcBorders>
            <w:shd w:val="clear" w:color="auto" w:fill="FFFFFF"/>
          </w:tcPr>
          <w:p w:rsidR="0047041D" w:rsidRPr="00472EC7" w:rsidRDefault="0047041D" w:rsidP="0043717B">
            <w:pPr>
              <w:tabs>
                <w:tab w:val="left" w:pos="426"/>
              </w:tabs>
              <w:spacing w:line="160" w:lineRule="exact"/>
              <w:rPr>
                <w:rFonts w:ascii="Arial Narrow" w:hAnsi="Arial Narrow"/>
                <w:snapToGrid w:val="0"/>
                <w:color w:val="000000"/>
                <w:sz w:val="16"/>
                <w:szCs w:val="16"/>
              </w:rPr>
            </w:pPr>
            <w:r w:rsidRPr="00472EC7">
              <w:rPr>
                <w:rFonts w:ascii="Arial Narrow" w:hAnsi="Arial Narrow"/>
                <w:snapToGrid w:val="0"/>
                <w:color w:val="000000"/>
                <w:sz w:val="16"/>
                <w:szCs w:val="16"/>
              </w:rPr>
              <w:tab/>
              <w:t>Λοιποί τομείς</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216,3</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650,1</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494,0</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343,4</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424,8</w:t>
            </w:r>
          </w:p>
        </w:tc>
        <w:tc>
          <w:tcPr>
            <w:tcW w:w="779" w:type="dxa"/>
            <w:tcBorders>
              <w:top w:val="nil"/>
              <w:left w:val="nil"/>
              <w:bottom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310,1</w:t>
            </w:r>
          </w:p>
        </w:tc>
      </w:tr>
      <w:tr w:rsidR="0047041D" w:rsidTr="005C0E1F">
        <w:trPr>
          <w:cantSplit/>
          <w:trHeight w:val="20"/>
        </w:trPr>
        <w:tc>
          <w:tcPr>
            <w:tcW w:w="4283" w:type="dxa"/>
            <w:tcBorders>
              <w:top w:val="nil"/>
              <w:bottom w:val="nil"/>
              <w:right w:val="nil"/>
            </w:tcBorders>
            <w:shd w:val="clear" w:color="auto" w:fill="D9D9D9" w:themeFill="background1" w:themeFillShade="D9"/>
          </w:tcPr>
          <w:p w:rsidR="0047041D" w:rsidRPr="00472EC7" w:rsidRDefault="0047041D" w:rsidP="0043717B">
            <w:pPr>
              <w:tabs>
                <w:tab w:val="left" w:pos="426"/>
              </w:tabs>
              <w:spacing w:line="160" w:lineRule="exact"/>
              <w:ind w:left="426" w:hanging="426"/>
              <w:rPr>
                <w:rFonts w:ascii="Arial Narrow" w:hAnsi="Arial Narrow"/>
                <w:b/>
                <w:i/>
                <w:snapToGrid w:val="0"/>
                <w:color w:val="000000"/>
                <w:sz w:val="16"/>
                <w:szCs w:val="16"/>
              </w:rPr>
            </w:pPr>
            <w:r w:rsidRPr="00472EC7">
              <w:rPr>
                <w:rFonts w:ascii="Arial Narrow" w:hAnsi="Arial Narrow"/>
                <w:b/>
                <w:snapToGrid w:val="0"/>
                <w:color w:val="000000"/>
                <w:sz w:val="16"/>
                <w:szCs w:val="16"/>
              </w:rPr>
              <w:tab/>
              <w:t>Ισοζύγιο τρεχουσών συναλλαγών και κεφαλα</w:t>
            </w:r>
            <w:r>
              <w:rPr>
                <w:rFonts w:ascii="Arial Narrow" w:hAnsi="Arial Narrow"/>
                <w:b/>
                <w:snapToGrid w:val="0"/>
                <w:color w:val="000000"/>
                <w:sz w:val="16"/>
                <w:szCs w:val="16"/>
              </w:rPr>
              <w:t>ίων</w:t>
            </w:r>
            <w:r w:rsidRPr="00472EC7">
              <w:rPr>
                <w:rFonts w:ascii="Arial Narrow" w:hAnsi="Arial Narrow"/>
                <w:b/>
                <w:snapToGrid w:val="0"/>
                <w:color w:val="000000"/>
                <w:sz w:val="16"/>
                <w:szCs w:val="16"/>
              </w:rPr>
              <w:t xml:space="preserve"> (Ι + ΙΙ)</w:t>
            </w:r>
          </w:p>
        </w:tc>
        <w:tc>
          <w:tcPr>
            <w:tcW w:w="802" w:type="dxa"/>
            <w:tcBorders>
              <w:top w:val="nil"/>
              <w:left w:val="nil"/>
              <w:bottom w:val="nil"/>
              <w:right w:val="nil"/>
            </w:tcBorders>
            <w:shd w:val="clear" w:color="auto" w:fill="D9D9D9" w:themeFill="background1" w:themeFillShade="D9"/>
            <w:vAlign w:val="bottom"/>
          </w:tcPr>
          <w:p w:rsidR="0047041D" w:rsidRPr="002B18EC" w:rsidRDefault="0047041D" w:rsidP="005C0E1F">
            <w:pPr>
              <w:jc w:val="right"/>
              <w:rPr>
                <w:rFonts w:ascii="Arial Narrow" w:hAnsi="Arial Narrow" w:cs="Arial"/>
                <w:b/>
                <w:bCs/>
                <w:i/>
                <w:iCs/>
                <w:sz w:val="16"/>
                <w:szCs w:val="16"/>
              </w:rPr>
            </w:pPr>
            <w:r w:rsidRPr="002B18EC">
              <w:rPr>
                <w:rFonts w:ascii="Arial Narrow" w:hAnsi="Arial Narrow" w:cs="Arial"/>
                <w:b/>
                <w:bCs/>
                <w:i/>
                <w:iCs/>
                <w:sz w:val="16"/>
                <w:szCs w:val="16"/>
              </w:rPr>
              <w:t>-2.491,7</w:t>
            </w:r>
          </w:p>
        </w:tc>
        <w:tc>
          <w:tcPr>
            <w:tcW w:w="802" w:type="dxa"/>
            <w:tcBorders>
              <w:top w:val="nil"/>
              <w:left w:val="nil"/>
              <w:bottom w:val="nil"/>
              <w:right w:val="nil"/>
            </w:tcBorders>
            <w:shd w:val="clear" w:color="auto" w:fill="D9D9D9" w:themeFill="background1" w:themeFillShade="D9"/>
            <w:vAlign w:val="bottom"/>
          </w:tcPr>
          <w:p w:rsidR="0047041D" w:rsidRPr="002B18EC" w:rsidRDefault="0047041D" w:rsidP="005C0E1F">
            <w:pPr>
              <w:jc w:val="right"/>
              <w:rPr>
                <w:rFonts w:ascii="Arial Narrow" w:hAnsi="Arial Narrow" w:cs="Arial"/>
                <w:b/>
                <w:bCs/>
                <w:i/>
                <w:iCs/>
                <w:sz w:val="16"/>
                <w:szCs w:val="16"/>
              </w:rPr>
            </w:pPr>
            <w:r w:rsidRPr="002B18EC">
              <w:rPr>
                <w:rFonts w:ascii="Arial Narrow" w:hAnsi="Arial Narrow" w:cs="Arial"/>
                <w:b/>
                <w:bCs/>
                <w:i/>
                <w:iCs/>
                <w:sz w:val="16"/>
                <w:szCs w:val="16"/>
              </w:rPr>
              <w:t>-4.879,1</w:t>
            </w:r>
          </w:p>
        </w:tc>
        <w:tc>
          <w:tcPr>
            <w:tcW w:w="802" w:type="dxa"/>
            <w:tcBorders>
              <w:top w:val="nil"/>
              <w:left w:val="nil"/>
              <w:bottom w:val="nil"/>
              <w:right w:val="nil"/>
            </w:tcBorders>
            <w:shd w:val="clear" w:color="auto" w:fill="D9D9D9" w:themeFill="background1" w:themeFillShade="D9"/>
            <w:vAlign w:val="bottom"/>
          </w:tcPr>
          <w:p w:rsidR="0047041D" w:rsidRPr="002B18EC" w:rsidRDefault="0047041D" w:rsidP="005C0E1F">
            <w:pPr>
              <w:jc w:val="right"/>
              <w:rPr>
                <w:rFonts w:ascii="Arial Narrow" w:hAnsi="Arial Narrow" w:cs="Arial"/>
                <w:b/>
                <w:bCs/>
                <w:i/>
                <w:iCs/>
                <w:sz w:val="16"/>
                <w:szCs w:val="16"/>
              </w:rPr>
            </w:pPr>
            <w:r w:rsidRPr="002B18EC">
              <w:rPr>
                <w:rFonts w:ascii="Arial Narrow" w:hAnsi="Arial Narrow" w:cs="Arial"/>
                <w:b/>
                <w:bCs/>
                <w:i/>
                <w:iCs/>
                <w:sz w:val="16"/>
                <w:szCs w:val="16"/>
              </w:rPr>
              <w:t>-2.045,6</w:t>
            </w:r>
          </w:p>
        </w:tc>
        <w:tc>
          <w:tcPr>
            <w:tcW w:w="802" w:type="dxa"/>
            <w:tcBorders>
              <w:top w:val="nil"/>
              <w:left w:val="nil"/>
              <w:bottom w:val="nil"/>
              <w:right w:val="nil"/>
            </w:tcBorders>
            <w:shd w:val="clear" w:color="auto" w:fill="D9D9D9" w:themeFill="background1" w:themeFillShade="D9"/>
            <w:vAlign w:val="bottom"/>
          </w:tcPr>
          <w:p w:rsidR="0047041D" w:rsidRPr="002B18EC" w:rsidRDefault="0047041D" w:rsidP="005C0E1F">
            <w:pPr>
              <w:jc w:val="right"/>
              <w:rPr>
                <w:rFonts w:ascii="Arial Narrow" w:hAnsi="Arial Narrow" w:cs="Arial"/>
                <w:b/>
                <w:bCs/>
                <w:i/>
                <w:iCs/>
                <w:sz w:val="16"/>
                <w:szCs w:val="16"/>
              </w:rPr>
            </w:pPr>
            <w:r w:rsidRPr="002B18EC">
              <w:rPr>
                <w:rFonts w:ascii="Arial Narrow" w:hAnsi="Arial Narrow" w:cs="Arial"/>
                <w:b/>
                <w:bCs/>
                <w:i/>
                <w:iCs/>
                <w:sz w:val="16"/>
                <w:szCs w:val="16"/>
              </w:rPr>
              <w:t>-1.191,0</w:t>
            </w:r>
          </w:p>
        </w:tc>
        <w:tc>
          <w:tcPr>
            <w:tcW w:w="802" w:type="dxa"/>
            <w:tcBorders>
              <w:top w:val="nil"/>
              <w:left w:val="nil"/>
              <w:bottom w:val="nil"/>
              <w:right w:val="nil"/>
            </w:tcBorders>
            <w:shd w:val="clear" w:color="auto" w:fill="D9D9D9" w:themeFill="background1" w:themeFillShade="D9"/>
            <w:vAlign w:val="bottom"/>
          </w:tcPr>
          <w:p w:rsidR="0047041D" w:rsidRPr="002B18EC" w:rsidRDefault="0047041D" w:rsidP="005C0E1F">
            <w:pPr>
              <w:jc w:val="right"/>
              <w:rPr>
                <w:rFonts w:ascii="Arial Narrow" w:hAnsi="Arial Narrow" w:cs="Arial"/>
                <w:b/>
                <w:bCs/>
                <w:i/>
                <w:iCs/>
                <w:sz w:val="16"/>
                <w:szCs w:val="16"/>
              </w:rPr>
            </w:pPr>
            <w:r w:rsidRPr="002B18EC">
              <w:rPr>
                <w:rFonts w:ascii="Arial Narrow" w:hAnsi="Arial Narrow" w:cs="Arial"/>
                <w:b/>
                <w:bCs/>
                <w:i/>
                <w:iCs/>
                <w:sz w:val="16"/>
                <w:szCs w:val="16"/>
              </w:rPr>
              <w:t>123,9</w:t>
            </w:r>
          </w:p>
        </w:tc>
        <w:tc>
          <w:tcPr>
            <w:tcW w:w="779" w:type="dxa"/>
            <w:tcBorders>
              <w:top w:val="nil"/>
              <w:left w:val="nil"/>
              <w:bottom w:val="nil"/>
            </w:tcBorders>
            <w:shd w:val="clear" w:color="auto" w:fill="D9D9D9" w:themeFill="background1" w:themeFillShade="D9"/>
            <w:vAlign w:val="bottom"/>
          </w:tcPr>
          <w:p w:rsidR="0047041D" w:rsidRPr="002B18EC" w:rsidRDefault="0047041D" w:rsidP="005C0E1F">
            <w:pPr>
              <w:jc w:val="right"/>
              <w:rPr>
                <w:rFonts w:ascii="Arial Narrow" w:hAnsi="Arial Narrow" w:cs="Arial"/>
                <w:b/>
                <w:bCs/>
                <w:i/>
                <w:iCs/>
                <w:sz w:val="16"/>
                <w:szCs w:val="16"/>
              </w:rPr>
            </w:pPr>
            <w:r w:rsidRPr="002B18EC">
              <w:rPr>
                <w:rFonts w:ascii="Arial Narrow" w:hAnsi="Arial Narrow" w:cs="Arial"/>
                <w:b/>
                <w:bCs/>
                <w:i/>
                <w:iCs/>
                <w:sz w:val="16"/>
                <w:szCs w:val="16"/>
              </w:rPr>
              <w:t>-7.280,6</w:t>
            </w:r>
          </w:p>
        </w:tc>
      </w:tr>
      <w:tr w:rsidR="0047041D" w:rsidTr="005C0E1F">
        <w:trPr>
          <w:cantSplit/>
          <w:trHeight w:val="20"/>
        </w:trPr>
        <w:tc>
          <w:tcPr>
            <w:tcW w:w="4283" w:type="dxa"/>
            <w:tcBorders>
              <w:top w:val="nil"/>
              <w:bottom w:val="nil"/>
              <w:right w:val="nil"/>
            </w:tcBorders>
            <w:shd w:val="clear" w:color="auto" w:fill="D9D9D9" w:themeFill="background1" w:themeFillShade="D9"/>
          </w:tcPr>
          <w:p w:rsidR="0047041D" w:rsidRPr="00472EC7" w:rsidRDefault="0047041D" w:rsidP="0043717B">
            <w:pPr>
              <w:tabs>
                <w:tab w:val="left" w:pos="426"/>
              </w:tabs>
              <w:spacing w:line="160" w:lineRule="exact"/>
              <w:rPr>
                <w:rFonts w:ascii="Arial Narrow" w:hAnsi="Arial Narrow"/>
                <w:b/>
                <w:snapToGrid w:val="0"/>
                <w:color w:val="000000"/>
                <w:sz w:val="16"/>
                <w:szCs w:val="16"/>
              </w:rPr>
            </w:pPr>
            <w:r w:rsidRPr="00472EC7">
              <w:rPr>
                <w:rFonts w:ascii="Arial Narrow" w:hAnsi="Arial Narrow"/>
                <w:b/>
                <w:snapToGrid w:val="0"/>
                <w:color w:val="000000"/>
                <w:sz w:val="16"/>
                <w:szCs w:val="16"/>
              </w:rPr>
              <w:t>IΙΙ.</w:t>
            </w:r>
            <w:r w:rsidRPr="00472EC7">
              <w:rPr>
                <w:rFonts w:ascii="Arial Narrow" w:hAnsi="Arial Narrow"/>
                <w:b/>
                <w:snapToGrid w:val="0"/>
                <w:color w:val="000000"/>
                <w:sz w:val="16"/>
                <w:szCs w:val="16"/>
              </w:rPr>
              <w:tab/>
              <w:t>Ισοζύγιο χρηματοοικον</w:t>
            </w:r>
            <w:r>
              <w:rPr>
                <w:rFonts w:ascii="Arial Narrow" w:hAnsi="Arial Narrow"/>
                <w:b/>
                <w:snapToGrid w:val="0"/>
                <w:color w:val="000000"/>
                <w:sz w:val="16"/>
                <w:szCs w:val="16"/>
              </w:rPr>
              <w:t>ομικ</w:t>
            </w:r>
            <w:r w:rsidRPr="00472EC7">
              <w:rPr>
                <w:rFonts w:ascii="Arial Narrow" w:hAnsi="Arial Narrow"/>
                <w:b/>
                <w:snapToGrid w:val="0"/>
                <w:color w:val="000000"/>
                <w:sz w:val="16"/>
                <w:szCs w:val="16"/>
              </w:rPr>
              <w:t>. συν/γών (I</w:t>
            </w:r>
            <w:r>
              <w:rPr>
                <w:rFonts w:ascii="Arial Narrow" w:hAnsi="Arial Narrow"/>
                <w:b/>
                <w:snapToGrid w:val="0"/>
                <w:color w:val="000000"/>
                <w:sz w:val="16"/>
                <w:szCs w:val="16"/>
              </w:rPr>
              <w:t>ΙΙ</w:t>
            </w:r>
            <w:r w:rsidRPr="00472EC7">
              <w:rPr>
                <w:rFonts w:ascii="Arial Narrow" w:hAnsi="Arial Narrow"/>
                <w:b/>
                <w:snapToGrid w:val="0"/>
                <w:color w:val="000000"/>
                <w:sz w:val="16"/>
                <w:szCs w:val="16"/>
              </w:rPr>
              <w:t>.Α+Ι</w:t>
            </w:r>
            <w:r>
              <w:rPr>
                <w:rFonts w:ascii="Arial Narrow" w:hAnsi="Arial Narrow"/>
                <w:b/>
                <w:snapToGrid w:val="0"/>
                <w:color w:val="000000"/>
                <w:sz w:val="16"/>
                <w:szCs w:val="16"/>
              </w:rPr>
              <w:t>ΙΙ.Β+ΙΙΙ.Γ+ΙΙΙ</w:t>
            </w:r>
            <w:r w:rsidRPr="00472EC7">
              <w:rPr>
                <w:rFonts w:ascii="Arial Narrow" w:hAnsi="Arial Narrow"/>
                <w:b/>
                <w:snapToGrid w:val="0"/>
                <w:color w:val="000000"/>
                <w:sz w:val="16"/>
                <w:szCs w:val="16"/>
              </w:rPr>
              <w:t>.Δ)</w:t>
            </w:r>
          </w:p>
        </w:tc>
        <w:tc>
          <w:tcPr>
            <w:tcW w:w="802" w:type="dxa"/>
            <w:tcBorders>
              <w:top w:val="nil"/>
              <w:left w:val="nil"/>
              <w:bottom w:val="nil"/>
              <w:right w:val="nil"/>
            </w:tcBorders>
            <w:shd w:val="clear" w:color="auto" w:fill="D9D9D9" w:themeFill="background1" w:themeFillShade="D9"/>
            <w:vAlign w:val="bottom"/>
          </w:tcPr>
          <w:p w:rsidR="0047041D" w:rsidRPr="002B18EC" w:rsidRDefault="0047041D" w:rsidP="005C0E1F">
            <w:pPr>
              <w:jc w:val="right"/>
              <w:rPr>
                <w:rFonts w:ascii="Arial Narrow" w:hAnsi="Arial Narrow" w:cs="Arial"/>
                <w:b/>
                <w:bCs/>
                <w:sz w:val="16"/>
                <w:szCs w:val="16"/>
              </w:rPr>
            </w:pPr>
            <w:r w:rsidRPr="002B18EC">
              <w:rPr>
                <w:rFonts w:ascii="Arial Narrow" w:hAnsi="Arial Narrow" w:cs="Arial"/>
                <w:b/>
                <w:bCs/>
                <w:sz w:val="16"/>
                <w:szCs w:val="16"/>
              </w:rPr>
              <w:t>-1.949,1</w:t>
            </w:r>
          </w:p>
        </w:tc>
        <w:tc>
          <w:tcPr>
            <w:tcW w:w="802" w:type="dxa"/>
            <w:tcBorders>
              <w:top w:val="nil"/>
              <w:left w:val="nil"/>
              <w:bottom w:val="nil"/>
              <w:right w:val="nil"/>
            </w:tcBorders>
            <w:shd w:val="clear" w:color="auto" w:fill="D9D9D9" w:themeFill="background1" w:themeFillShade="D9"/>
            <w:vAlign w:val="bottom"/>
          </w:tcPr>
          <w:p w:rsidR="0047041D" w:rsidRPr="002B18EC" w:rsidRDefault="0047041D" w:rsidP="005C0E1F">
            <w:pPr>
              <w:jc w:val="right"/>
              <w:rPr>
                <w:rFonts w:ascii="Arial Narrow" w:hAnsi="Arial Narrow" w:cs="Arial"/>
                <w:b/>
                <w:bCs/>
                <w:sz w:val="16"/>
                <w:szCs w:val="16"/>
              </w:rPr>
            </w:pPr>
            <w:r w:rsidRPr="002B18EC">
              <w:rPr>
                <w:rFonts w:ascii="Arial Narrow" w:hAnsi="Arial Narrow" w:cs="Arial"/>
                <w:b/>
                <w:bCs/>
                <w:sz w:val="16"/>
                <w:szCs w:val="16"/>
              </w:rPr>
              <w:t>-3.923,7</w:t>
            </w:r>
          </w:p>
        </w:tc>
        <w:tc>
          <w:tcPr>
            <w:tcW w:w="802" w:type="dxa"/>
            <w:tcBorders>
              <w:top w:val="nil"/>
              <w:left w:val="nil"/>
              <w:bottom w:val="nil"/>
              <w:right w:val="nil"/>
            </w:tcBorders>
            <w:shd w:val="clear" w:color="auto" w:fill="D9D9D9" w:themeFill="background1" w:themeFillShade="D9"/>
            <w:vAlign w:val="bottom"/>
          </w:tcPr>
          <w:p w:rsidR="0047041D" w:rsidRPr="002B18EC" w:rsidRDefault="0047041D" w:rsidP="005C0E1F">
            <w:pPr>
              <w:jc w:val="right"/>
              <w:rPr>
                <w:rFonts w:ascii="Arial Narrow" w:hAnsi="Arial Narrow" w:cs="Arial"/>
                <w:b/>
                <w:bCs/>
                <w:sz w:val="16"/>
                <w:szCs w:val="16"/>
              </w:rPr>
            </w:pPr>
            <w:r w:rsidRPr="002B18EC">
              <w:rPr>
                <w:rFonts w:ascii="Arial Narrow" w:hAnsi="Arial Narrow" w:cs="Arial"/>
                <w:b/>
                <w:bCs/>
                <w:sz w:val="16"/>
                <w:szCs w:val="16"/>
              </w:rPr>
              <w:t>-520,0</w:t>
            </w:r>
          </w:p>
        </w:tc>
        <w:tc>
          <w:tcPr>
            <w:tcW w:w="802" w:type="dxa"/>
            <w:tcBorders>
              <w:top w:val="nil"/>
              <w:left w:val="nil"/>
              <w:bottom w:val="nil"/>
              <w:right w:val="nil"/>
            </w:tcBorders>
            <w:shd w:val="clear" w:color="auto" w:fill="D9D9D9" w:themeFill="background1" w:themeFillShade="D9"/>
            <w:vAlign w:val="bottom"/>
          </w:tcPr>
          <w:p w:rsidR="0047041D" w:rsidRPr="002B18EC" w:rsidRDefault="0047041D" w:rsidP="005C0E1F">
            <w:pPr>
              <w:jc w:val="right"/>
              <w:rPr>
                <w:rFonts w:ascii="Arial Narrow" w:hAnsi="Arial Narrow" w:cs="Arial"/>
                <w:b/>
                <w:bCs/>
                <w:sz w:val="16"/>
                <w:szCs w:val="16"/>
              </w:rPr>
            </w:pPr>
            <w:r w:rsidRPr="002B18EC">
              <w:rPr>
                <w:rFonts w:ascii="Arial Narrow" w:hAnsi="Arial Narrow" w:cs="Arial"/>
                <w:b/>
                <w:bCs/>
                <w:sz w:val="16"/>
                <w:szCs w:val="16"/>
              </w:rPr>
              <w:t>-1.216,6</w:t>
            </w:r>
          </w:p>
        </w:tc>
        <w:tc>
          <w:tcPr>
            <w:tcW w:w="802" w:type="dxa"/>
            <w:tcBorders>
              <w:top w:val="nil"/>
              <w:left w:val="nil"/>
              <w:bottom w:val="nil"/>
              <w:right w:val="nil"/>
            </w:tcBorders>
            <w:shd w:val="clear" w:color="auto" w:fill="D9D9D9" w:themeFill="background1" w:themeFillShade="D9"/>
            <w:vAlign w:val="bottom"/>
          </w:tcPr>
          <w:p w:rsidR="0047041D" w:rsidRPr="002B18EC" w:rsidRDefault="0047041D" w:rsidP="005C0E1F">
            <w:pPr>
              <w:jc w:val="right"/>
              <w:rPr>
                <w:rFonts w:ascii="Arial Narrow" w:hAnsi="Arial Narrow" w:cs="Arial"/>
                <w:b/>
                <w:bCs/>
                <w:sz w:val="16"/>
                <w:szCs w:val="16"/>
              </w:rPr>
            </w:pPr>
            <w:r w:rsidRPr="002B18EC">
              <w:rPr>
                <w:rFonts w:ascii="Arial Narrow" w:hAnsi="Arial Narrow" w:cs="Arial"/>
                <w:b/>
                <w:bCs/>
                <w:sz w:val="16"/>
                <w:szCs w:val="16"/>
              </w:rPr>
              <w:t>-542,6</w:t>
            </w:r>
          </w:p>
        </w:tc>
        <w:tc>
          <w:tcPr>
            <w:tcW w:w="779" w:type="dxa"/>
            <w:tcBorders>
              <w:top w:val="nil"/>
              <w:left w:val="nil"/>
              <w:bottom w:val="nil"/>
            </w:tcBorders>
            <w:shd w:val="clear" w:color="auto" w:fill="D9D9D9" w:themeFill="background1" w:themeFillShade="D9"/>
            <w:vAlign w:val="bottom"/>
          </w:tcPr>
          <w:p w:rsidR="0047041D" w:rsidRPr="002B18EC" w:rsidRDefault="0047041D" w:rsidP="005C0E1F">
            <w:pPr>
              <w:jc w:val="right"/>
              <w:rPr>
                <w:rFonts w:ascii="Arial Narrow" w:hAnsi="Arial Narrow" w:cs="Arial"/>
                <w:b/>
                <w:bCs/>
                <w:sz w:val="16"/>
                <w:szCs w:val="16"/>
              </w:rPr>
            </w:pPr>
            <w:r w:rsidRPr="002B18EC">
              <w:rPr>
                <w:rFonts w:ascii="Arial Narrow" w:hAnsi="Arial Narrow" w:cs="Arial"/>
                <w:b/>
                <w:bCs/>
                <w:sz w:val="16"/>
                <w:szCs w:val="16"/>
              </w:rPr>
              <w:t>-6.495,3</w:t>
            </w:r>
          </w:p>
        </w:tc>
      </w:tr>
      <w:tr w:rsidR="0047041D" w:rsidTr="005C0E1F">
        <w:trPr>
          <w:cantSplit/>
          <w:trHeight w:val="20"/>
        </w:trPr>
        <w:tc>
          <w:tcPr>
            <w:tcW w:w="4283" w:type="dxa"/>
            <w:tcBorders>
              <w:top w:val="nil"/>
              <w:bottom w:val="nil"/>
              <w:right w:val="nil"/>
            </w:tcBorders>
            <w:shd w:val="clear" w:color="auto" w:fill="auto"/>
          </w:tcPr>
          <w:p w:rsidR="0047041D" w:rsidRPr="00472EC7" w:rsidRDefault="0047041D" w:rsidP="0043717B">
            <w:pPr>
              <w:tabs>
                <w:tab w:val="left" w:pos="426"/>
              </w:tabs>
              <w:spacing w:line="160" w:lineRule="exact"/>
              <w:rPr>
                <w:rFonts w:ascii="Arial Narrow" w:hAnsi="Arial Narrow"/>
                <w:b/>
                <w:snapToGrid w:val="0"/>
                <w:color w:val="000000"/>
                <w:sz w:val="16"/>
                <w:szCs w:val="16"/>
              </w:rPr>
            </w:pPr>
            <w:r w:rsidRPr="005F7CB3">
              <w:rPr>
                <w:rFonts w:ascii="Arial Narrow" w:hAnsi="Arial Narrow"/>
                <w:snapToGrid w:val="0"/>
                <w:color w:val="000000"/>
                <w:sz w:val="16"/>
                <w:szCs w:val="16"/>
              </w:rPr>
              <w:t>IΙΙ.Α</w:t>
            </w:r>
            <w:r w:rsidRPr="00472EC7">
              <w:rPr>
                <w:rFonts w:ascii="Arial Narrow" w:hAnsi="Arial Narrow"/>
                <w:snapToGrid w:val="0"/>
                <w:color w:val="000000"/>
                <w:sz w:val="16"/>
                <w:szCs w:val="16"/>
              </w:rPr>
              <w:t xml:space="preserve"> </w:t>
            </w:r>
            <w:r w:rsidRPr="00472EC7">
              <w:rPr>
                <w:rFonts w:ascii="Arial Narrow" w:hAnsi="Arial Narrow"/>
                <w:snapToGrid w:val="0"/>
                <w:color w:val="000000"/>
                <w:sz w:val="16"/>
                <w:szCs w:val="16"/>
              </w:rPr>
              <w:tab/>
            </w:r>
            <w:r>
              <w:rPr>
                <w:rFonts w:ascii="Arial Narrow" w:hAnsi="Arial Narrow"/>
                <w:b/>
                <w:snapToGrid w:val="0"/>
                <w:color w:val="000000"/>
                <w:sz w:val="16"/>
                <w:szCs w:val="16"/>
              </w:rPr>
              <w:t>Άμεσες επενδύσεις</w:t>
            </w:r>
            <w:r w:rsidRPr="00472EC7">
              <w:rPr>
                <w:rFonts w:ascii="Arial Narrow" w:hAnsi="Arial Narrow"/>
                <w:b/>
                <w:snapToGrid w:val="0"/>
                <w:color w:val="000000"/>
                <w:sz w:val="16"/>
                <w:szCs w:val="16"/>
              </w:rPr>
              <w:t>*</w:t>
            </w:r>
          </w:p>
        </w:tc>
        <w:tc>
          <w:tcPr>
            <w:tcW w:w="802" w:type="dxa"/>
            <w:tcBorders>
              <w:top w:val="nil"/>
              <w:left w:val="nil"/>
              <w:bottom w:val="nil"/>
              <w:right w:val="nil"/>
            </w:tcBorders>
            <w:shd w:val="clear" w:color="auto" w:fill="auto"/>
            <w:vAlign w:val="bottom"/>
          </w:tcPr>
          <w:p w:rsidR="0047041D" w:rsidRPr="002B18EC" w:rsidRDefault="0047041D" w:rsidP="005C0E1F">
            <w:pPr>
              <w:jc w:val="right"/>
              <w:rPr>
                <w:rFonts w:ascii="Arial Narrow" w:hAnsi="Arial Narrow" w:cs="Arial"/>
                <w:b/>
                <w:bCs/>
                <w:sz w:val="16"/>
                <w:szCs w:val="16"/>
              </w:rPr>
            </w:pPr>
            <w:r w:rsidRPr="002B18EC">
              <w:rPr>
                <w:rFonts w:ascii="Arial Narrow" w:hAnsi="Arial Narrow" w:cs="Arial"/>
                <w:b/>
                <w:bCs/>
                <w:sz w:val="16"/>
                <w:szCs w:val="16"/>
              </w:rPr>
              <w:t>-2.935,8</w:t>
            </w:r>
          </w:p>
        </w:tc>
        <w:tc>
          <w:tcPr>
            <w:tcW w:w="802" w:type="dxa"/>
            <w:tcBorders>
              <w:top w:val="nil"/>
              <w:left w:val="nil"/>
              <w:bottom w:val="nil"/>
              <w:right w:val="nil"/>
            </w:tcBorders>
            <w:shd w:val="clear" w:color="auto" w:fill="auto"/>
            <w:vAlign w:val="bottom"/>
          </w:tcPr>
          <w:p w:rsidR="0047041D" w:rsidRPr="002B18EC" w:rsidRDefault="0047041D" w:rsidP="005C0E1F">
            <w:pPr>
              <w:jc w:val="right"/>
              <w:rPr>
                <w:rFonts w:ascii="Arial Narrow" w:hAnsi="Arial Narrow" w:cs="Arial"/>
                <w:b/>
                <w:bCs/>
                <w:sz w:val="16"/>
                <w:szCs w:val="16"/>
              </w:rPr>
            </w:pPr>
            <w:r w:rsidRPr="002B18EC">
              <w:rPr>
                <w:rFonts w:ascii="Arial Narrow" w:hAnsi="Arial Narrow" w:cs="Arial"/>
                <w:b/>
                <w:bCs/>
                <w:sz w:val="16"/>
                <w:szCs w:val="16"/>
              </w:rPr>
              <w:t>-2.960,7</w:t>
            </w:r>
          </w:p>
        </w:tc>
        <w:tc>
          <w:tcPr>
            <w:tcW w:w="802" w:type="dxa"/>
            <w:tcBorders>
              <w:top w:val="nil"/>
              <w:left w:val="nil"/>
              <w:bottom w:val="nil"/>
              <w:right w:val="nil"/>
            </w:tcBorders>
            <w:shd w:val="clear" w:color="auto" w:fill="auto"/>
            <w:vAlign w:val="bottom"/>
          </w:tcPr>
          <w:p w:rsidR="0047041D" w:rsidRPr="002B18EC" w:rsidRDefault="0047041D" w:rsidP="005C0E1F">
            <w:pPr>
              <w:jc w:val="right"/>
              <w:rPr>
                <w:rFonts w:ascii="Arial Narrow" w:hAnsi="Arial Narrow" w:cs="Arial"/>
                <w:b/>
                <w:bCs/>
                <w:sz w:val="16"/>
                <w:szCs w:val="16"/>
              </w:rPr>
            </w:pPr>
            <w:r w:rsidRPr="002B18EC">
              <w:rPr>
                <w:rFonts w:ascii="Arial Narrow" w:hAnsi="Arial Narrow" w:cs="Arial"/>
                <w:b/>
                <w:bCs/>
                <w:sz w:val="16"/>
                <w:szCs w:val="16"/>
              </w:rPr>
              <w:t>-3.910,5</w:t>
            </w:r>
          </w:p>
        </w:tc>
        <w:tc>
          <w:tcPr>
            <w:tcW w:w="802" w:type="dxa"/>
            <w:tcBorders>
              <w:top w:val="nil"/>
              <w:left w:val="nil"/>
              <w:bottom w:val="nil"/>
              <w:right w:val="nil"/>
            </w:tcBorders>
            <w:shd w:val="clear" w:color="auto" w:fill="auto"/>
            <w:vAlign w:val="bottom"/>
          </w:tcPr>
          <w:p w:rsidR="0047041D" w:rsidRPr="002B18EC" w:rsidRDefault="0047041D" w:rsidP="005C0E1F">
            <w:pPr>
              <w:jc w:val="right"/>
              <w:rPr>
                <w:rFonts w:ascii="Arial Narrow" w:hAnsi="Arial Narrow" w:cs="Arial"/>
                <w:b/>
                <w:bCs/>
                <w:sz w:val="16"/>
                <w:szCs w:val="16"/>
              </w:rPr>
            </w:pPr>
            <w:r w:rsidRPr="002B18EC">
              <w:rPr>
                <w:rFonts w:ascii="Arial Narrow" w:hAnsi="Arial Narrow" w:cs="Arial"/>
                <w:b/>
                <w:bCs/>
                <w:sz w:val="16"/>
                <w:szCs w:val="16"/>
              </w:rPr>
              <w:t>-2.296,8</w:t>
            </w:r>
          </w:p>
        </w:tc>
        <w:tc>
          <w:tcPr>
            <w:tcW w:w="802" w:type="dxa"/>
            <w:tcBorders>
              <w:top w:val="nil"/>
              <w:left w:val="nil"/>
              <w:bottom w:val="nil"/>
              <w:right w:val="nil"/>
            </w:tcBorders>
            <w:shd w:val="clear" w:color="auto" w:fill="auto"/>
            <w:vAlign w:val="bottom"/>
          </w:tcPr>
          <w:p w:rsidR="0047041D" w:rsidRPr="002B18EC" w:rsidRDefault="0047041D" w:rsidP="005C0E1F">
            <w:pPr>
              <w:jc w:val="right"/>
              <w:rPr>
                <w:rFonts w:ascii="Arial Narrow" w:hAnsi="Arial Narrow" w:cs="Arial"/>
                <w:b/>
                <w:bCs/>
                <w:sz w:val="16"/>
                <w:szCs w:val="16"/>
              </w:rPr>
            </w:pPr>
            <w:r w:rsidRPr="002B18EC">
              <w:rPr>
                <w:rFonts w:ascii="Arial Narrow" w:hAnsi="Arial Narrow" w:cs="Arial"/>
                <w:b/>
                <w:bCs/>
                <w:sz w:val="16"/>
                <w:szCs w:val="16"/>
              </w:rPr>
              <w:t>-2.462,4</w:t>
            </w:r>
          </w:p>
        </w:tc>
        <w:tc>
          <w:tcPr>
            <w:tcW w:w="779" w:type="dxa"/>
            <w:tcBorders>
              <w:top w:val="nil"/>
              <w:left w:val="nil"/>
              <w:bottom w:val="nil"/>
            </w:tcBorders>
            <w:shd w:val="clear" w:color="auto" w:fill="auto"/>
            <w:vAlign w:val="bottom"/>
          </w:tcPr>
          <w:p w:rsidR="0047041D" w:rsidRPr="002B18EC" w:rsidRDefault="0047041D" w:rsidP="005C0E1F">
            <w:pPr>
              <w:jc w:val="right"/>
              <w:rPr>
                <w:rFonts w:ascii="Arial Narrow" w:hAnsi="Arial Narrow" w:cs="Arial"/>
                <w:b/>
                <w:bCs/>
                <w:sz w:val="16"/>
                <w:szCs w:val="16"/>
              </w:rPr>
            </w:pPr>
            <w:r w:rsidRPr="002B18EC">
              <w:rPr>
                <w:rFonts w:ascii="Arial Narrow" w:hAnsi="Arial Narrow" w:cs="Arial"/>
                <w:b/>
                <w:bCs/>
                <w:sz w:val="16"/>
                <w:szCs w:val="16"/>
              </w:rPr>
              <w:t>-1.921,3</w:t>
            </w:r>
          </w:p>
        </w:tc>
      </w:tr>
      <w:tr w:rsidR="0047041D" w:rsidTr="005C0E1F">
        <w:trPr>
          <w:cantSplit/>
          <w:trHeight w:val="20"/>
        </w:trPr>
        <w:tc>
          <w:tcPr>
            <w:tcW w:w="4283" w:type="dxa"/>
            <w:tcBorders>
              <w:top w:val="nil"/>
              <w:bottom w:val="nil"/>
              <w:right w:val="nil"/>
            </w:tcBorders>
            <w:shd w:val="clear" w:color="auto" w:fill="FFFFFF"/>
          </w:tcPr>
          <w:p w:rsidR="0047041D" w:rsidRPr="00472EC7" w:rsidRDefault="0047041D" w:rsidP="0043717B">
            <w:pPr>
              <w:tabs>
                <w:tab w:val="left" w:pos="426"/>
              </w:tabs>
              <w:spacing w:line="160" w:lineRule="exact"/>
              <w:rPr>
                <w:rFonts w:ascii="Arial Narrow" w:hAnsi="Arial Narrow"/>
                <w:snapToGrid w:val="0"/>
                <w:color w:val="000000"/>
                <w:sz w:val="16"/>
                <w:szCs w:val="16"/>
              </w:rPr>
            </w:pPr>
            <w:r>
              <w:rPr>
                <w:rFonts w:ascii="Arial Narrow" w:hAnsi="Arial Narrow"/>
                <w:snapToGrid w:val="0"/>
                <w:color w:val="000000"/>
                <w:sz w:val="16"/>
                <w:szCs w:val="16"/>
              </w:rPr>
              <w:t xml:space="preserve"> </w:t>
            </w:r>
            <w:r w:rsidRPr="00472EC7">
              <w:rPr>
                <w:rFonts w:ascii="Arial Narrow" w:hAnsi="Arial Narrow"/>
                <w:snapToGrid w:val="0"/>
                <w:color w:val="000000"/>
                <w:sz w:val="16"/>
                <w:szCs w:val="16"/>
              </w:rPr>
              <w:tab/>
            </w:r>
            <w:r>
              <w:rPr>
                <w:rFonts w:ascii="Arial Narrow" w:hAnsi="Arial Narrow"/>
                <w:snapToGrid w:val="0"/>
                <w:color w:val="000000"/>
                <w:sz w:val="16"/>
                <w:szCs w:val="16"/>
              </w:rPr>
              <w:t>Απαιτήσεις</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143,0</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437,8</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562,4</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281,1</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409,0</w:t>
            </w:r>
          </w:p>
        </w:tc>
        <w:tc>
          <w:tcPr>
            <w:tcW w:w="779" w:type="dxa"/>
            <w:tcBorders>
              <w:top w:val="nil"/>
              <w:left w:val="nil"/>
              <w:bottom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494,7</w:t>
            </w:r>
          </w:p>
        </w:tc>
      </w:tr>
      <w:tr w:rsidR="0047041D" w:rsidTr="005C0E1F">
        <w:trPr>
          <w:cantSplit/>
          <w:trHeight w:val="20"/>
        </w:trPr>
        <w:tc>
          <w:tcPr>
            <w:tcW w:w="4283" w:type="dxa"/>
            <w:tcBorders>
              <w:top w:val="nil"/>
              <w:bottom w:val="nil"/>
              <w:right w:val="nil"/>
            </w:tcBorders>
            <w:shd w:val="clear" w:color="auto" w:fill="FFFFFF"/>
          </w:tcPr>
          <w:p w:rsidR="0047041D" w:rsidRPr="00472EC7" w:rsidRDefault="0047041D" w:rsidP="0043717B">
            <w:pPr>
              <w:tabs>
                <w:tab w:val="left" w:pos="426"/>
              </w:tabs>
              <w:spacing w:line="160" w:lineRule="exact"/>
              <w:rPr>
                <w:rFonts w:ascii="Arial Narrow" w:hAnsi="Arial Narrow"/>
                <w:snapToGrid w:val="0"/>
                <w:color w:val="000000"/>
                <w:sz w:val="16"/>
                <w:szCs w:val="16"/>
              </w:rPr>
            </w:pPr>
            <w:r>
              <w:rPr>
                <w:rFonts w:ascii="Arial Narrow" w:hAnsi="Arial Narrow"/>
                <w:snapToGrid w:val="0"/>
                <w:color w:val="000000"/>
                <w:sz w:val="16"/>
                <w:szCs w:val="16"/>
              </w:rPr>
              <w:tab/>
              <w:t>Υποχρεώσεις</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3.078,8</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3.398,5</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4.472,9</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2.577,9</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2.871,4</w:t>
            </w:r>
          </w:p>
        </w:tc>
        <w:tc>
          <w:tcPr>
            <w:tcW w:w="779" w:type="dxa"/>
            <w:tcBorders>
              <w:top w:val="nil"/>
              <w:left w:val="nil"/>
              <w:bottom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2.416,1</w:t>
            </w:r>
          </w:p>
        </w:tc>
      </w:tr>
      <w:tr w:rsidR="0047041D" w:rsidTr="005C0E1F">
        <w:trPr>
          <w:cantSplit/>
          <w:trHeight w:val="20"/>
        </w:trPr>
        <w:tc>
          <w:tcPr>
            <w:tcW w:w="4283" w:type="dxa"/>
            <w:tcBorders>
              <w:top w:val="nil"/>
              <w:bottom w:val="nil"/>
              <w:right w:val="nil"/>
            </w:tcBorders>
            <w:shd w:val="clear" w:color="auto" w:fill="auto"/>
          </w:tcPr>
          <w:p w:rsidR="0047041D" w:rsidRPr="00472EC7" w:rsidRDefault="0047041D" w:rsidP="0043717B">
            <w:pPr>
              <w:tabs>
                <w:tab w:val="left" w:pos="426"/>
              </w:tabs>
              <w:spacing w:line="160" w:lineRule="exact"/>
              <w:rPr>
                <w:rFonts w:ascii="Arial Narrow" w:hAnsi="Arial Narrow"/>
                <w:b/>
                <w:snapToGrid w:val="0"/>
                <w:color w:val="000000"/>
                <w:sz w:val="16"/>
                <w:szCs w:val="16"/>
              </w:rPr>
            </w:pPr>
            <w:r w:rsidRPr="005F7CB3">
              <w:rPr>
                <w:rFonts w:ascii="Arial Narrow" w:hAnsi="Arial Narrow"/>
                <w:snapToGrid w:val="0"/>
                <w:color w:val="000000"/>
                <w:sz w:val="16"/>
                <w:szCs w:val="16"/>
              </w:rPr>
              <w:t>IΙΙ.Β</w:t>
            </w:r>
            <w:r w:rsidRPr="00472EC7">
              <w:rPr>
                <w:rFonts w:ascii="Arial Narrow" w:hAnsi="Arial Narrow"/>
                <w:snapToGrid w:val="0"/>
                <w:color w:val="000000"/>
                <w:sz w:val="16"/>
                <w:szCs w:val="16"/>
              </w:rPr>
              <w:t xml:space="preserve"> </w:t>
            </w:r>
            <w:r w:rsidRPr="00472EC7">
              <w:rPr>
                <w:rFonts w:ascii="Arial Narrow" w:hAnsi="Arial Narrow"/>
                <w:snapToGrid w:val="0"/>
                <w:color w:val="000000"/>
                <w:sz w:val="16"/>
                <w:szCs w:val="16"/>
              </w:rPr>
              <w:tab/>
            </w:r>
            <w:r w:rsidRPr="00472EC7">
              <w:rPr>
                <w:rFonts w:ascii="Arial Narrow" w:hAnsi="Arial Narrow"/>
                <w:b/>
                <w:snapToGrid w:val="0"/>
                <w:color w:val="000000"/>
                <w:sz w:val="16"/>
                <w:szCs w:val="16"/>
              </w:rPr>
              <w:t>Επενδύσεις χαρτοφυλακίου*</w:t>
            </w:r>
          </w:p>
        </w:tc>
        <w:tc>
          <w:tcPr>
            <w:tcW w:w="802" w:type="dxa"/>
            <w:tcBorders>
              <w:top w:val="nil"/>
              <w:left w:val="nil"/>
              <w:bottom w:val="nil"/>
              <w:right w:val="nil"/>
            </w:tcBorders>
            <w:shd w:val="clear" w:color="auto" w:fill="auto"/>
            <w:vAlign w:val="bottom"/>
          </w:tcPr>
          <w:p w:rsidR="0047041D" w:rsidRPr="002B18EC" w:rsidRDefault="0047041D" w:rsidP="005C0E1F">
            <w:pPr>
              <w:jc w:val="right"/>
              <w:rPr>
                <w:rFonts w:ascii="Arial Narrow" w:hAnsi="Arial Narrow" w:cs="Arial"/>
                <w:b/>
                <w:bCs/>
                <w:sz w:val="16"/>
                <w:szCs w:val="16"/>
              </w:rPr>
            </w:pPr>
            <w:r w:rsidRPr="002B18EC">
              <w:rPr>
                <w:rFonts w:ascii="Arial Narrow" w:hAnsi="Arial Narrow" w:cs="Arial"/>
                <w:b/>
                <w:bCs/>
                <w:sz w:val="16"/>
                <w:szCs w:val="16"/>
              </w:rPr>
              <w:t>-20.117,7</w:t>
            </w:r>
          </w:p>
        </w:tc>
        <w:tc>
          <w:tcPr>
            <w:tcW w:w="802" w:type="dxa"/>
            <w:tcBorders>
              <w:top w:val="nil"/>
              <w:left w:val="nil"/>
              <w:bottom w:val="nil"/>
              <w:right w:val="nil"/>
            </w:tcBorders>
            <w:shd w:val="clear" w:color="auto" w:fill="auto"/>
            <w:vAlign w:val="bottom"/>
          </w:tcPr>
          <w:p w:rsidR="0047041D" w:rsidRPr="002B18EC" w:rsidRDefault="0047041D" w:rsidP="005C0E1F">
            <w:pPr>
              <w:jc w:val="right"/>
              <w:rPr>
                <w:rFonts w:ascii="Arial Narrow" w:hAnsi="Arial Narrow" w:cs="Arial"/>
                <w:b/>
                <w:bCs/>
                <w:sz w:val="16"/>
                <w:szCs w:val="16"/>
              </w:rPr>
            </w:pPr>
            <w:r w:rsidRPr="002B18EC">
              <w:rPr>
                <w:rFonts w:ascii="Arial Narrow" w:hAnsi="Arial Narrow" w:cs="Arial"/>
                <w:b/>
                <w:bCs/>
                <w:sz w:val="16"/>
                <w:szCs w:val="16"/>
              </w:rPr>
              <w:t>73,8</w:t>
            </w:r>
          </w:p>
        </w:tc>
        <w:tc>
          <w:tcPr>
            <w:tcW w:w="802" w:type="dxa"/>
            <w:tcBorders>
              <w:top w:val="nil"/>
              <w:left w:val="nil"/>
              <w:bottom w:val="nil"/>
              <w:right w:val="nil"/>
            </w:tcBorders>
            <w:shd w:val="clear" w:color="auto" w:fill="auto"/>
            <w:vAlign w:val="bottom"/>
          </w:tcPr>
          <w:p w:rsidR="0047041D" w:rsidRPr="002B18EC" w:rsidRDefault="0047041D" w:rsidP="005C0E1F">
            <w:pPr>
              <w:jc w:val="right"/>
              <w:rPr>
                <w:rFonts w:ascii="Arial Narrow" w:hAnsi="Arial Narrow" w:cs="Arial"/>
                <w:b/>
                <w:bCs/>
                <w:sz w:val="16"/>
                <w:szCs w:val="16"/>
              </w:rPr>
            </w:pPr>
            <w:r w:rsidRPr="002B18EC">
              <w:rPr>
                <w:rFonts w:ascii="Arial Narrow" w:hAnsi="Arial Narrow" w:cs="Arial"/>
                <w:b/>
                <w:bCs/>
                <w:sz w:val="16"/>
                <w:szCs w:val="16"/>
              </w:rPr>
              <w:t>24.231,5</w:t>
            </w:r>
          </w:p>
        </w:tc>
        <w:tc>
          <w:tcPr>
            <w:tcW w:w="802" w:type="dxa"/>
            <w:tcBorders>
              <w:top w:val="nil"/>
              <w:left w:val="nil"/>
              <w:bottom w:val="nil"/>
              <w:right w:val="nil"/>
            </w:tcBorders>
            <w:shd w:val="clear" w:color="auto" w:fill="auto"/>
            <w:vAlign w:val="bottom"/>
          </w:tcPr>
          <w:p w:rsidR="0047041D" w:rsidRPr="002B18EC" w:rsidRDefault="0047041D" w:rsidP="005C0E1F">
            <w:pPr>
              <w:jc w:val="right"/>
              <w:rPr>
                <w:rFonts w:ascii="Arial Narrow" w:hAnsi="Arial Narrow" w:cs="Arial"/>
                <w:b/>
                <w:bCs/>
                <w:sz w:val="16"/>
                <w:szCs w:val="16"/>
              </w:rPr>
            </w:pPr>
            <w:r w:rsidRPr="002B18EC">
              <w:rPr>
                <w:rFonts w:ascii="Arial Narrow" w:hAnsi="Arial Narrow" w:cs="Arial"/>
                <w:b/>
                <w:bCs/>
                <w:sz w:val="16"/>
                <w:szCs w:val="16"/>
              </w:rPr>
              <w:t>-3.780,3</w:t>
            </w:r>
          </w:p>
        </w:tc>
        <w:tc>
          <w:tcPr>
            <w:tcW w:w="802" w:type="dxa"/>
            <w:tcBorders>
              <w:top w:val="nil"/>
              <w:left w:val="nil"/>
              <w:bottom w:val="nil"/>
              <w:right w:val="nil"/>
            </w:tcBorders>
            <w:shd w:val="clear" w:color="auto" w:fill="auto"/>
            <w:vAlign w:val="bottom"/>
          </w:tcPr>
          <w:p w:rsidR="0047041D" w:rsidRPr="002B18EC" w:rsidRDefault="0047041D" w:rsidP="005C0E1F">
            <w:pPr>
              <w:jc w:val="right"/>
              <w:rPr>
                <w:rFonts w:ascii="Arial Narrow" w:hAnsi="Arial Narrow" w:cs="Arial"/>
                <w:b/>
                <w:bCs/>
                <w:sz w:val="16"/>
                <w:szCs w:val="16"/>
              </w:rPr>
            </w:pPr>
            <w:r w:rsidRPr="002B18EC">
              <w:rPr>
                <w:rFonts w:ascii="Arial Narrow" w:hAnsi="Arial Narrow" w:cs="Arial"/>
                <w:b/>
                <w:bCs/>
                <w:sz w:val="16"/>
                <w:szCs w:val="16"/>
              </w:rPr>
              <w:t>20.941,1</w:t>
            </w:r>
          </w:p>
        </w:tc>
        <w:tc>
          <w:tcPr>
            <w:tcW w:w="779" w:type="dxa"/>
            <w:tcBorders>
              <w:top w:val="nil"/>
              <w:left w:val="nil"/>
              <w:bottom w:val="nil"/>
            </w:tcBorders>
            <w:shd w:val="clear" w:color="auto" w:fill="auto"/>
            <w:vAlign w:val="bottom"/>
          </w:tcPr>
          <w:p w:rsidR="0047041D" w:rsidRPr="002B18EC" w:rsidRDefault="0047041D" w:rsidP="005C0E1F">
            <w:pPr>
              <w:jc w:val="right"/>
              <w:rPr>
                <w:rFonts w:ascii="Arial Narrow" w:hAnsi="Arial Narrow" w:cs="Arial"/>
                <w:b/>
                <w:bCs/>
                <w:sz w:val="16"/>
                <w:szCs w:val="16"/>
              </w:rPr>
            </w:pPr>
            <w:r w:rsidRPr="002B18EC">
              <w:rPr>
                <w:rFonts w:ascii="Arial Narrow" w:hAnsi="Arial Narrow" w:cs="Arial"/>
                <w:b/>
                <w:bCs/>
                <w:sz w:val="16"/>
                <w:szCs w:val="16"/>
              </w:rPr>
              <w:t>42.733,5</w:t>
            </w:r>
          </w:p>
        </w:tc>
      </w:tr>
      <w:tr w:rsidR="0047041D" w:rsidTr="005C0E1F">
        <w:trPr>
          <w:cantSplit/>
          <w:trHeight w:val="20"/>
        </w:trPr>
        <w:tc>
          <w:tcPr>
            <w:tcW w:w="4283" w:type="dxa"/>
            <w:tcBorders>
              <w:top w:val="nil"/>
              <w:bottom w:val="nil"/>
              <w:right w:val="nil"/>
            </w:tcBorders>
            <w:shd w:val="clear" w:color="auto" w:fill="FFFFFF"/>
          </w:tcPr>
          <w:p w:rsidR="0047041D" w:rsidRPr="00472EC7" w:rsidRDefault="0047041D" w:rsidP="0043717B">
            <w:pPr>
              <w:tabs>
                <w:tab w:val="left" w:pos="426"/>
              </w:tabs>
              <w:spacing w:line="160" w:lineRule="exact"/>
              <w:rPr>
                <w:rFonts w:ascii="Arial Narrow" w:hAnsi="Arial Narrow"/>
                <w:snapToGrid w:val="0"/>
                <w:color w:val="000000"/>
                <w:sz w:val="16"/>
                <w:szCs w:val="16"/>
              </w:rPr>
            </w:pPr>
            <w:r>
              <w:rPr>
                <w:rFonts w:ascii="Arial Narrow" w:hAnsi="Arial Narrow"/>
                <w:snapToGrid w:val="0"/>
                <w:color w:val="000000"/>
                <w:sz w:val="16"/>
                <w:szCs w:val="16"/>
              </w:rPr>
              <w:t xml:space="preserve"> </w:t>
            </w:r>
            <w:r w:rsidRPr="00472EC7">
              <w:rPr>
                <w:rFonts w:ascii="Arial Narrow" w:hAnsi="Arial Narrow"/>
                <w:snapToGrid w:val="0"/>
                <w:color w:val="000000"/>
                <w:sz w:val="16"/>
                <w:szCs w:val="16"/>
              </w:rPr>
              <w:tab/>
              <w:t>Απαιτήσεις</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-19.392,1</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1.377,7</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25.927,1</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-501,7</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24.994,8</w:t>
            </w:r>
          </w:p>
        </w:tc>
        <w:tc>
          <w:tcPr>
            <w:tcW w:w="779" w:type="dxa"/>
            <w:tcBorders>
              <w:top w:val="nil"/>
              <w:left w:val="nil"/>
              <w:bottom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34.051,7</w:t>
            </w:r>
          </w:p>
        </w:tc>
      </w:tr>
      <w:tr w:rsidR="0047041D" w:rsidTr="005C0E1F">
        <w:trPr>
          <w:cantSplit/>
          <w:trHeight w:val="20"/>
        </w:trPr>
        <w:tc>
          <w:tcPr>
            <w:tcW w:w="4283" w:type="dxa"/>
            <w:tcBorders>
              <w:top w:val="nil"/>
              <w:bottom w:val="nil"/>
              <w:right w:val="nil"/>
            </w:tcBorders>
            <w:shd w:val="clear" w:color="auto" w:fill="FFFFFF"/>
          </w:tcPr>
          <w:p w:rsidR="0047041D" w:rsidRPr="00472EC7" w:rsidRDefault="0047041D" w:rsidP="0043717B">
            <w:pPr>
              <w:tabs>
                <w:tab w:val="left" w:pos="426"/>
              </w:tabs>
              <w:spacing w:line="160" w:lineRule="exact"/>
              <w:rPr>
                <w:rFonts w:ascii="Arial Narrow" w:hAnsi="Arial Narrow"/>
                <w:snapToGrid w:val="0"/>
                <w:color w:val="000000"/>
                <w:sz w:val="16"/>
                <w:szCs w:val="16"/>
              </w:rPr>
            </w:pPr>
            <w:r>
              <w:rPr>
                <w:rFonts w:ascii="Arial Narrow" w:hAnsi="Arial Narrow"/>
                <w:snapToGrid w:val="0"/>
                <w:color w:val="000000"/>
                <w:sz w:val="16"/>
                <w:szCs w:val="16"/>
              </w:rPr>
              <w:t xml:space="preserve"> </w:t>
            </w:r>
            <w:r w:rsidRPr="00472EC7">
              <w:rPr>
                <w:rFonts w:ascii="Arial Narrow" w:hAnsi="Arial Narrow"/>
                <w:snapToGrid w:val="0"/>
                <w:color w:val="000000"/>
                <w:sz w:val="16"/>
                <w:szCs w:val="16"/>
              </w:rPr>
              <w:tab/>
              <w:t>Υποχρεώσεις</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725,7</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1.303,9</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1.695,6</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3.278,6</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4.053,6</w:t>
            </w:r>
          </w:p>
        </w:tc>
        <w:tc>
          <w:tcPr>
            <w:tcW w:w="779" w:type="dxa"/>
            <w:tcBorders>
              <w:top w:val="nil"/>
              <w:left w:val="nil"/>
              <w:bottom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-8.681,8</w:t>
            </w:r>
          </w:p>
        </w:tc>
      </w:tr>
      <w:tr w:rsidR="0047041D" w:rsidTr="005C0E1F">
        <w:trPr>
          <w:cantSplit/>
          <w:trHeight w:val="20"/>
        </w:trPr>
        <w:tc>
          <w:tcPr>
            <w:tcW w:w="4283" w:type="dxa"/>
            <w:tcBorders>
              <w:top w:val="nil"/>
              <w:bottom w:val="nil"/>
              <w:right w:val="nil"/>
            </w:tcBorders>
            <w:shd w:val="clear" w:color="auto" w:fill="auto"/>
          </w:tcPr>
          <w:p w:rsidR="0047041D" w:rsidRPr="00472EC7" w:rsidRDefault="0047041D" w:rsidP="0043717B">
            <w:pPr>
              <w:tabs>
                <w:tab w:val="left" w:pos="426"/>
              </w:tabs>
              <w:spacing w:line="160" w:lineRule="exact"/>
              <w:rPr>
                <w:rFonts w:ascii="Arial Narrow" w:hAnsi="Arial Narrow"/>
                <w:b/>
                <w:snapToGrid w:val="0"/>
                <w:color w:val="000000"/>
                <w:sz w:val="16"/>
                <w:szCs w:val="16"/>
              </w:rPr>
            </w:pPr>
            <w:r>
              <w:rPr>
                <w:rFonts w:ascii="Arial Narrow" w:hAnsi="Arial Narrow"/>
                <w:snapToGrid w:val="0"/>
                <w:color w:val="000000"/>
                <w:sz w:val="16"/>
                <w:szCs w:val="16"/>
              </w:rPr>
              <w:t>ΙΙΙ</w:t>
            </w:r>
            <w:r w:rsidRPr="00472EC7">
              <w:rPr>
                <w:rFonts w:ascii="Arial Narrow" w:hAnsi="Arial Narrow"/>
                <w:snapToGrid w:val="0"/>
                <w:color w:val="000000"/>
                <w:sz w:val="16"/>
                <w:szCs w:val="16"/>
              </w:rPr>
              <w:t>.Γ</w:t>
            </w:r>
            <w:r w:rsidRPr="00472EC7">
              <w:rPr>
                <w:rFonts w:ascii="Arial Narrow" w:hAnsi="Arial Narrow"/>
                <w:snapToGrid w:val="0"/>
                <w:color w:val="000000"/>
                <w:sz w:val="16"/>
                <w:szCs w:val="16"/>
              </w:rPr>
              <w:tab/>
            </w:r>
            <w:r w:rsidRPr="00472EC7">
              <w:rPr>
                <w:rFonts w:ascii="Arial Narrow" w:hAnsi="Arial Narrow"/>
                <w:b/>
                <w:snapToGrid w:val="0"/>
                <w:color w:val="000000"/>
                <w:sz w:val="16"/>
                <w:szCs w:val="16"/>
              </w:rPr>
              <w:t>Λοιπές επενδύσεις*</w:t>
            </w:r>
          </w:p>
        </w:tc>
        <w:tc>
          <w:tcPr>
            <w:tcW w:w="802" w:type="dxa"/>
            <w:tcBorders>
              <w:top w:val="nil"/>
              <w:left w:val="nil"/>
              <w:bottom w:val="nil"/>
              <w:right w:val="nil"/>
            </w:tcBorders>
            <w:shd w:val="clear" w:color="auto" w:fill="auto"/>
            <w:vAlign w:val="bottom"/>
          </w:tcPr>
          <w:p w:rsidR="0047041D" w:rsidRPr="002B18EC" w:rsidRDefault="0047041D" w:rsidP="005C0E1F">
            <w:pPr>
              <w:jc w:val="right"/>
              <w:rPr>
                <w:rFonts w:ascii="Arial Narrow" w:hAnsi="Arial Narrow" w:cs="Arial"/>
                <w:b/>
                <w:bCs/>
                <w:sz w:val="16"/>
                <w:szCs w:val="16"/>
              </w:rPr>
            </w:pPr>
            <w:r w:rsidRPr="002B18EC">
              <w:rPr>
                <w:rFonts w:ascii="Arial Narrow" w:hAnsi="Arial Narrow" w:cs="Arial"/>
                <w:b/>
                <w:bCs/>
                <w:sz w:val="16"/>
                <w:szCs w:val="16"/>
              </w:rPr>
              <w:t>20.986,4</w:t>
            </w:r>
          </w:p>
        </w:tc>
        <w:tc>
          <w:tcPr>
            <w:tcW w:w="802" w:type="dxa"/>
            <w:tcBorders>
              <w:top w:val="nil"/>
              <w:left w:val="nil"/>
              <w:bottom w:val="nil"/>
              <w:right w:val="nil"/>
            </w:tcBorders>
            <w:shd w:val="clear" w:color="auto" w:fill="auto"/>
            <w:vAlign w:val="bottom"/>
          </w:tcPr>
          <w:p w:rsidR="0047041D" w:rsidRPr="002B18EC" w:rsidRDefault="0047041D" w:rsidP="005C0E1F">
            <w:pPr>
              <w:jc w:val="right"/>
              <w:rPr>
                <w:rFonts w:ascii="Arial Narrow" w:hAnsi="Arial Narrow" w:cs="Arial"/>
                <w:b/>
                <w:bCs/>
                <w:sz w:val="16"/>
                <w:szCs w:val="16"/>
              </w:rPr>
            </w:pPr>
            <w:r w:rsidRPr="002B18EC">
              <w:rPr>
                <w:rFonts w:ascii="Arial Narrow" w:hAnsi="Arial Narrow" w:cs="Arial"/>
                <w:b/>
                <w:bCs/>
                <w:sz w:val="16"/>
                <w:szCs w:val="16"/>
              </w:rPr>
              <w:t>-966,8</w:t>
            </w:r>
          </w:p>
        </w:tc>
        <w:tc>
          <w:tcPr>
            <w:tcW w:w="802" w:type="dxa"/>
            <w:tcBorders>
              <w:top w:val="nil"/>
              <w:left w:val="nil"/>
              <w:bottom w:val="nil"/>
              <w:right w:val="nil"/>
            </w:tcBorders>
            <w:shd w:val="clear" w:color="auto" w:fill="auto"/>
            <w:vAlign w:val="bottom"/>
          </w:tcPr>
          <w:p w:rsidR="0047041D" w:rsidRPr="002B18EC" w:rsidRDefault="0047041D" w:rsidP="005C0E1F">
            <w:pPr>
              <w:jc w:val="right"/>
              <w:rPr>
                <w:rFonts w:ascii="Arial Narrow" w:hAnsi="Arial Narrow" w:cs="Arial"/>
                <w:b/>
                <w:bCs/>
                <w:sz w:val="16"/>
                <w:szCs w:val="16"/>
              </w:rPr>
            </w:pPr>
            <w:r w:rsidRPr="002B18EC">
              <w:rPr>
                <w:rFonts w:ascii="Arial Narrow" w:hAnsi="Arial Narrow" w:cs="Arial"/>
                <w:b/>
                <w:bCs/>
                <w:sz w:val="16"/>
                <w:szCs w:val="16"/>
              </w:rPr>
              <w:t>-20.925,0</w:t>
            </w:r>
          </w:p>
        </w:tc>
        <w:tc>
          <w:tcPr>
            <w:tcW w:w="802" w:type="dxa"/>
            <w:tcBorders>
              <w:top w:val="nil"/>
              <w:left w:val="nil"/>
              <w:bottom w:val="nil"/>
              <w:right w:val="nil"/>
            </w:tcBorders>
            <w:shd w:val="clear" w:color="auto" w:fill="auto"/>
            <w:vAlign w:val="bottom"/>
          </w:tcPr>
          <w:p w:rsidR="0047041D" w:rsidRPr="002B18EC" w:rsidRDefault="0047041D" w:rsidP="005C0E1F">
            <w:pPr>
              <w:jc w:val="right"/>
              <w:rPr>
                <w:rFonts w:ascii="Arial Narrow" w:hAnsi="Arial Narrow" w:cs="Arial"/>
                <w:b/>
                <w:bCs/>
                <w:sz w:val="16"/>
                <w:szCs w:val="16"/>
              </w:rPr>
            </w:pPr>
            <w:r w:rsidRPr="002B18EC">
              <w:rPr>
                <w:rFonts w:ascii="Arial Narrow" w:hAnsi="Arial Narrow" w:cs="Arial"/>
                <w:b/>
                <w:bCs/>
                <w:sz w:val="16"/>
                <w:szCs w:val="16"/>
              </w:rPr>
              <w:t>5.013,5</w:t>
            </w:r>
          </w:p>
        </w:tc>
        <w:tc>
          <w:tcPr>
            <w:tcW w:w="802" w:type="dxa"/>
            <w:tcBorders>
              <w:top w:val="nil"/>
              <w:left w:val="nil"/>
              <w:bottom w:val="nil"/>
              <w:right w:val="nil"/>
            </w:tcBorders>
            <w:shd w:val="clear" w:color="auto" w:fill="auto"/>
            <w:vAlign w:val="bottom"/>
          </w:tcPr>
          <w:p w:rsidR="0047041D" w:rsidRPr="002B18EC" w:rsidRDefault="0047041D" w:rsidP="005C0E1F">
            <w:pPr>
              <w:jc w:val="right"/>
              <w:rPr>
                <w:rFonts w:ascii="Arial Narrow" w:hAnsi="Arial Narrow" w:cs="Arial"/>
                <w:b/>
                <w:bCs/>
                <w:sz w:val="16"/>
                <w:szCs w:val="16"/>
              </w:rPr>
            </w:pPr>
            <w:r w:rsidRPr="002B18EC">
              <w:rPr>
                <w:rFonts w:ascii="Arial Narrow" w:hAnsi="Arial Narrow" w:cs="Arial"/>
                <w:b/>
                <w:bCs/>
                <w:sz w:val="16"/>
                <w:szCs w:val="16"/>
              </w:rPr>
              <w:t>-18.963,4</w:t>
            </w:r>
          </w:p>
        </w:tc>
        <w:tc>
          <w:tcPr>
            <w:tcW w:w="779" w:type="dxa"/>
            <w:tcBorders>
              <w:top w:val="nil"/>
              <w:left w:val="nil"/>
              <w:bottom w:val="nil"/>
            </w:tcBorders>
            <w:shd w:val="clear" w:color="auto" w:fill="auto"/>
            <w:vAlign w:val="bottom"/>
          </w:tcPr>
          <w:p w:rsidR="0047041D" w:rsidRPr="002B18EC" w:rsidRDefault="0047041D" w:rsidP="005C0E1F">
            <w:pPr>
              <w:jc w:val="right"/>
              <w:rPr>
                <w:rFonts w:ascii="Arial Narrow" w:hAnsi="Arial Narrow" w:cs="Arial"/>
                <w:b/>
                <w:bCs/>
                <w:sz w:val="16"/>
                <w:szCs w:val="16"/>
              </w:rPr>
            </w:pPr>
            <w:r w:rsidRPr="002B18EC">
              <w:rPr>
                <w:rFonts w:ascii="Arial Narrow" w:hAnsi="Arial Narrow" w:cs="Arial"/>
                <w:b/>
                <w:bCs/>
                <w:sz w:val="16"/>
                <w:szCs w:val="16"/>
              </w:rPr>
              <w:t>-48.417,5</w:t>
            </w:r>
          </w:p>
        </w:tc>
      </w:tr>
      <w:tr w:rsidR="0047041D" w:rsidTr="005C0E1F">
        <w:trPr>
          <w:cantSplit/>
          <w:trHeight w:val="20"/>
        </w:trPr>
        <w:tc>
          <w:tcPr>
            <w:tcW w:w="4283" w:type="dxa"/>
            <w:tcBorders>
              <w:top w:val="nil"/>
              <w:bottom w:val="nil"/>
              <w:right w:val="nil"/>
            </w:tcBorders>
            <w:shd w:val="clear" w:color="auto" w:fill="FFFFFF"/>
          </w:tcPr>
          <w:p w:rsidR="0047041D" w:rsidRPr="00472EC7" w:rsidRDefault="0047041D" w:rsidP="0043717B">
            <w:pPr>
              <w:tabs>
                <w:tab w:val="left" w:pos="426"/>
              </w:tabs>
              <w:spacing w:line="160" w:lineRule="exact"/>
              <w:rPr>
                <w:rFonts w:ascii="Arial Narrow" w:hAnsi="Arial Narrow"/>
                <w:snapToGrid w:val="0"/>
                <w:color w:val="000000"/>
                <w:sz w:val="16"/>
                <w:szCs w:val="16"/>
              </w:rPr>
            </w:pPr>
            <w:r>
              <w:rPr>
                <w:rFonts w:ascii="Arial Narrow" w:hAnsi="Arial Narrow"/>
                <w:snapToGrid w:val="0"/>
                <w:color w:val="000000"/>
                <w:sz w:val="16"/>
                <w:szCs w:val="16"/>
              </w:rPr>
              <w:t xml:space="preserve"> </w:t>
            </w:r>
            <w:r w:rsidRPr="00472EC7">
              <w:rPr>
                <w:rFonts w:ascii="Arial Narrow" w:hAnsi="Arial Narrow"/>
                <w:snapToGrid w:val="0"/>
                <w:color w:val="000000"/>
                <w:sz w:val="16"/>
                <w:szCs w:val="16"/>
              </w:rPr>
              <w:tab/>
              <w:t>Απαιτήσεις</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-11.744,7</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-5.801,8</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-1.609,6</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-4.249,9</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-1.959,1</w:t>
            </w:r>
          </w:p>
        </w:tc>
        <w:tc>
          <w:tcPr>
            <w:tcW w:w="779" w:type="dxa"/>
            <w:tcBorders>
              <w:top w:val="nil"/>
              <w:left w:val="nil"/>
              <w:bottom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2.385,8</w:t>
            </w:r>
          </w:p>
        </w:tc>
      </w:tr>
      <w:tr w:rsidR="0047041D" w:rsidTr="005C0E1F">
        <w:trPr>
          <w:cantSplit/>
          <w:trHeight w:val="20"/>
        </w:trPr>
        <w:tc>
          <w:tcPr>
            <w:tcW w:w="4283" w:type="dxa"/>
            <w:tcBorders>
              <w:top w:val="nil"/>
              <w:bottom w:val="nil"/>
              <w:right w:val="nil"/>
            </w:tcBorders>
            <w:shd w:val="clear" w:color="auto" w:fill="FFFFFF"/>
          </w:tcPr>
          <w:p w:rsidR="0047041D" w:rsidRPr="00472EC7" w:rsidRDefault="0047041D" w:rsidP="0043717B">
            <w:pPr>
              <w:tabs>
                <w:tab w:val="left" w:pos="426"/>
              </w:tabs>
              <w:spacing w:line="160" w:lineRule="exact"/>
              <w:rPr>
                <w:rFonts w:ascii="Arial Narrow" w:hAnsi="Arial Narrow"/>
                <w:snapToGrid w:val="0"/>
                <w:color w:val="000000"/>
                <w:sz w:val="16"/>
                <w:szCs w:val="16"/>
              </w:rPr>
            </w:pPr>
            <w:r>
              <w:rPr>
                <w:rFonts w:ascii="Arial Narrow" w:hAnsi="Arial Narrow"/>
                <w:snapToGrid w:val="0"/>
                <w:color w:val="000000"/>
                <w:sz w:val="16"/>
                <w:szCs w:val="16"/>
              </w:rPr>
              <w:t xml:space="preserve"> </w:t>
            </w:r>
            <w:r w:rsidRPr="00472EC7">
              <w:rPr>
                <w:rFonts w:ascii="Arial Narrow" w:hAnsi="Arial Narrow"/>
                <w:snapToGrid w:val="0"/>
                <w:color w:val="000000"/>
                <w:sz w:val="16"/>
                <w:szCs w:val="16"/>
              </w:rPr>
              <w:tab/>
              <w:t>Υποχρεώσεις</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-32.731,0</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-4.835,0</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19.315,4</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-9.263,4</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17.004,3</w:t>
            </w:r>
          </w:p>
        </w:tc>
        <w:tc>
          <w:tcPr>
            <w:tcW w:w="779" w:type="dxa"/>
            <w:tcBorders>
              <w:top w:val="nil"/>
              <w:left w:val="nil"/>
              <w:bottom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50.803,3</w:t>
            </w:r>
          </w:p>
        </w:tc>
      </w:tr>
      <w:tr w:rsidR="0047041D" w:rsidTr="005C0E1F">
        <w:trPr>
          <w:cantSplit/>
          <w:trHeight w:val="20"/>
        </w:trPr>
        <w:tc>
          <w:tcPr>
            <w:tcW w:w="4283" w:type="dxa"/>
            <w:tcBorders>
              <w:top w:val="nil"/>
              <w:bottom w:val="nil"/>
              <w:right w:val="nil"/>
            </w:tcBorders>
            <w:shd w:val="clear" w:color="auto" w:fill="FFFFFF"/>
          </w:tcPr>
          <w:p w:rsidR="0047041D" w:rsidRPr="00472EC7" w:rsidRDefault="0047041D" w:rsidP="0043717B">
            <w:pPr>
              <w:tabs>
                <w:tab w:val="left" w:pos="426"/>
              </w:tabs>
              <w:spacing w:line="160" w:lineRule="exact"/>
              <w:rPr>
                <w:rFonts w:ascii="Arial Narrow" w:hAnsi="Arial Narrow"/>
                <w:i/>
                <w:snapToGrid w:val="0"/>
                <w:color w:val="000000"/>
                <w:sz w:val="16"/>
                <w:szCs w:val="16"/>
              </w:rPr>
            </w:pPr>
            <w:r>
              <w:rPr>
                <w:rFonts w:ascii="Arial Narrow" w:hAnsi="Arial Narrow"/>
                <w:i/>
                <w:snapToGrid w:val="0"/>
                <w:color w:val="000000"/>
                <w:sz w:val="16"/>
                <w:szCs w:val="16"/>
              </w:rPr>
              <w:t xml:space="preserve">  </w:t>
            </w:r>
            <w:r w:rsidRPr="00472EC7">
              <w:rPr>
                <w:rFonts w:ascii="Arial Narrow" w:hAnsi="Arial Narrow"/>
                <w:i/>
                <w:snapToGrid w:val="0"/>
                <w:color w:val="000000"/>
                <w:sz w:val="16"/>
                <w:szCs w:val="16"/>
              </w:rPr>
              <w:tab/>
            </w:r>
            <w:r w:rsidRPr="00472EC7">
              <w:rPr>
                <w:rFonts w:ascii="Arial Narrow" w:hAnsi="Arial Narrow"/>
                <w:i/>
                <w:snapToGrid w:val="0"/>
                <w:color w:val="000000"/>
                <w:sz w:val="16"/>
                <w:szCs w:val="16"/>
              </w:rPr>
              <w:tab/>
              <w:t>( Δάνεια γενικής κυβέρνησης )</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5.693,7</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19.555,0</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-4.444,8</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20.001,4</w:t>
            </w:r>
          </w:p>
        </w:tc>
        <w:tc>
          <w:tcPr>
            <w:tcW w:w="802" w:type="dxa"/>
            <w:tcBorders>
              <w:top w:val="nil"/>
              <w:left w:val="nil"/>
              <w:bottom w:val="nil"/>
              <w:right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-1.966,0</w:t>
            </w:r>
          </w:p>
        </w:tc>
        <w:tc>
          <w:tcPr>
            <w:tcW w:w="779" w:type="dxa"/>
            <w:tcBorders>
              <w:top w:val="nil"/>
              <w:left w:val="nil"/>
              <w:bottom w:val="nil"/>
            </w:tcBorders>
            <w:shd w:val="clear" w:color="auto" w:fill="FFFFFF"/>
            <w:vAlign w:val="bottom"/>
          </w:tcPr>
          <w:p w:rsidR="0047041D" w:rsidRPr="002B18EC" w:rsidRDefault="0047041D" w:rsidP="005C0E1F">
            <w:pPr>
              <w:jc w:val="right"/>
              <w:rPr>
                <w:rFonts w:ascii="Arial Narrow" w:hAnsi="Arial Narrow" w:cs="Arial"/>
                <w:sz w:val="16"/>
                <w:szCs w:val="16"/>
              </w:rPr>
            </w:pPr>
            <w:r w:rsidRPr="002B18EC">
              <w:rPr>
                <w:rFonts w:ascii="Arial Narrow" w:hAnsi="Arial Narrow" w:cs="Arial"/>
                <w:sz w:val="16"/>
                <w:szCs w:val="16"/>
              </w:rPr>
              <w:t>-492,5</w:t>
            </w:r>
          </w:p>
        </w:tc>
      </w:tr>
      <w:tr w:rsidR="0047041D" w:rsidTr="005C0E1F">
        <w:trPr>
          <w:cantSplit/>
          <w:trHeight w:val="20"/>
        </w:trPr>
        <w:tc>
          <w:tcPr>
            <w:tcW w:w="4283" w:type="dxa"/>
            <w:tcBorders>
              <w:top w:val="nil"/>
              <w:bottom w:val="nil"/>
              <w:right w:val="nil"/>
            </w:tcBorders>
            <w:shd w:val="clear" w:color="auto" w:fill="auto"/>
          </w:tcPr>
          <w:p w:rsidR="0047041D" w:rsidRPr="00472EC7" w:rsidRDefault="0047041D" w:rsidP="0043717B">
            <w:pPr>
              <w:tabs>
                <w:tab w:val="left" w:pos="426"/>
              </w:tabs>
              <w:spacing w:line="160" w:lineRule="exact"/>
              <w:rPr>
                <w:rFonts w:ascii="Arial Narrow" w:hAnsi="Arial Narrow"/>
                <w:b/>
                <w:snapToGrid w:val="0"/>
                <w:color w:val="000000"/>
                <w:sz w:val="16"/>
                <w:szCs w:val="16"/>
              </w:rPr>
            </w:pPr>
            <w:r>
              <w:rPr>
                <w:rFonts w:ascii="Arial Narrow" w:hAnsi="Arial Narrow"/>
                <w:snapToGrid w:val="0"/>
                <w:color w:val="000000"/>
                <w:sz w:val="16"/>
                <w:szCs w:val="16"/>
              </w:rPr>
              <w:t>ΙΙΙ</w:t>
            </w:r>
            <w:r w:rsidRPr="00472EC7">
              <w:rPr>
                <w:rFonts w:ascii="Arial Narrow" w:hAnsi="Arial Narrow"/>
                <w:snapToGrid w:val="0"/>
                <w:color w:val="000000"/>
                <w:sz w:val="16"/>
                <w:szCs w:val="16"/>
              </w:rPr>
              <w:t>.Δ</w:t>
            </w:r>
            <w:r w:rsidRPr="00472EC7">
              <w:rPr>
                <w:rFonts w:ascii="Arial Narrow" w:hAnsi="Arial Narrow"/>
                <w:snapToGrid w:val="0"/>
                <w:color w:val="000000"/>
                <w:sz w:val="16"/>
                <w:szCs w:val="16"/>
              </w:rPr>
              <w:tab/>
            </w:r>
            <w:r w:rsidRPr="00472EC7">
              <w:rPr>
                <w:rFonts w:ascii="Arial Narrow" w:hAnsi="Arial Narrow"/>
                <w:b/>
                <w:snapToGrid w:val="0"/>
                <w:color w:val="000000"/>
                <w:sz w:val="16"/>
                <w:szCs w:val="16"/>
              </w:rPr>
              <w:t>Μεταβο</w:t>
            </w:r>
            <w:r>
              <w:rPr>
                <w:rFonts w:ascii="Arial Narrow" w:hAnsi="Arial Narrow"/>
                <w:b/>
                <w:snapToGrid w:val="0"/>
                <w:color w:val="000000"/>
                <w:sz w:val="16"/>
                <w:szCs w:val="16"/>
              </w:rPr>
              <w:t>λή συναλλαγματικών διαθεσίμων**</w:t>
            </w:r>
          </w:p>
        </w:tc>
        <w:tc>
          <w:tcPr>
            <w:tcW w:w="802" w:type="dxa"/>
            <w:tcBorders>
              <w:top w:val="nil"/>
              <w:left w:val="nil"/>
              <w:bottom w:val="nil"/>
              <w:right w:val="nil"/>
            </w:tcBorders>
            <w:shd w:val="clear" w:color="auto" w:fill="auto"/>
            <w:vAlign w:val="bottom"/>
          </w:tcPr>
          <w:p w:rsidR="0047041D" w:rsidRPr="002B18EC" w:rsidRDefault="0047041D" w:rsidP="005C0E1F">
            <w:pPr>
              <w:jc w:val="right"/>
              <w:rPr>
                <w:rFonts w:ascii="Arial Narrow" w:hAnsi="Arial Narrow" w:cs="Arial"/>
                <w:b/>
                <w:bCs/>
                <w:sz w:val="16"/>
                <w:szCs w:val="16"/>
              </w:rPr>
            </w:pPr>
            <w:r w:rsidRPr="002B18EC">
              <w:rPr>
                <w:rFonts w:ascii="Arial Narrow" w:hAnsi="Arial Narrow" w:cs="Arial"/>
                <w:b/>
                <w:bCs/>
                <w:sz w:val="16"/>
                <w:szCs w:val="16"/>
              </w:rPr>
              <w:t>118,0</w:t>
            </w:r>
          </w:p>
        </w:tc>
        <w:tc>
          <w:tcPr>
            <w:tcW w:w="802" w:type="dxa"/>
            <w:tcBorders>
              <w:top w:val="nil"/>
              <w:left w:val="nil"/>
              <w:bottom w:val="nil"/>
              <w:right w:val="nil"/>
            </w:tcBorders>
            <w:shd w:val="clear" w:color="auto" w:fill="auto"/>
            <w:vAlign w:val="bottom"/>
          </w:tcPr>
          <w:p w:rsidR="0047041D" w:rsidRPr="002B18EC" w:rsidRDefault="0047041D" w:rsidP="005C0E1F">
            <w:pPr>
              <w:jc w:val="right"/>
              <w:rPr>
                <w:rFonts w:ascii="Arial Narrow" w:hAnsi="Arial Narrow" w:cs="Arial"/>
                <w:b/>
                <w:bCs/>
                <w:sz w:val="16"/>
                <w:szCs w:val="16"/>
              </w:rPr>
            </w:pPr>
            <w:r w:rsidRPr="002B18EC">
              <w:rPr>
                <w:rFonts w:ascii="Arial Narrow" w:hAnsi="Arial Narrow" w:cs="Arial"/>
                <w:b/>
                <w:bCs/>
                <w:sz w:val="16"/>
                <w:szCs w:val="16"/>
              </w:rPr>
              <w:t>-70,0</w:t>
            </w:r>
          </w:p>
        </w:tc>
        <w:tc>
          <w:tcPr>
            <w:tcW w:w="802" w:type="dxa"/>
            <w:tcBorders>
              <w:top w:val="nil"/>
              <w:left w:val="nil"/>
              <w:bottom w:val="nil"/>
              <w:right w:val="nil"/>
            </w:tcBorders>
            <w:shd w:val="clear" w:color="auto" w:fill="auto"/>
            <w:vAlign w:val="bottom"/>
          </w:tcPr>
          <w:p w:rsidR="0047041D" w:rsidRPr="002B18EC" w:rsidRDefault="0047041D" w:rsidP="005C0E1F">
            <w:pPr>
              <w:jc w:val="right"/>
              <w:rPr>
                <w:rFonts w:ascii="Arial Narrow" w:hAnsi="Arial Narrow" w:cs="Arial"/>
                <w:b/>
                <w:bCs/>
                <w:sz w:val="16"/>
                <w:szCs w:val="16"/>
              </w:rPr>
            </w:pPr>
            <w:r w:rsidRPr="002B18EC">
              <w:rPr>
                <w:rFonts w:ascii="Arial Narrow" w:hAnsi="Arial Narrow" w:cs="Arial"/>
                <w:b/>
                <w:bCs/>
                <w:sz w:val="16"/>
                <w:szCs w:val="16"/>
              </w:rPr>
              <w:t>84,0</w:t>
            </w:r>
          </w:p>
        </w:tc>
        <w:tc>
          <w:tcPr>
            <w:tcW w:w="802" w:type="dxa"/>
            <w:tcBorders>
              <w:top w:val="nil"/>
              <w:left w:val="nil"/>
              <w:bottom w:val="nil"/>
              <w:right w:val="nil"/>
            </w:tcBorders>
            <w:shd w:val="clear" w:color="auto" w:fill="auto"/>
            <w:vAlign w:val="bottom"/>
          </w:tcPr>
          <w:p w:rsidR="0047041D" w:rsidRPr="002B18EC" w:rsidRDefault="0047041D" w:rsidP="005C0E1F">
            <w:pPr>
              <w:jc w:val="right"/>
              <w:rPr>
                <w:rFonts w:ascii="Arial Narrow" w:hAnsi="Arial Narrow" w:cs="Arial"/>
                <w:b/>
                <w:bCs/>
                <w:sz w:val="16"/>
                <w:szCs w:val="16"/>
              </w:rPr>
            </w:pPr>
            <w:r w:rsidRPr="002B18EC">
              <w:rPr>
                <w:rFonts w:ascii="Arial Narrow" w:hAnsi="Arial Narrow" w:cs="Arial"/>
                <w:b/>
                <w:bCs/>
                <w:sz w:val="16"/>
                <w:szCs w:val="16"/>
              </w:rPr>
              <w:t>-153,0</w:t>
            </w:r>
          </w:p>
        </w:tc>
        <w:tc>
          <w:tcPr>
            <w:tcW w:w="802" w:type="dxa"/>
            <w:tcBorders>
              <w:top w:val="nil"/>
              <w:left w:val="nil"/>
              <w:bottom w:val="nil"/>
              <w:right w:val="nil"/>
            </w:tcBorders>
            <w:shd w:val="clear" w:color="auto" w:fill="auto"/>
            <w:vAlign w:val="bottom"/>
          </w:tcPr>
          <w:p w:rsidR="0047041D" w:rsidRPr="002B18EC" w:rsidRDefault="0047041D" w:rsidP="005C0E1F">
            <w:pPr>
              <w:jc w:val="right"/>
              <w:rPr>
                <w:rFonts w:ascii="Arial Narrow" w:hAnsi="Arial Narrow" w:cs="Arial"/>
                <w:b/>
                <w:bCs/>
                <w:sz w:val="16"/>
                <w:szCs w:val="16"/>
              </w:rPr>
            </w:pPr>
            <w:r w:rsidRPr="002B18EC">
              <w:rPr>
                <w:rFonts w:ascii="Arial Narrow" w:hAnsi="Arial Narrow" w:cs="Arial"/>
                <w:b/>
                <w:bCs/>
                <w:sz w:val="16"/>
                <w:szCs w:val="16"/>
              </w:rPr>
              <w:t>-58,0</w:t>
            </w:r>
          </w:p>
        </w:tc>
        <w:tc>
          <w:tcPr>
            <w:tcW w:w="779" w:type="dxa"/>
            <w:tcBorders>
              <w:top w:val="nil"/>
              <w:left w:val="nil"/>
              <w:bottom w:val="nil"/>
            </w:tcBorders>
            <w:shd w:val="clear" w:color="auto" w:fill="auto"/>
            <w:vAlign w:val="bottom"/>
          </w:tcPr>
          <w:p w:rsidR="0047041D" w:rsidRPr="002B18EC" w:rsidRDefault="0047041D" w:rsidP="005C0E1F">
            <w:pPr>
              <w:jc w:val="right"/>
              <w:rPr>
                <w:rFonts w:ascii="Arial Narrow" w:hAnsi="Arial Narrow" w:cs="Arial"/>
                <w:b/>
                <w:bCs/>
                <w:sz w:val="16"/>
                <w:szCs w:val="16"/>
              </w:rPr>
            </w:pPr>
            <w:r w:rsidRPr="002B18EC">
              <w:rPr>
                <w:rFonts w:ascii="Arial Narrow" w:hAnsi="Arial Narrow" w:cs="Arial"/>
                <w:b/>
                <w:bCs/>
                <w:sz w:val="16"/>
                <w:szCs w:val="16"/>
              </w:rPr>
              <w:t>1.110,1</w:t>
            </w:r>
          </w:p>
        </w:tc>
      </w:tr>
      <w:tr w:rsidR="0047041D" w:rsidTr="005C0E1F">
        <w:trPr>
          <w:cantSplit/>
          <w:trHeight w:val="20"/>
        </w:trPr>
        <w:tc>
          <w:tcPr>
            <w:tcW w:w="4283" w:type="dxa"/>
            <w:tcBorders>
              <w:top w:val="nil"/>
              <w:bottom w:val="nil"/>
              <w:right w:val="nil"/>
            </w:tcBorders>
            <w:shd w:val="clear" w:color="auto" w:fill="D9D9D9" w:themeFill="background1" w:themeFillShade="D9"/>
            <w:vAlign w:val="center"/>
          </w:tcPr>
          <w:p w:rsidR="0047041D" w:rsidRPr="00472EC7" w:rsidRDefault="0047041D" w:rsidP="0043717B">
            <w:pPr>
              <w:tabs>
                <w:tab w:val="left" w:pos="426"/>
              </w:tabs>
              <w:spacing w:line="160" w:lineRule="exact"/>
              <w:rPr>
                <w:rFonts w:ascii="Arial Narrow" w:hAnsi="Arial Narrow"/>
                <w:b/>
                <w:snapToGrid w:val="0"/>
                <w:color w:val="000000"/>
                <w:sz w:val="16"/>
                <w:szCs w:val="16"/>
              </w:rPr>
            </w:pPr>
            <w:r>
              <w:rPr>
                <w:rFonts w:ascii="Arial Narrow" w:hAnsi="Arial Narrow"/>
                <w:b/>
                <w:snapToGrid w:val="0"/>
                <w:color w:val="000000"/>
                <w:sz w:val="16"/>
                <w:szCs w:val="16"/>
              </w:rPr>
              <w:t>Ι</w:t>
            </w:r>
            <w:r w:rsidRPr="00472EC7">
              <w:rPr>
                <w:rFonts w:ascii="Arial Narrow" w:hAnsi="Arial Narrow"/>
                <w:b/>
                <w:snapToGrid w:val="0"/>
                <w:color w:val="000000"/>
                <w:sz w:val="16"/>
                <w:szCs w:val="16"/>
              </w:rPr>
              <w:t>V.</w:t>
            </w:r>
            <w:r w:rsidRPr="00472EC7">
              <w:rPr>
                <w:rFonts w:ascii="Arial Narrow" w:hAnsi="Arial Narrow"/>
                <w:b/>
                <w:snapToGrid w:val="0"/>
                <w:color w:val="000000"/>
                <w:sz w:val="16"/>
                <w:szCs w:val="16"/>
              </w:rPr>
              <w:tab/>
              <w:t>Τακτοποιητέα στοιχεία</w:t>
            </w:r>
            <w:r>
              <w:rPr>
                <w:rFonts w:ascii="Arial Narrow" w:hAnsi="Arial Narrow"/>
                <w:b/>
                <w:snapToGrid w:val="0"/>
                <w:color w:val="000000"/>
                <w:sz w:val="16"/>
                <w:szCs w:val="16"/>
              </w:rPr>
              <w:t xml:space="preserve"> (Ι+ΙΙ-</w:t>
            </w:r>
            <w:r w:rsidRPr="00472EC7">
              <w:rPr>
                <w:rFonts w:ascii="Arial Narrow" w:hAnsi="Arial Narrow"/>
                <w:b/>
                <w:snapToGrid w:val="0"/>
                <w:color w:val="000000"/>
                <w:sz w:val="16"/>
                <w:szCs w:val="16"/>
              </w:rPr>
              <w:t>Ι</w:t>
            </w:r>
            <w:r>
              <w:rPr>
                <w:rFonts w:ascii="Arial Narrow" w:hAnsi="Arial Narrow"/>
                <w:b/>
                <w:snapToGrid w:val="0"/>
                <w:color w:val="000000"/>
                <w:sz w:val="16"/>
                <w:szCs w:val="16"/>
              </w:rPr>
              <w:t>ΙΙ</w:t>
            </w:r>
            <w:r w:rsidRPr="00472EC7">
              <w:rPr>
                <w:rFonts w:ascii="Arial Narrow" w:hAnsi="Arial Narrow"/>
                <w:b/>
                <w:snapToGrid w:val="0"/>
                <w:color w:val="000000"/>
                <w:sz w:val="16"/>
                <w:szCs w:val="16"/>
              </w:rPr>
              <w:t>+</w:t>
            </w:r>
            <w:r>
              <w:rPr>
                <w:rFonts w:ascii="Arial Narrow" w:hAnsi="Arial Narrow"/>
                <w:b/>
                <w:snapToGrid w:val="0"/>
                <w:color w:val="000000"/>
                <w:sz w:val="16"/>
                <w:szCs w:val="16"/>
              </w:rPr>
              <w:t>Ι</w:t>
            </w:r>
            <w:r w:rsidRPr="00472EC7">
              <w:rPr>
                <w:rFonts w:ascii="Arial Narrow" w:hAnsi="Arial Narrow"/>
                <w:b/>
                <w:snapToGrid w:val="0"/>
                <w:color w:val="000000"/>
                <w:sz w:val="16"/>
                <w:szCs w:val="16"/>
              </w:rPr>
              <w:t>V=0)</w:t>
            </w:r>
          </w:p>
        </w:tc>
        <w:tc>
          <w:tcPr>
            <w:tcW w:w="802" w:type="dxa"/>
            <w:tcBorders>
              <w:top w:val="nil"/>
              <w:left w:val="nil"/>
              <w:bottom w:val="nil"/>
              <w:right w:val="nil"/>
            </w:tcBorders>
            <w:shd w:val="clear" w:color="auto" w:fill="D9D9D9" w:themeFill="background1" w:themeFillShade="D9"/>
            <w:vAlign w:val="bottom"/>
          </w:tcPr>
          <w:p w:rsidR="0047041D" w:rsidRPr="002B18EC" w:rsidRDefault="0047041D" w:rsidP="005C0E1F">
            <w:pPr>
              <w:jc w:val="right"/>
              <w:rPr>
                <w:rFonts w:ascii="Arial Narrow" w:hAnsi="Arial Narrow" w:cs="Arial"/>
                <w:b/>
                <w:bCs/>
                <w:sz w:val="16"/>
                <w:szCs w:val="16"/>
              </w:rPr>
            </w:pPr>
            <w:r w:rsidRPr="002B18EC">
              <w:rPr>
                <w:rFonts w:ascii="Arial Narrow" w:hAnsi="Arial Narrow" w:cs="Arial"/>
                <w:b/>
                <w:bCs/>
                <w:sz w:val="16"/>
                <w:szCs w:val="16"/>
              </w:rPr>
              <w:t>542,5</w:t>
            </w:r>
          </w:p>
        </w:tc>
        <w:tc>
          <w:tcPr>
            <w:tcW w:w="802" w:type="dxa"/>
            <w:tcBorders>
              <w:top w:val="nil"/>
              <w:left w:val="nil"/>
              <w:bottom w:val="nil"/>
              <w:right w:val="nil"/>
            </w:tcBorders>
            <w:shd w:val="clear" w:color="auto" w:fill="D9D9D9" w:themeFill="background1" w:themeFillShade="D9"/>
            <w:vAlign w:val="bottom"/>
          </w:tcPr>
          <w:p w:rsidR="0047041D" w:rsidRPr="002B18EC" w:rsidRDefault="0047041D" w:rsidP="005C0E1F">
            <w:pPr>
              <w:jc w:val="right"/>
              <w:rPr>
                <w:rFonts w:ascii="Arial Narrow" w:hAnsi="Arial Narrow" w:cs="Arial"/>
                <w:b/>
                <w:bCs/>
                <w:sz w:val="16"/>
                <w:szCs w:val="16"/>
              </w:rPr>
            </w:pPr>
            <w:r w:rsidRPr="002B18EC">
              <w:rPr>
                <w:rFonts w:ascii="Arial Narrow" w:hAnsi="Arial Narrow" w:cs="Arial"/>
                <w:b/>
                <w:bCs/>
                <w:sz w:val="16"/>
                <w:szCs w:val="16"/>
              </w:rPr>
              <w:t>955,4</w:t>
            </w:r>
          </w:p>
        </w:tc>
        <w:tc>
          <w:tcPr>
            <w:tcW w:w="802" w:type="dxa"/>
            <w:tcBorders>
              <w:top w:val="nil"/>
              <w:left w:val="nil"/>
              <w:bottom w:val="nil"/>
              <w:right w:val="nil"/>
            </w:tcBorders>
            <w:shd w:val="clear" w:color="auto" w:fill="D9D9D9" w:themeFill="background1" w:themeFillShade="D9"/>
            <w:vAlign w:val="bottom"/>
          </w:tcPr>
          <w:p w:rsidR="0047041D" w:rsidRPr="002B18EC" w:rsidRDefault="0047041D" w:rsidP="005C0E1F">
            <w:pPr>
              <w:jc w:val="right"/>
              <w:rPr>
                <w:rFonts w:ascii="Arial Narrow" w:hAnsi="Arial Narrow" w:cs="Arial"/>
                <w:b/>
                <w:bCs/>
                <w:sz w:val="16"/>
                <w:szCs w:val="16"/>
              </w:rPr>
            </w:pPr>
            <w:r w:rsidRPr="002B18EC">
              <w:rPr>
                <w:rFonts w:ascii="Arial Narrow" w:hAnsi="Arial Narrow" w:cs="Arial"/>
                <w:b/>
                <w:bCs/>
                <w:sz w:val="16"/>
                <w:szCs w:val="16"/>
              </w:rPr>
              <w:t>1.525,7</w:t>
            </w:r>
          </w:p>
        </w:tc>
        <w:tc>
          <w:tcPr>
            <w:tcW w:w="802" w:type="dxa"/>
            <w:tcBorders>
              <w:top w:val="nil"/>
              <w:left w:val="nil"/>
              <w:bottom w:val="nil"/>
              <w:right w:val="nil"/>
            </w:tcBorders>
            <w:shd w:val="clear" w:color="auto" w:fill="D9D9D9" w:themeFill="background1" w:themeFillShade="D9"/>
            <w:vAlign w:val="bottom"/>
          </w:tcPr>
          <w:p w:rsidR="0047041D" w:rsidRPr="002B18EC" w:rsidRDefault="0047041D" w:rsidP="005C0E1F">
            <w:pPr>
              <w:jc w:val="right"/>
              <w:rPr>
                <w:rFonts w:ascii="Arial Narrow" w:hAnsi="Arial Narrow" w:cs="Arial"/>
                <w:b/>
                <w:bCs/>
                <w:sz w:val="16"/>
                <w:szCs w:val="16"/>
              </w:rPr>
            </w:pPr>
            <w:r w:rsidRPr="002B18EC">
              <w:rPr>
                <w:rFonts w:ascii="Arial Narrow" w:hAnsi="Arial Narrow" w:cs="Arial"/>
                <w:b/>
                <w:bCs/>
                <w:sz w:val="16"/>
                <w:szCs w:val="16"/>
              </w:rPr>
              <w:t>-25,6</w:t>
            </w:r>
          </w:p>
        </w:tc>
        <w:tc>
          <w:tcPr>
            <w:tcW w:w="802" w:type="dxa"/>
            <w:tcBorders>
              <w:top w:val="nil"/>
              <w:left w:val="nil"/>
              <w:bottom w:val="nil"/>
              <w:right w:val="nil"/>
            </w:tcBorders>
            <w:shd w:val="clear" w:color="auto" w:fill="D9D9D9" w:themeFill="background1" w:themeFillShade="D9"/>
            <w:vAlign w:val="bottom"/>
          </w:tcPr>
          <w:p w:rsidR="0047041D" w:rsidRPr="002B18EC" w:rsidRDefault="0047041D" w:rsidP="005C0E1F">
            <w:pPr>
              <w:jc w:val="right"/>
              <w:rPr>
                <w:rFonts w:ascii="Arial Narrow" w:hAnsi="Arial Narrow" w:cs="Arial"/>
                <w:b/>
                <w:bCs/>
                <w:sz w:val="16"/>
                <w:szCs w:val="16"/>
              </w:rPr>
            </w:pPr>
            <w:r w:rsidRPr="002B18EC">
              <w:rPr>
                <w:rFonts w:ascii="Arial Narrow" w:hAnsi="Arial Narrow" w:cs="Arial"/>
                <w:b/>
                <w:bCs/>
                <w:sz w:val="16"/>
                <w:szCs w:val="16"/>
              </w:rPr>
              <w:t>-666,5</w:t>
            </w:r>
          </w:p>
        </w:tc>
        <w:tc>
          <w:tcPr>
            <w:tcW w:w="779" w:type="dxa"/>
            <w:tcBorders>
              <w:top w:val="nil"/>
              <w:left w:val="nil"/>
              <w:bottom w:val="nil"/>
            </w:tcBorders>
            <w:shd w:val="clear" w:color="auto" w:fill="D9D9D9" w:themeFill="background1" w:themeFillShade="D9"/>
            <w:vAlign w:val="bottom"/>
          </w:tcPr>
          <w:p w:rsidR="0047041D" w:rsidRPr="002B18EC" w:rsidRDefault="0047041D" w:rsidP="005C0E1F">
            <w:pPr>
              <w:jc w:val="right"/>
              <w:rPr>
                <w:rFonts w:ascii="Arial Narrow" w:hAnsi="Arial Narrow" w:cs="Arial"/>
                <w:b/>
                <w:bCs/>
                <w:sz w:val="16"/>
                <w:szCs w:val="16"/>
              </w:rPr>
            </w:pPr>
            <w:r w:rsidRPr="002B18EC">
              <w:rPr>
                <w:rFonts w:ascii="Arial Narrow" w:hAnsi="Arial Narrow" w:cs="Arial"/>
                <w:b/>
                <w:bCs/>
                <w:sz w:val="16"/>
                <w:szCs w:val="16"/>
              </w:rPr>
              <w:t>785,3</w:t>
            </w:r>
          </w:p>
        </w:tc>
      </w:tr>
      <w:tr w:rsidR="0047041D" w:rsidTr="005C0E1F">
        <w:trPr>
          <w:cantSplit/>
          <w:trHeight w:val="20"/>
        </w:trPr>
        <w:tc>
          <w:tcPr>
            <w:tcW w:w="4283" w:type="dxa"/>
            <w:tcBorders>
              <w:top w:val="nil"/>
              <w:bottom w:val="single" w:sz="6" w:space="0" w:color="auto"/>
              <w:right w:val="nil"/>
            </w:tcBorders>
            <w:shd w:val="clear" w:color="auto" w:fill="FFFFFF"/>
            <w:vAlign w:val="center"/>
          </w:tcPr>
          <w:p w:rsidR="0047041D" w:rsidRPr="00472EC7" w:rsidRDefault="0047041D" w:rsidP="0043717B">
            <w:pPr>
              <w:tabs>
                <w:tab w:val="left" w:pos="426"/>
              </w:tabs>
              <w:spacing w:line="160" w:lineRule="exact"/>
              <w:rPr>
                <w:rFonts w:ascii="Arial Narrow" w:hAnsi="Arial Narrow"/>
                <w:snapToGrid w:val="0"/>
                <w:color w:val="000000"/>
                <w:sz w:val="16"/>
                <w:szCs w:val="16"/>
              </w:rPr>
            </w:pPr>
            <w:r w:rsidRPr="00472EC7">
              <w:rPr>
                <w:rFonts w:ascii="Arial Narrow" w:hAnsi="Arial Narrow"/>
                <w:snapToGrid w:val="0"/>
                <w:color w:val="000000"/>
                <w:sz w:val="16"/>
                <w:szCs w:val="16"/>
              </w:rPr>
              <w:t>Ύψο</w:t>
            </w:r>
            <w:r>
              <w:rPr>
                <w:rFonts w:ascii="Arial Narrow" w:hAnsi="Arial Narrow"/>
                <w:snapToGrid w:val="0"/>
                <w:color w:val="000000"/>
                <w:sz w:val="16"/>
                <w:szCs w:val="16"/>
              </w:rPr>
              <w:t xml:space="preserve">ς συναλλαγματικών διαθεσίμων </w:t>
            </w:r>
            <w:r w:rsidRPr="00472EC7">
              <w:rPr>
                <w:rFonts w:ascii="Arial Narrow" w:hAnsi="Arial Narrow"/>
                <w:snapToGrid w:val="0"/>
                <w:color w:val="000000"/>
                <w:sz w:val="16"/>
                <w:szCs w:val="16"/>
              </w:rPr>
              <w:t>**</w:t>
            </w:r>
            <w:r>
              <w:rPr>
                <w:rFonts w:ascii="Arial Narrow" w:hAnsi="Arial Narrow"/>
                <w:snapToGrid w:val="0"/>
                <w:color w:val="000000"/>
                <w:sz w:val="16"/>
                <w:szCs w:val="16"/>
              </w:rPr>
              <w:t>*</w:t>
            </w:r>
          </w:p>
        </w:tc>
        <w:tc>
          <w:tcPr>
            <w:tcW w:w="802" w:type="dxa"/>
            <w:tcBorders>
              <w:top w:val="nil"/>
              <w:left w:val="nil"/>
              <w:bottom w:val="single" w:sz="6" w:space="0" w:color="auto"/>
              <w:right w:val="nil"/>
            </w:tcBorders>
            <w:shd w:val="clear" w:color="auto" w:fill="FFFFFF"/>
            <w:vAlign w:val="bottom"/>
          </w:tcPr>
          <w:p w:rsidR="0047041D" w:rsidRPr="002B18EC" w:rsidRDefault="0047041D" w:rsidP="005C0E1F">
            <w:pPr>
              <w:jc w:val="right"/>
              <w:rPr>
                <w:rFonts w:ascii="Arial Narrow" w:hAnsi="Arial Narrow" w:cs="Arial"/>
                <w:b/>
                <w:bCs/>
                <w:sz w:val="16"/>
                <w:szCs w:val="16"/>
              </w:rPr>
            </w:pPr>
            <w:r w:rsidRPr="002B18EC">
              <w:rPr>
                <w:rFonts w:ascii="Arial Narrow" w:hAnsi="Arial Narrow" w:cs="Arial"/>
                <w:b/>
                <w:bCs/>
                <w:sz w:val="16"/>
                <w:szCs w:val="16"/>
              </w:rPr>
              <w:t>6.509</w:t>
            </w:r>
            <w:r w:rsidR="005C0E1F">
              <w:rPr>
                <w:rFonts w:ascii="Arial Narrow" w:hAnsi="Arial Narrow" w:cs="Arial"/>
                <w:b/>
                <w:bCs/>
                <w:sz w:val="16"/>
                <w:szCs w:val="16"/>
              </w:rPr>
              <w:t>,0</w:t>
            </w:r>
          </w:p>
        </w:tc>
        <w:tc>
          <w:tcPr>
            <w:tcW w:w="802" w:type="dxa"/>
            <w:tcBorders>
              <w:top w:val="nil"/>
              <w:left w:val="nil"/>
              <w:bottom w:val="single" w:sz="6" w:space="0" w:color="auto"/>
              <w:right w:val="nil"/>
            </w:tcBorders>
            <w:shd w:val="clear" w:color="auto" w:fill="FFFFFF"/>
            <w:vAlign w:val="bottom"/>
          </w:tcPr>
          <w:p w:rsidR="0047041D" w:rsidRPr="002B18EC" w:rsidRDefault="0047041D" w:rsidP="005C0E1F">
            <w:pPr>
              <w:jc w:val="right"/>
              <w:rPr>
                <w:rFonts w:ascii="Arial Narrow" w:hAnsi="Arial Narrow" w:cs="Arial"/>
                <w:b/>
                <w:bCs/>
                <w:sz w:val="16"/>
                <w:szCs w:val="16"/>
              </w:rPr>
            </w:pPr>
            <w:r w:rsidRPr="002B18EC">
              <w:rPr>
                <w:rFonts w:ascii="Arial Narrow" w:hAnsi="Arial Narrow" w:cs="Arial"/>
                <w:b/>
                <w:bCs/>
                <w:sz w:val="16"/>
                <w:szCs w:val="16"/>
              </w:rPr>
              <w:t>6.625</w:t>
            </w:r>
            <w:r w:rsidR="005D5C90">
              <w:rPr>
                <w:rFonts w:ascii="Arial Narrow" w:hAnsi="Arial Narrow" w:cs="Arial"/>
                <w:b/>
                <w:bCs/>
                <w:sz w:val="16"/>
                <w:szCs w:val="16"/>
              </w:rPr>
              <w:t>,0</w:t>
            </w:r>
          </w:p>
        </w:tc>
        <w:tc>
          <w:tcPr>
            <w:tcW w:w="802" w:type="dxa"/>
            <w:tcBorders>
              <w:top w:val="nil"/>
              <w:left w:val="nil"/>
              <w:bottom w:val="single" w:sz="6" w:space="0" w:color="auto"/>
              <w:right w:val="nil"/>
            </w:tcBorders>
            <w:shd w:val="clear" w:color="auto" w:fill="FFFFFF"/>
            <w:vAlign w:val="bottom"/>
          </w:tcPr>
          <w:p w:rsidR="0047041D" w:rsidRPr="002B18EC" w:rsidRDefault="0047041D" w:rsidP="005C0E1F">
            <w:pPr>
              <w:jc w:val="right"/>
              <w:rPr>
                <w:rFonts w:ascii="Arial Narrow" w:hAnsi="Arial Narrow" w:cs="Arial"/>
                <w:b/>
                <w:bCs/>
                <w:sz w:val="16"/>
                <w:szCs w:val="16"/>
              </w:rPr>
            </w:pPr>
            <w:r w:rsidRPr="002B18EC">
              <w:rPr>
                <w:rFonts w:ascii="Arial Narrow" w:hAnsi="Arial Narrow" w:cs="Arial"/>
                <w:b/>
                <w:bCs/>
                <w:sz w:val="16"/>
                <w:szCs w:val="16"/>
              </w:rPr>
              <w:t>7.571</w:t>
            </w:r>
            <w:r w:rsidR="005D5C90">
              <w:rPr>
                <w:rFonts w:ascii="Arial Narrow" w:hAnsi="Arial Narrow" w:cs="Arial"/>
                <w:b/>
                <w:bCs/>
                <w:sz w:val="16"/>
                <w:szCs w:val="16"/>
              </w:rPr>
              <w:t>,0</w:t>
            </w:r>
          </w:p>
        </w:tc>
        <w:tc>
          <w:tcPr>
            <w:tcW w:w="802" w:type="dxa"/>
            <w:tcBorders>
              <w:top w:val="nil"/>
              <w:left w:val="nil"/>
              <w:bottom w:val="single" w:sz="6" w:space="0" w:color="auto"/>
              <w:right w:val="nil"/>
            </w:tcBorders>
            <w:shd w:val="clear" w:color="auto" w:fill="FFFFFF"/>
            <w:vAlign w:val="bottom"/>
          </w:tcPr>
          <w:p w:rsidR="0047041D" w:rsidRPr="002B18EC" w:rsidRDefault="0047041D" w:rsidP="005C0E1F">
            <w:pPr>
              <w:jc w:val="right"/>
              <w:rPr>
                <w:rFonts w:ascii="Arial Narrow" w:hAnsi="Arial Narrow" w:cs="Arial"/>
                <w:b/>
                <w:bCs/>
                <w:sz w:val="16"/>
                <w:szCs w:val="16"/>
              </w:rPr>
            </w:pPr>
            <w:r w:rsidRPr="002B18EC">
              <w:rPr>
                <w:rFonts w:ascii="Arial Narrow" w:hAnsi="Arial Narrow" w:cs="Arial"/>
                <w:b/>
                <w:bCs/>
                <w:sz w:val="16"/>
                <w:szCs w:val="16"/>
              </w:rPr>
              <w:t>6.169</w:t>
            </w:r>
            <w:r w:rsidR="005D5C90">
              <w:rPr>
                <w:rFonts w:ascii="Arial Narrow" w:hAnsi="Arial Narrow" w:cs="Arial"/>
                <w:b/>
                <w:bCs/>
                <w:sz w:val="16"/>
                <w:szCs w:val="16"/>
              </w:rPr>
              <w:t>,0</w:t>
            </w:r>
          </w:p>
        </w:tc>
        <w:tc>
          <w:tcPr>
            <w:tcW w:w="802" w:type="dxa"/>
            <w:tcBorders>
              <w:top w:val="nil"/>
              <w:left w:val="nil"/>
              <w:bottom w:val="single" w:sz="6" w:space="0" w:color="auto"/>
              <w:right w:val="nil"/>
            </w:tcBorders>
            <w:shd w:val="clear" w:color="auto" w:fill="FFFFFF"/>
            <w:vAlign w:val="bottom"/>
          </w:tcPr>
          <w:p w:rsidR="0047041D" w:rsidRPr="002B18EC" w:rsidRDefault="0047041D" w:rsidP="005C0E1F">
            <w:pPr>
              <w:jc w:val="right"/>
              <w:rPr>
                <w:rFonts w:ascii="Arial Narrow" w:hAnsi="Arial Narrow" w:cs="Arial"/>
                <w:b/>
                <w:bCs/>
                <w:sz w:val="16"/>
                <w:szCs w:val="16"/>
              </w:rPr>
            </w:pPr>
            <w:r w:rsidRPr="002B18EC">
              <w:rPr>
                <w:rFonts w:ascii="Arial Narrow" w:hAnsi="Arial Narrow" w:cs="Arial"/>
                <w:b/>
                <w:bCs/>
                <w:sz w:val="16"/>
                <w:szCs w:val="16"/>
              </w:rPr>
              <w:t>7.537</w:t>
            </w:r>
            <w:r w:rsidR="005D5C90">
              <w:rPr>
                <w:rFonts w:ascii="Arial Narrow" w:hAnsi="Arial Narrow" w:cs="Arial"/>
                <w:b/>
                <w:bCs/>
                <w:sz w:val="16"/>
                <w:szCs w:val="16"/>
              </w:rPr>
              <w:t>,0</w:t>
            </w:r>
          </w:p>
        </w:tc>
        <w:tc>
          <w:tcPr>
            <w:tcW w:w="779" w:type="dxa"/>
            <w:tcBorders>
              <w:top w:val="nil"/>
              <w:left w:val="nil"/>
              <w:bottom w:val="single" w:sz="6" w:space="0" w:color="auto"/>
            </w:tcBorders>
            <w:shd w:val="clear" w:color="auto" w:fill="FFFFFF"/>
            <w:vAlign w:val="bottom"/>
          </w:tcPr>
          <w:p w:rsidR="0047041D" w:rsidRPr="002B18EC" w:rsidRDefault="0047041D" w:rsidP="005C0E1F">
            <w:pPr>
              <w:jc w:val="right"/>
              <w:rPr>
                <w:rFonts w:ascii="Arial Narrow" w:hAnsi="Arial Narrow" w:cs="Arial"/>
                <w:b/>
                <w:bCs/>
                <w:sz w:val="16"/>
                <w:szCs w:val="16"/>
              </w:rPr>
            </w:pPr>
            <w:r w:rsidRPr="002B18EC">
              <w:rPr>
                <w:rFonts w:ascii="Arial Narrow" w:hAnsi="Arial Narrow" w:cs="Arial"/>
                <w:b/>
                <w:bCs/>
                <w:sz w:val="16"/>
                <w:szCs w:val="16"/>
              </w:rPr>
              <w:t>9.635</w:t>
            </w:r>
            <w:r w:rsidR="005D5C90">
              <w:rPr>
                <w:rFonts w:ascii="Arial Narrow" w:hAnsi="Arial Narrow" w:cs="Arial"/>
                <w:b/>
                <w:bCs/>
                <w:sz w:val="16"/>
                <w:szCs w:val="16"/>
              </w:rPr>
              <w:t>,0</w:t>
            </w:r>
          </w:p>
        </w:tc>
      </w:tr>
    </w:tbl>
    <w:p w:rsidR="0047041D" w:rsidRPr="000C4DCC" w:rsidRDefault="0047041D" w:rsidP="0047041D">
      <w:pPr>
        <w:tabs>
          <w:tab w:val="left" w:pos="142"/>
        </w:tabs>
        <w:spacing w:line="120" w:lineRule="exact"/>
        <w:ind w:left="142" w:hanging="142"/>
        <w:jc w:val="both"/>
        <w:rPr>
          <w:rFonts w:ascii="Arial Narrow" w:hAnsi="Arial Narrow" w:cs="Arial"/>
          <w:sz w:val="14"/>
          <w:szCs w:val="12"/>
        </w:rPr>
      </w:pPr>
      <w:r w:rsidRPr="000C4DCC">
        <w:rPr>
          <w:rFonts w:ascii="Arial Narrow" w:hAnsi="Arial Narrow" w:cs="Arial"/>
          <w:sz w:val="14"/>
          <w:szCs w:val="12"/>
        </w:rPr>
        <w:t>*</w:t>
      </w:r>
      <w:r w:rsidRPr="000C4DCC">
        <w:rPr>
          <w:rFonts w:ascii="Arial Narrow" w:hAnsi="Arial Narrow" w:cs="Arial"/>
          <w:sz w:val="14"/>
          <w:szCs w:val="12"/>
        </w:rPr>
        <w:tab/>
        <w:t xml:space="preserve">(+) αύξηση (-) μείωση. </w:t>
      </w:r>
    </w:p>
    <w:p w:rsidR="0047041D" w:rsidRPr="000C4DCC" w:rsidRDefault="0047041D" w:rsidP="0047041D">
      <w:pPr>
        <w:tabs>
          <w:tab w:val="left" w:pos="142"/>
        </w:tabs>
        <w:spacing w:line="120" w:lineRule="exact"/>
        <w:ind w:left="142" w:hanging="142"/>
        <w:jc w:val="both"/>
        <w:rPr>
          <w:rFonts w:ascii="Arial Narrow" w:hAnsi="Arial Narrow" w:cs="Arial"/>
          <w:sz w:val="14"/>
          <w:szCs w:val="12"/>
        </w:rPr>
      </w:pPr>
      <w:r w:rsidRPr="000C4DCC">
        <w:rPr>
          <w:rFonts w:ascii="Arial Narrow" w:hAnsi="Arial Narrow" w:cs="Arial"/>
          <w:sz w:val="14"/>
          <w:szCs w:val="12"/>
        </w:rPr>
        <w:t>** Τα συναλλαγματικά διαθέσιμα, σύμφωνα με τον ορισμό της Ευρωπαϊκής Κεντρικής Τράπεζας, περιλαμβάνουν μόνο το νομισματικό χρυσό, τη "συναλλαγματική θέση" στο Διεθνές Νομισματικό Ταμείο, τα "ειδικά τραβηκτικά δικαιώματα" και τις απαιτήσεις της Τράπεζας της Ελλάδος σε ξένο νόμισμα έναντι κατοίκων χωρών εκτός της ζώνης του ευρώ. Αντίθετα, δεν περιλαμβάνουν τις απαιτήσεις σε ευρώ έναντι κατοίκων χωρών εκτός της ζώνης του ευρώ, τις απαιτήσεις σε συνάλλαγμα και σε ευρώ έναντι κατοίκων χωρών της ζώνης του ευρώ, και τη συμμετοχή της Τράπεζας της Ελλάδος στο κεφάλαιο και στα συναλλαγματικά διαθέσιμα της ΕΚΤ.</w:t>
      </w:r>
    </w:p>
    <w:p w:rsidR="0047041D" w:rsidRPr="000C4DCC" w:rsidRDefault="0047041D" w:rsidP="0047041D">
      <w:pPr>
        <w:tabs>
          <w:tab w:val="left" w:pos="142"/>
        </w:tabs>
        <w:spacing w:line="120" w:lineRule="exact"/>
        <w:ind w:left="142" w:hanging="142"/>
        <w:jc w:val="both"/>
        <w:rPr>
          <w:rFonts w:ascii="Arial Narrow" w:hAnsi="Arial Narrow" w:cs="Arial"/>
          <w:sz w:val="20"/>
          <w:szCs w:val="20"/>
        </w:rPr>
      </w:pPr>
      <w:r w:rsidRPr="000C4DCC">
        <w:rPr>
          <w:rFonts w:ascii="Arial Narrow" w:hAnsi="Arial Narrow" w:cs="Arial"/>
          <w:sz w:val="14"/>
          <w:szCs w:val="12"/>
        </w:rPr>
        <w:t>Πηγή: Τράπεζα της Ελλάδος</w:t>
      </w:r>
    </w:p>
    <w:p w:rsidR="0047041D" w:rsidRDefault="0047041D" w:rsidP="0047041D"/>
    <w:p w:rsidR="00056876" w:rsidRDefault="00056876" w:rsidP="0047041D"/>
    <w:p w:rsidR="00AF5291" w:rsidRPr="007B4997" w:rsidRDefault="00AF5291" w:rsidP="00AF5291">
      <w:pPr>
        <w:ind w:left="567" w:hanging="567"/>
        <w:jc w:val="both"/>
        <w:rPr>
          <w:rFonts w:ascii="Arial Narrow" w:hAnsi="Arial Narrow"/>
          <w:b/>
          <w:color w:val="000080"/>
          <w:szCs w:val="22"/>
        </w:rPr>
      </w:pPr>
      <w:r>
        <w:rPr>
          <w:rFonts w:ascii="Arial Narrow" w:hAnsi="Arial Narrow"/>
          <w:b/>
          <w:color w:val="000080"/>
          <w:szCs w:val="22"/>
        </w:rPr>
        <w:lastRenderedPageBreak/>
        <w:t xml:space="preserve">2.4 </w:t>
      </w:r>
      <w:r w:rsidRPr="00E62FAB">
        <w:rPr>
          <w:rFonts w:ascii="Arial Narrow" w:hAnsi="Arial Narrow"/>
          <w:b/>
          <w:color w:val="000080"/>
          <w:szCs w:val="22"/>
        </w:rPr>
        <w:t xml:space="preserve">  </w:t>
      </w:r>
      <w:r w:rsidRPr="00E62FAB">
        <w:rPr>
          <w:rFonts w:ascii="Arial Narrow" w:hAnsi="Arial Narrow"/>
          <w:b/>
          <w:color w:val="000080"/>
          <w:szCs w:val="22"/>
        </w:rPr>
        <w:tab/>
      </w:r>
      <w:r>
        <w:rPr>
          <w:rFonts w:ascii="Arial Narrow" w:hAnsi="Arial Narrow"/>
          <w:b/>
          <w:color w:val="000080"/>
          <w:szCs w:val="22"/>
        </w:rPr>
        <w:t>Οι προοπτικές το 2021</w:t>
      </w:r>
    </w:p>
    <w:p w:rsidR="00AF5291" w:rsidRPr="00E01754" w:rsidRDefault="00AF5291" w:rsidP="00AF5291">
      <w:pPr>
        <w:spacing w:line="238" w:lineRule="auto"/>
        <w:jc w:val="both"/>
        <w:rPr>
          <w:szCs w:val="22"/>
        </w:rPr>
      </w:pPr>
    </w:p>
    <w:p w:rsidR="00AF5291" w:rsidRPr="009A26AD" w:rsidRDefault="00AF5291" w:rsidP="00AF5291">
      <w:pPr>
        <w:jc w:val="both"/>
        <w:rPr>
          <w:sz w:val="22"/>
          <w:szCs w:val="22"/>
        </w:rPr>
      </w:pPr>
      <w:r w:rsidRPr="009A26AD">
        <w:rPr>
          <w:sz w:val="22"/>
          <w:szCs w:val="22"/>
        </w:rPr>
        <w:t>Οι προοπτικές των οικονομιών παγκοσμίως χαρακτηρίζονται από υψηλή αβεβαιότητα, τόσο βραχ</w:t>
      </w:r>
      <w:r w:rsidRPr="009A26AD">
        <w:rPr>
          <w:sz w:val="22"/>
          <w:szCs w:val="22"/>
        </w:rPr>
        <w:t>υ</w:t>
      </w:r>
      <w:r w:rsidRPr="009A26AD">
        <w:rPr>
          <w:sz w:val="22"/>
          <w:szCs w:val="22"/>
        </w:rPr>
        <w:t>πρόθεσμα όσο και μεσοπρόθεσμα. Η αβεβαιότητα αυτή συνδέεται με το άγνωστο της διάρκειας της υγειονομικής κρίσης και την ταχύτητα εξόδου από τα περιοριστικά μέτρα παγκοσμίως, αλλά και με την ανθεκτικότητα των οικονομιών και την ικανότητά τους να απορροφήσουν τη μεγαλύτερη ύφεση που γνώρισαν μεταπολεμικά.</w:t>
      </w:r>
    </w:p>
    <w:p w:rsidR="00AF5291" w:rsidRPr="009A26AD" w:rsidRDefault="00AF5291" w:rsidP="00AF5291">
      <w:pPr>
        <w:jc w:val="both"/>
        <w:rPr>
          <w:sz w:val="22"/>
          <w:szCs w:val="22"/>
        </w:rPr>
      </w:pPr>
    </w:p>
    <w:p w:rsidR="00AF5291" w:rsidRPr="009A26AD" w:rsidRDefault="00AF5291" w:rsidP="00AF5291">
      <w:pPr>
        <w:jc w:val="both"/>
        <w:rPr>
          <w:sz w:val="22"/>
          <w:szCs w:val="22"/>
        </w:rPr>
      </w:pPr>
      <w:r w:rsidRPr="009A26AD">
        <w:rPr>
          <w:sz w:val="22"/>
          <w:szCs w:val="22"/>
        </w:rPr>
        <w:t>Η μεγαλύτερη της αρχικώς εκτιμώμενης ένταση της πανδημίας στην Ευρώπη το φθινόπωρο του 2020 και η περαιτέρω όξυνσή της εντός του τέταρτου τριμήνου</w:t>
      </w:r>
      <w:r w:rsidR="00F91237" w:rsidRPr="00F91237">
        <w:rPr>
          <w:sz w:val="22"/>
          <w:szCs w:val="22"/>
        </w:rPr>
        <w:t>,</w:t>
      </w:r>
      <w:r w:rsidRPr="009A26AD">
        <w:rPr>
          <w:sz w:val="22"/>
          <w:szCs w:val="22"/>
        </w:rPr>
        <w:t xml:space="preserve"> δημιουργεί μία αρνητική συγκυρία (επ</w:t>
      </w:r>
      <w:r w:rsidRPr="009A26AD">
        <w:rPr>
          <w:sz w:val="22"/>
          <w:szCs w:val="22"/>
        </w:rPr>
        <w:t>ί</w:t>
      </w:r>
      <w:r w:rsidRPr="009A26AD">
        <w:rPr>
          <w:sz w:val="22"/>
          <w:szCs w:val="22"/>
        </w:rPr>
        <w:t>δραση μεταφοράς) για τις οικονομικές προοπτικές στην αρχή του 2021. Για αυτόν τον λόγο, η εκδ</w:t>
      </w:r>
      <w:r w:rsidRPr="009A26AD">
        <w:rPr>
          <w:sz w:val="22"/>
          <w:szCs w:val="22"/>
        </w:rPr>
        <w:t>ή</w:t>
      </w:r>
      <w:r w:rsidRPr="009A26AD">
        <w:rPr>
          <w:sz w:val="22"/>
          <w:szCs w:val="22"/>
        </w:rPr>
        <w:t>λωση εύρωστων ρυθμών ανάκαμψης αναμένεται να καθυστερήσει να αποτυπωθεί στους ετήσιους ρυθμούς ανάπτυξης των χωρών το 2021, συμπεριλαμβανομένης και της Ελλάδας. Ήδη πριν τη συμπ</w:t>
      </w:r>
      <w:r w:rsidRPr="009A26AD">
        <w:rPr>
          <w:sz w:val="22"/>
          <w:szCs w:val="22"/>
        </w:rPr>
        <w:t>ε</w:t>
      </w:r>
      <w:r w:rsidRPr="009A26AD">
        <w:rPr>
          <w:sz w:val="22"/>
          <w:szCs w:val="22"/>
        </w:rPr>
        <w:t xml:space="preserve">ρίληψη των χειμερινών μέτρων καθολικού </w:t>
      </w:r>
      <w:r w:rsidRPr="009A26AD">
        <w:rPr>
          <w:sz w:val="22"/>
          <w:szCs w:val="22"/>
          <w:lang w:val="en-US"/>
        </w:rPr>
        <w:t>lockdown</w:t>
      </w:r>
      <w:r w:rsidRPr="009A26AD">
        <w:rPr>
          <w:sz w:val="22"/>
          <w:szCs w:val="22"/>
        </w:rPr>
        <w:t xml:space="preserve"> σε ορισμένες ευρωπαϊκές οικονομίες, οι πρ</w:t>
      </w:r>
      <w:r w:rsidRPr="009A26AD">
        <w:rPr>
          <w:sz w:val="22"/>
          <w:szCs w:val="22"/>
        </w:rPr>
        <w:t>ο</w:t>
      </w:r>
      <w:r w:rsidRPr="009A26AD">
        <w:rPr>
          <w:sz w:val="22"/>
          <w:szCs w:val="22"/>
        </w:rPr>
        <w:t>βλέψεις της Ευρωπαϊκής Επιτροπής (Νοέμβριος 2020) σκιαγραφούν μία εικόνα μερικής ανάκαμψης για την Ευρωζώνη το 2021, με ανάκτηση λιγότερου από το 50% των απωλειών του 2020 σε όρους πραγματικού εγχώριου προϊόντος. Η αντίστοιχη εθνική πρόβλεψη για την ελληνική οικονομία αντ</w:t>
      </w:r>
      <w:r w:rsidRPr="009A26AD">
        <w:rPr>
          <w:sz w:val="22"/>
          <w:szCs w:val="22"/>
        </w:rPr>
        <w:t>ι</w:t>
      </w:r>
      <w:r w:rsidRPr="009A26AD">
        <w:rPr>
          <w:sz w:val="22"/>
          <w:szCs w:val="22"/>
        </w:rPr>
        <w:t xml:space="preserve">στοιχεί σε ανάκτηση του 41,3% των απωλειών του 2020, ενσωματώνοντας ήδη την πλήρη επίδραση από την εφαρμογή του ολικού </w:t>
      </w:r>
      <w:r w:rsidRPr="009A26AD">
        <w:rPr>
          <w:sz w:val="22"/>
          <w:szCs w:val="22"/>
          <w:lang w:val="en-US"/>
        </w:rPr>
        <w:t>lockdown</w:t>
      </w:r>
      <w:r w:rsidRPr="009A26AD">
        <w:rPr>
          <w:sz w:val="22"/>
          <w:szCs w:val="22"/>
        </w:rPr>
        <w:t xml:space="preserve"> Νοεμβρίου 2020.</w:t>
      </w:r>
    </w:p>
    <w:p w:rsidR="00AF5291" w:rsidRPr="009A26AD" w:rsidRDefault="00AF5291" w:rsidP="00AF5291">
      <w:pPr>
        <w:jc w:val="both"/>
        <w:rPr>
          <w:sz w:val="22"/>
          <w:szCs w:val="22"/>
        </w:rPr>
      </w:pPr>
    </w:p>
    <w:p w:rsidR="00AF5291" w:rsidRPr="009A26AD" w:rsidRDefault="00CE5C7F" w:rsidP="00AF5291">
      <w:pPr>
        <w:jc w:val="both"/>
        <w:rPr>
          <w:sz w:val="22"/>
          <w:szCs w:val="22"/>
        </w:rPr>
      </w:pPr>
      <w:r>
        <w:rPr>
          <w:sz w:val="22"/>
          <w:szCs w:val="22"/>
        </w:rPr>
        <w:t>Ωστόσο</w:t>
      </w:r>
      <w:r w:rsidR="00AF5291" w:rsidRPr="009A26AD">
        <w:rPr>
          <w:sz w:val="22"/>
          <w:szCs w:val="22"/>
        </w:rPr>
        <w:t>, αρκετοί παράγοντες συνηγορούν στην ταχεία επαναφορά της ελληνικής οικονομίας σε δι</w:t>
      </w:r>
      <w:r w:rsidR="00AF5291" w:rsidRPr="009A26AD">
        <w:rPr>
          <w:sz w:val="22"/>
          <w:szCs w:val="22"/>
        </w:rPr>
        <w:t>α</w:t>
      </w:r>
      <w:r w:rsidR="00AF5291" w:rsidRPr="009A26AD">
        <w:rPr>
          <w:sz w:val="22"/>
          <w:szCs w:val="22"/>
        </w:rPr>
        <w:t>τηρήσιμη τροχιά ανάπτυξης, από το δεύτερο τρίμηνο του 2021. Μεταξύ αυτών είναι, αφενός, τα μ</w:t>
      </w:r>
      <w:r w:rsidR="00AF5291" w:rsidRPr="009A26AD">
        <w:rPr>
          <w:sz w:val="22"/>
          <w:szCs w:val="22"/>
        </w:rPr>
        <w:t>έ</w:t>
      </w:r>
      <w:r w:rsidR="00AF5291" w:rsidRPr="009A26AD">
        <w:rPr>
          <w:sz w:val="22"/>
          <w:szCs w:val="22"/>
        </w:rPr>
        <w:t xml:space="preserve">τρα </w:t>
      </w:r>
      <w:r w:rsidR="00E06BF1">
        <w:rPr>
          <w:sz w:val="22"/>
          <w:szCs w:val="22"/>
        </w:rPr>
        <w:t>που θα ε</w:t>
      </w:r>
      <w:r w:rsidR="00214E7D">
        <w:rPr>
          <w:sz w:val="22"/>
          <w:szCs w:val="22"/>
        </w:rPr>
        <w:t>φαρμοστούν</w:t>
      </w:r>
      <w:r w:rsidR="00E06BF1">
        <w:rPr>
          <w:sz w:val="22"/>
          <w:szCs w:val="22"/>
        </w:rPr>
        <w:t xml:space="preserve"> το 2021 </w:t>
      </w:r>
      <w:r w:rsidR="00AF5291" w:rsidRPr="009A26AD">
        <w:rPr>
          <w:sz w:val="22"/>
          <w:szCs w:val="22"/>
        </w:rPr>
        <w:t xml:space="preserve">για την ενίσχυση των εισοδημάτων και </w:t>
      </w:r>
      <w:r w:rsidR="00E06BF1">
        <w:rPr>
          <w:sz w:val="22"/>
          <w:szCs w:val="22"/>
        </w:rPr>
        <w:t>τη στήριξη των επιχειρήσ</w:t>
      </w:r>
      <w:r w:rsidR="00E06BF1">
        <w:rPr>
          <w:sz w:val="22"/>
          <w:szCs w:val="22"/>
        </w:rPr>
        <w:t>ε</w:t>
      </w:r>
      <w:r w:rsidR="00E06BF1">
        <w:rPr>
          <w:sz w:val="22"/>
          <w:szCs w:val="22"/>
        </w:rPr>
        <w:t xml:space="preserve">ων και </w:t>
      </w:r>
      <w:r w:rsidR="00AF5291" w:rsidRPr="009A26AD">
        <w:rPr>
          <w:sz w:val="22"/>
          <w:szCs w:val="22"/>
        </w:rPr>
        <w:t xml:space="preserve">της απασχόλησης στο πλαίσιο αντιμετώπισης των επιπτώσεων της πανδημίας, </w:t>
      </w:r>
      <w:r w:rsidR="00E06BF1">
        <w:rPr>
          <w:sz w:val="22"/>
          <w:szCs w:val="22"/>
        </w:rPr>
        <w:t xml:space="preserve">ύψους 7,5 </w:t>
      </w:r>
      <w:r w:rsidR="00214E7D" w:rsidRPr="00214E7D">
        <w:rPr>
          <w:sz w:val="22"/>
          <w:szCs w:val="22"/>
        </w:rPr>
        <w:t>δισ.</w:t>
      </w:r>
      <w:r w:rsidR="00214E7D">
        <w:rPr>
          <w:sz w:val="22"/>
          <w:szCs w:val="22"/>
        </w:rPr>
        <w:t xml:space="preserve"> </w:t>
      </w:r>
      <w:r w:rsidR="00E06BF1">
        <w:rPr>
          <w:sz w:val="22"/>
          <w:szCs w:val="22"/>
        </w:rPr>
        <w:t>ευρώ</w:t>
      </w:r>
      <w:r w:rsidR="00AF5291" w:rsidRPr="009A26AD">
        <w:rPr>
          <w:sz w:val="22"/>
          <w:szCs w:val="22"/>
        </w:rPr>
        <w:t xml:space="preserve">, τα οποία αναμένεται να επιδράσουν θετικά στο πραγματικό ΑΕΠ κατά  </w:t>
      </w:r>
      <w:r w:rsidR="00E06BF1">
        <w:rPr>
          <w:sz w:val="22"/>
          <w:szCs w:val="22"/>
        </w:rPr>
        <w:t xml:space="preserve">2,5% </w:t>
      </w:r>
      <w:r w:rsidR="00AF5291" w:rsidRPr="009A26AD">
        <w:rPr>
          <w:sz w:val="22"/>
          <w:szCs w:val="22"/>
        </w:rPr>
        <w:t>του ΑΕΠ του 2020. Αφετέρου, βάσιμη υπόθεση αποτελεί η επιτάχυνση των μεταρρυθμίσεων, εν μέσω ευνοϊκότερης οικονομικής συγκυρίας και σταθερού πολιτικού προσανατολισμού. Είναι ενδεικτικό ότι, ακόμα και εντός της κρίσης της πανδημίας, η μεταρρυθμιστική πρόοδος στην Ελλάδα διατηρήθηκε, όπως αν</w:t>
      </w:r>
      <w:r w:rsidR="00AF5291" w:rsidRPr="009A26AD">
        <w:rPr>
          <w:sz w:val="22"/>
          <w:szCs w:val="22"/>
        </w:rPr>
        <w:t>α</w:t>
      </w:r>
      <w:r w:rsidR="00AF5291" w:rsidRPr="009A26AD">
        <w:rPr>
          <w:sz w:val="22"/>
          <w:szCs w:val="22"/>
        </w:rPr>
        <w:t xml:space="preserve">γνωρίστηκε στην Έβδομη Έκθεση Ενισχυμένης Εποπτείας για τη χώρα, τον Σεπτέμβριο του 2020. Στην ίδια βάση, η αναβάθμιση της πιστοληπτικής ικανότητας της χώρας από τον οίκο αξιολόγησης </w:t>
      </w:r>
      <w:r w:rsidR="00AF5291" w:rsidRPr="009A26AD">
        <w:rPr>
          <w:sz w:val="22"/>
          <w:szCs w:val="22"/>
          <w:lang w:val="en-US"/>
        </w:rPr>
        <w:t>Moody</w:t>
      </w:r>
      <w:r w:rsidR="00AF5291" w:rsidRPr="009A26AD">
        <w:rPr>
          <w:sz w:val="22"/>
          <w:szCs w:val="22"/>
        </w:rPr>
        <w:t>’</w:t>
      </w:r>
      <w:r w:rsidR="00AF5291" w:rsidRPr="009A26AD">
        <w:rPr>
          <w:sz w:val="22"/>
          <w:szCs w:val="22"/>
          <w:lang w:val="en-US"/>
        </w:rPr>
        <w:t>s</w:t>
      </w:r>
      <w:r w:rsidR="00AF5291" w:rsidRPr="009A26AD">
        <w:rPr>
          <w:sz w:val="22"/>
          <w:szCs w:val="22"/>
        </w:rPr>
        <w:t xml:space="preserve"> σε Β</w:t>
      </w:r>
      <w:r w:rsidR="00AF5291" w:rsidRPr="009A26AD">
        <w:rPr>
          <w:sz w:val="22"/>
          <w:szCs w:val="22"/>
          <w:lang w:val="en-US"/>
        </w:rPr>
        <w:t>a</w:t>
      </w:r>
      <w:r w:rsidR="00AF5291" w:rsidRPr="009A26AD">
        <w:rPr>
          <w:sz w:val="22"/>
          <w:szCs w:val="22"/>
        </w:rPr>
        <w:t xml:space="preserve">3 από Β1 στις 6 Νοεμβρίου 2020, παρά το ανακοινωμένο δεύτερο </w:t>
      </w:r>
      <w:r w:rsidR="00AF5291" w:rsidRPr="009A26AD">
        <w:rPr>
          <w:sz w:val="22"/>
          <w:szCs w:val="22"/>
          <w:lang w:val="en-US"/>
        </w:rPr>
        <w:t>lockdown</w:t>
      </w:r>
      <w:r w:rsidR="00AF5291" w:rsidRPr="009A26AD">
        <w:rPr>
          <w:sz w:val="22"/>
          <w:szCs w:val="22"/>
        </w:rPr>
        <w:t xml:space="preserve"> για το </w:t>
      </w:r>
      <w:r w:rsidR="00AF5291" w:rsidRPr="009A26AD">
        <w:rPr>
          <w:sz w:val="22"/>
          <w:szCs w:val="22"/>
        </w:rPr>
        <w:t>έ</w:t>
      </w:r>
      <w:r w:rsidR="00AF5291" w:rsidRPr="009A26AD">
        <w:rPr>
          <w:sz w:val="22"/>
          <w:szCs w:val="22"/>
        </w:rPr>
        <w:t>τος, καταδεικνύει τον προσωρινό χαρακτήρα της ύφεσης του 2020 και τις προοπτικές γρήγορης επ</w:t>
      </w:r>
      <w:r w:rsidR="00AF5291" w:rsidRPr="009A26AD">
        <w:rPr>
          <w:sz w:val="22"/>
          <w:szCs w:val="22"/>
        </w:rPr>
        <w:t>α</w:t>
      </w:r>
      <w:r w:rsidR="00AF5291" w:rsidRPr="009A26AD">
        <w:rPr>
          <w:sz w:val="22"/>
          <w:szCs w:val="22"/>
        </w:rPr>
        <w:t>ναφοράς σε συνθήκες δυναμικής ανάπτυξης για τη χώρα.</w:t>
      </w:r>
    </w:p>
    <w:p w:rsidR="00AF5291" w:rsidRPr="009A26AD" w:rsidRDefault="00AF5291" w:rsidP="00AF5291">
      <w:pPr>
        <w:jc w:val="both"/>
        <w:rPr>
          <w:sz w:val="22"/>
          <w:szCs w:val="22"/>
        </w:rPr>
      </w:pPr>
    </w:p>
    <w:p w:rsidR="00AF5291" w:rsidRPr="009A26AD" w:rsidRDefault="00AF5291" w:rsidP="00AF5291">
      <w:pPr>
        <w:jc w:val="both"/>
        <w:rPr>
          <w:sz w:val="22"/>
          <w:szCs w:val="22"/>
        </w:rPr>
      </w:pPr>
      <w:r w:rsidRPr="009A26AD">
        <w:rPr>
          <w:sz w:val="22"/>
          <w:szCs w:val="22"/>
        </w:rPr>
        <w:t>Επιπλέον, η συμβολή στην ανάπτυξη των ευρωπαϊκών κονδυλίων του Μηχανισμού Ανάκαμψης και Ανθεκτικότητας (</w:t>
      </w:r>
      <w:r w:rsidRPr="009A26AD">
        <w:rPr>
          <w:sz w:val="22"/>
          <w:szCs w:val="22"/>
          <w:lang w:val="en-US"/>
        </w:rPr>
        <w:t>Recovery</w:t>
      </w:r>
      <w:r w:rsidRPr="009A26AD">
        <w:rPr>
          <w:sz w:val="22"/>
          <w:szCs w:val="22"/>
        </w:rPr>
        <w:t xml:space="preserve"> </w:t>
      </w:r>
      <w:r w:rsidRPr="009A26AD">
        <w:rPr>
          <w:sz w:val="22"/>
          <w:szCs w:val="22"/>
          <w:lang w:val="en-US"/>
        </w:rPr>
        <w:t>and</w:t>
      </w:r>
      <w:r w:rsidRPr="009A26AD">
        <w:rPr>
          <w:sz w:val="22"/>
          <w:szCs w:val="22"/>
        </w:rPr>
        <w:t xml:space="preserve"> </w:t>
      </w:r>
      <w:r w:rsidRPr="009A26AD">
        <w:rPr>
          <w:sz w:val="22"/>
          <w:szCs w:val="22"/>
          <w:lang w:val="en-US"/>
        </w:rPr>
        <w:t>Resilience</w:t>
      </w:r>
      <w:r w:rsidRPr="009A26AD">
        <w:rPr>
          <w:sz w:val="22"/>
          <w:szCs w:val="22"/>
        </w:rPr>
        <w:t xml:space="preserve"> </w:t>
      </w:r>
      <w:r w:rsidRPr="009A26AD">
        <w:rPr>
          <w:sz w:val="22"/>
          <w:szCs w:val="22"/>
          <w:lang w:val="en-US"/>
        </w:rPr>
        <w:t>Facility</w:t>
      </w:r>
      <w:r w:rsidRPr="009A26AD">
        <w:rPr>
          <w:sz w:val="22"/>
          <w:szCs w:val="22"/>
        </w:rPr>
        <w:t>) του Σχεδίου Ανάκαμψης αναμένεται να φτάσει το 2021 το 2,1% του ΑΕΠ, καταδεικνύοντας τα βραχυχρόνια οφέλη που συμπληρώνουν την επίδραση του Μηχανισμού σε όρους μακροπρόθεσμου μετασχηματισμού της οικονομίας.</w:t>
      </w:r>
    </w:p>
    <w:p w:rsidR="00AF5291" w:rsidRPr="009A26AD" w:rsidRDefault="00AF5291" w:rsidP="00AF5291">
      <w:pPr>
        <w:jc w:val="both"/>
        <w:rPr>
          <w:sz w:val="22"/>
          <w:szCs w:val="22"/>
        </w:rPr>
      </w:pPr>
    </w:p>
    <w:p w:rsidR="00AF5291" w:rsidRPr="009A26AD" w:rsidRDefault="00AF5291" w:rsidP="00AF5291">
      <w:pPr>
        <w:jc w:val="both"/>
        <w:rPr>
          <w:sz w:val="22"/>
          <w:szCs w:val="22"/>
        </w:rPr>
      </w:pPr>
      <w:r w:rsidRPr="009A26AD">
        <w:rPr>
          <w:sz w:val="22"/>
          <w:szCs w:val="22"/>
        </w:rPr>
        <w:t>Στη βάση των ανωτέρω, και συμπεριλαμβανομένης της αναθεωρημένης επί τα χείρω εκτίμησης για το βάθος της πανδημίας (σε συμβατότητα με την αναφορά στους καθοδικούς κίνδυνους των οικονομικών προοπτικών που είχε γίνει στο Κεφάλαιο 1 του Προσχεδίου του Κρατικού Προϋπολογισμού 2021), το πραγματικό ΑΕΠ αναμένεται να διαμορφωθεί κάτω από το επίπεδο του 2019 κατά 6,2 ποσοστιαίες μονάδες, με ετήσιο ρυθμό αύξησης</w:t>
      </w:r>
      <w:r w:rsidR="00CF1B7B">
        <w:rPr>
          <w:sz w:val="22"/>
          <w:szCs w:val="22"/>
        </w:rPr>
        <w:t xml:space="preserve"> σε σχέση με το 2020,</w:t>
      </w:r>
      <w:r w:rsidRPr="009A26AD">
        <w:rPr>
          <w:sz w:val="22"/>
          <w:szCs w:val="22"/>
        </w:rPr>
        <w:t xml:space="preserve"> 4,8%.</w:t>
      </w:r>
    </w:p>
    <w:p w:rsidR="00AF5291" w:rsidRPr="009A26AD" w:rsidRDefault="00AF5291" w:rsidP="00AF5291">
      <w:pPr>
        <w:jc w:val="both"/>
        <w:rPr>
          <w:sz w:val="22"/>
          <w:szCs w:val="22"/>
        </w:rPr>
      </w:pPr>
    </w:p>
    <w:p w:rsidR="00AF5291" w:rsidRPr="009A26AD" w:rsidRDefault="00AF5291" w:rsidP="00AF5291">
      <w:pPr>
        <w:jc w:val="both"/>
        <w:rPr>
          <w:sz w:val="22"/>
          <w:szCs w:val="22"/>
        </w:rPr>
      </w:pPr>
      <w:r w:rsidRPr="009A26AD">
        <w:rPr>
          <w:sz w:val="22"/>
          <w:szCs w:val="22"/>
        </w:rPr>
        <w:t>Στην ανάκτηση μέρους της χαμένης δυναμικής αναμένεται να συμβάλουν όλες οι συνιστώσες της ε</w:t>
      </w:r>
      <w:r w:rsidRPr="009A26AD">
        <w:rPr>
          <w:sz w:val="22"/>
          <w:szCs w:val="22"/>
        </w:rPr>
        <w:t>γ</w:t>
      </w:r>
      <w:r w:rsidRPr="009A26AD">
        <w:rPr>
          <w:sz w:val="22"/>
          <w:szCs w:val="22"/>
        </w:rPr>
        <w:t xml:space="preserve">χώριας ζήτησης πλην της δημόσιας κατανάλωσης, η οποία προβλέπεται ότι θα μειωθεί κατά 1,9%, </w:t>
      </w:r>
      <w:r w:rsidRPr="009A26AD">
        <w:rPr>
          <w:sz w:val="22"/>
          <w:szCs w:val="22"/>
        </w:rPr>
        <w:t>έ</w:t>
      </w:r>
      <w:r w:rsidRPr="009A26AD">
        <w:rPr>
          <w:sz w:val="22"/>
          <w:szCs w:val="22"/>
        </w:rPr>
        <w:t>ναντι αύξησής της κατά 2,1% το 2020 λόγω των υψηλών δαπανών για την αντιμετώπιση της πανδημ</w:t>
      </w:r>
      <w:r w:rsidRPr="009A26AD">
        <w:rPr>
          <w:sz w:val="22"/>
          <w:szCs w:val="22"/>
        </w:rPr>
        <w:t>ί</w:t>
      </w:r>
      <w:r w:rsidRPr="009A26AD">
        <w:rPr>
          <w:sz w:val="22"/>
          <w:szCs w:val="22"/>
        </w:rPr>
        <w:t>ας.</w:t>
      </w:r>
    </w:p>
    <w:p w:rsidR="00AF5291" w:rsidRPr="009A26AD" w:rsidRDefault="00AF5291" w:rsidP="00AF5291">
      <w:pPr>
        <w:jc w:val="both"/>
        <w:rPr>
          <w:sz w:val="22"/>
          <w:szCs w:val="22"/>
        </w:rPr>
      </w:pPr>
    </w:p>
    <w:p w:rsidR="00AF5291" w:rsidRPr="009A26AD" w:rsidRDefault="00AF5291" w:rsidP="00AF5291">
      <w:pPr>
        <w:jc w:val="both"/>
        <w:rPr>
          <w:sz w:val="22"/>
          <w:szCs w:val="22"/>
        </w:rPr>
      </w:pPr>
      <w:r w:rsidRPr="009A26AD">
        <w:rPr>
          <w:sz w:val="22"/>
          <w:szCs w:val="22"/>
        </w:rPr>
        <w:t>Η πραγματική ιδιωτική κατανάλωση αναμένεται να στηριχθεί από την εκ νέου θετική προοπτική της αγοράς εργασίας, αυξανόμενη κατά 3,0% έναντι του 2020. Η συνολική και η μισθωτή απασχόληση εκτιμάται ότι θα αυξηθούν κατά 3,8% και 4,5% αντίστοιχα, εν μέσω αύξησης του οικονομικά ενεργού πληθυσμού κατά 2,7% σε ετήσια βάση.</w:t>
      </w:r>
    </w:p>
    <w:p w:rsidR="00AF5291" w:rsidRPr="009A26AD" w:rsidRDefault="00AF5291" w:rsidP="00AF5291">
      <w:pPr>
        <w:jc w:val="both"/>
        <w:rPr>
          <w:sz w:val="22"/>
          <w:szCs w:val="22"/>
        </w:rPr>
      </w:pPr>
    </w:p>
    <w:p w:rsidR="00AF5291" w:rsidRPr="009A26AD" w:rsidRDefault="00AF5291" w:rsidP="00AF5291">
      <w:pPr>
        <w:jc w:val="both"/>
        <w:rPr>
          <w:sz w:val="22"/>
          <w:szCs w:val="22"/>
        </w:rPr>
      </w:pPr>
      <w:r w:rsidRPr="009A26AD">
        <w:rPr>
          <w:sz w:val="22"/>
          <w:szCs w:val="22"/>
        </w:rPr>
        <w:lastRenderedPageBreak/>
        <w:t xml:space="preserve">Για τις πραγματικές επενδύσεις, η ομαλή και έγκαιρη απορρόφηση των κονδυλίων από το Ταμείο </w:t>
      </w:r>
      <w:r w:rsidRPr="009A26AD">
        <w:rPr>
          <w:sz w:val="22"/>
          <w:szCs w:val="22"/>
        </w:rPr>
        <w:t>Α</w:t>
      </w:r>
      <w:r w:rsidRPr="009A26AD">
        <w:rPr>
          <w:sz w:val="22"/>
          <w:szCs w:val="22"/>
        </w:rPr>
        <w:t>νάκαμψης αποτελεί κλειδί, ώστε να προσεγγίσουν τη συνεισφορά της ιδιωτικής κατανάλωσης στο ΑΕΠ το 2021, αγγίζοντας ρυθμό ετήσιας αύξησης 23,2%. Τα κονδύλια του Μηχανισμού Ανάκαμψης και Ανθεκτικότητας εκτιμάται ότι θα κατευθυνθούν σε επενδύσεις κατά ποσοστό 70% της συνολικής κατανομής επιχορηγήσεων και δανείων για το έτος, με ισχυρά πολλαπλασιαστικά οφέλη για το σύν</w:t>
      </w:r>
      <w:r w:rsidRPr="009A26AD">
        <w:rPr>
          <w:sz w:val="22"/>
          <w:szCs w:val="22"/>
        </w:rPr>
        <w:t>ο</w:t>
      </w:r>
      <w:r w:rsidRPr="009A26AD">
        <w:rPr>
          <w:sz w:val="22"/>
          <w:szCs w:val="22"/>
        </w:rPr>
        <w:t>λο της οικονομίας, μέσω της ανάπτυξης υποδομών, δικτύων και των συνεργειών σε τεχνολογικούς τομείς.</w:t>
      </w:r>
    </w:p>
    <w:p w:rsidR="00AF5291" w:rsidRPr="009A26AD" w:rsidRDefault="00AF5291" w:rsidP="00AF5291">
      <w:pPr>
        <w:jc w:val="both"/>
        <w:rPr>
          <w:sz w:val="22"/>
          <w:szCs w:val="22"/>
        </w:rPr>
      </w:pPr>
    </w:p>
    <w:p w:rsidR="00AF5291" w:rsidRPr="009A26AD" w:rsidRDefault="00AF5291" w:rsidP="00AF5291">
      <w:pPr>
        <w:jc w:val="both"/>
        <w:rPr>
          <w:sz w:val="22"/>
          <w:szCs w:val="22"/>
        </w:rPr>
      </w:pPr>
      <w:r w:rsidRPr="009A26AD">
        <w:rPr>
          <w:sz w:val="22"/>
          <w:szCs w:val="22"/>
        </w:rPr>
        <w:t xml:space="preserve">Οι βελτιωμένες εξωτερικές υποθέσεις έναντι του 2020 όσον αφορά το παγκόσμιο εμπόριο και την </w:t>
      </w:r>
      <w:r w:rsidRPr="009A26AD">
        <w:rPr>
          <w:sz w:val="22"/>
          <w:szCs w:val="22"/>
        </w:rPr>
        <w:t>α</w:t>
      </w:r>
      <w:r w:rsidRPr="009A26AD">
        <w:rPr>
          <w:sz w:val="22"/>
          <w:szCs w:val="22"/>
        </w:rPr>
        <w:t>νάπτυξη στην Ευρωζώνη, αναμένεται να στηρίξουν την ανάκαμψη των μεταφορών και, μετριοπαθώς, του τουριστικού κλάδου, με τις καθαρές εξαγωγές υπηρεσιών να συμβάλλουν θετικά στο ΑΕΠ κατά 3,7 ποσοστιαίες μονάδες το 2021. Αντίθετα, οι καθαρές εξαγωγές αγαθών αναμένεται να μειωθούν κατά 2,9% του ΑΕΠ το 2021, εξαιτίας της μεγάλης αύξησης των εισαγωγών αγαθών εν μέσω επενδ</w:t>
      </w:r>
      <w:r w:rsidRPr="009A26AD">
        <w:rPr>
          <w:sz w:val="22"/>
          <w:szCs w:val="22"/>
        </w:rPr>
        <w:t>ύ</w:t>
      </w:r>
      <w:r w:rsidRPr="009A26AD">
        <w:rPr>
          <w:sz w:val="22"/>
          <w:szCs w:val="22"/>
        </w:rPr>
        <w:t>σεων σε κατασκευαστικό και τεχνολογικό εξοπλισμό στο πλαίσιο υλοποίησης του Μηχανισμού Αν</w:t>
      </w:r>
      <w:r w:rsidRPr="009A26AD">
        <w:rPr>
          <w:sz w:val="22"/>
          <w:szCs w:val="22"/>
        </w:rPr>
        <w:t>ά</w:t>
      </w:r>
      <w:r w:rsidRPr="009A26AD">
        <w:rPr>
          <w:sz w:val="22"/>
          <w:szCs w:val="22"/>
        </w:rPr>
        <w:t>καμψης και Ανθεκτικότητας.</w:t>
      </w:r>
    </w:p>
    <w:p w:rsidR="00AF5291" w:rsidRPr="009A26AD" w:rsidRDefault="00AF5291" w:rsidP="00AF5291">
      <w:pPr>
        <w:jc w:val="both"/>
        <w:rPr>
          <w:sz w:val="22"/>
          <w:szCs w:val="22"/>
        </w:rPr>
      </w:pPr>
    </w:p>
    <w:p w:rsidR="00AF5291" w:rsidRPr="009A26AD" w:rsidRDefault="00AF5291" w:rsidP="00AF5291">
      <w:pPr>
        <w:jc w:val="both"/>
        <w:rPr>
          <w:sz w:val="22"/>
          <w:szCs w:val="22"/>
        </w:rPr>
      </w:pPr>
      <w:r w:rsidRPr="009A26AD">
        <w:rPr>
          <w:sz w:val="22"/>
          <w:szCs w:val="22"/>
        </w:rPr>
        <w:t>Ο πληθωρισμός αναμένεται να κινηθεί ελαφρώς ανοδικά, δεδομένης της αναθερμασμένης ζήτησης, στο 0,6% έναντι του 2020, έναντι αύξησης του ονομαστικού μέσου μισθού κατά 1,3% σε ετήσια β</w:t>
      </w:r>
      <w:r w:rsidRPr="009A26AD">
        <w:rPr>
          <w:sz w:val="22"/>
          <w:szCs w:val="22"/>
        </w:rPr>
        <w:t>ά</w:t>
      </w:r>
      <w:r w:rsidRPr="009A26AD">
        <w:rPr>
          <w:sz w:val="22"/>
          <w:szCs w:val="22"/>
        </w:rPr>
        <w:t>ση.</w:t>
      </w:r>
    </w:p>
    <w:p w:rsidR="00AF5291" w:rsidRPr="009A26AD" w:rsidRDefault="00AF5291" w:rsidP="00AF5291">
      <w:pPr>
        <w:jc w:val="both"/>
        <w:rPr>
          <w:sz w:val="22"/>
          <w:szCs w:val="22"/>
        </w:rPr>
      </w:pPr>
    </w:p>
    <w:p w:rsidR="00AF5291" w:rsidRPr="009A26AD" w:rsidRDefault="00AF5291" w:rsidP="00AF5291">
      <w:pPr>
        <w:jc w:val="both"/>
        <w:rPr>
          <w:sz w:val="22"/>
          <w:szCs w:val="22"/>
        </w:rPr>
      </w:pPr>
      <w:r w:rsidRPr="009A26AD">
        <w:rPr>
          <w:sz w:val="22"/>
          <w:szCs w:val="22"/>
        </w:rPr>
        <w:t>Η ανεργία προβλέπεται στο 17,9% του εργατικού δυναμικού, βελτιωμένη κατά 1,0 ποσοστιαία μον</w:t>
      </w:r>
      <w:r w:rsidRPr="009A26AD">
        <w:rPr>
          <w:sz w:val="22"/>
          <w:szCs w:val="22"/>
        </w:rPr>
        <w:t>ά</w:t>
      </w:r>
      <w:r w:rsidRPr="009A26AD">
        <w:rPr>
          <w:sz w:val="22"/>
          <w:szCs w:val="22"/>
        </w:rPr>
        <w:t>δα έναντι του 2020, καθώς ο αριθμός ανέργων θα μειώνεται εκ νέου το 2021 και ο αριθμός απασχ</w:t>
      </w:r>
      <w:r w:rsidRPr="009A26AD">
        <w:rPr>
          <w:sz w:val="22"/>
          <w:szCs w:val="22"/>
        </w:rPr>
        <w:t>ο</w:t>
      </w:r>
      <w:r w:rsidRPr="009A26AD">
        <w:rPr>
          <w:sz w:val="22"/>
          <w:szCs w:val="22"/>
        </w:rPr>
        <w:t>λούμενων θα αυξάνεται, τόσο στους μισθωτούς όσο και στους αυτοαπασχολούμενους.</w:t>
      </w:r>
    </w:p>
    <w:p w:rsidR="00AF5291" w:rsidRDefault="00AF5291" w:rsidP="00AF5291">
      <w:pPr>
        <w:jc w:val="both"/>
        <w:rPr>
          <w:szCs w:val="22"/>
        </w:rPr>
      </w:pPr>
    </w:p>
    <w:p w:rsidR="00AF5291" w:rsidRDefault="00AF5291" w:rsidP="00AF5291">
      <w:pPr>
        <w:jc w:val="both"/>
        <w:rPr>
          <w:szCs w:val="22"/>
        </w:rPr>
      </w:pPr>
    </w:p>
    <w:p w:rsidR="00AF5291" w:rsidRPr="00E01754" w:rsidRDefault="00AF5291" w:rsidP="00AF5291">
      <w:pPr>
        <w:jc w:val="both"/>
        <w:rPr>
          <w:szCs w:val="22"/>
        </w:rPr>
      </w:pPr>
    </w:p>
    <w:tbl>
      <w:tblPr>
        <w:tblW w:w="0" w:type="auto"/>
        <w:jc w:val="center"/>
        <w:tblBorders>
          <w:top w:val="single" w:sz="4" w:space="0" w:color="auto"/>
          <w:left w:val="single" w:sz="4" w:space="0" w:color="auto"/>
          <w:bottom w:val="single" w:sz="4" w:space="0" w:color="auto"/>
          <w:right w:val="single" w:sz="4" w:space="0" w:color="auto"/>
        </w:tblBorders>
        <w:tblLook w:val="00A0"/>
      </w:tblPr>
      <w:tblGrid>
        <w:gridCol w:w="4071"/>
        <w:gridCol w:w="1018"/>
        <w:gridCol w:w="1080"/>
        <w:gridCol w:w="1026"/>
      </w:tblGrid>
      <w:tr w:rsidR="00AF5291" w:rsidRPr="006D6955" w:rsidTr="00F1131D">
        <w:trPr>
          <w:jc w:val="center"/>
        </w:trPr>
        <w:tc>
          <w:tcPr>
            <w:tcW w:w="7195" w:type="dxa"/>
            <w:gridSpan w:val="4"/>
            <w:tcBorders>
              <w:top w:val="single" w:sz="4" w:space="0" w:color="auto"/>
              <w:bottom w:val="single" w:sz="4" w:space="0" w:color="auto"/>
            </w:tcBorders>
            <w:shd w:val="clear" w:color="auto" w:fill="595959" w:themeFill="text1" w:themeFillTint="A6"/>
            <w:vAlign w:val="center"/>
          </w:tcPr>
          <w:p w:rsidR="00AF5291" w:rsidRPr="00F1131D" w:rsidRDefault="00056876" w:rsidP="00F1131D">
            <w:pPr>
              <w:snapToGrid w:val="0"/>
              <w:spacing w:before="120"/>
              <w:jc w:val="center"/>
              <w:rPr>
                <w:rFonts w:ascii="Arial Narrow" w:hAnsi="Arial Narrow"/>
                <w:b/>
                <w:bCs/>
                <w:color w:val="FFFFFF" w:themeColor="background1"/>
              </w:rPr>
            </w:pPr>
            <w:r>
              <w:rPr>
                <w:rFonts w:ascii="Arial Narrow" w:hAnsi="Arial Narrow"/>
                <w:b/>
                <w:bCs/>
                <w:color w:val="FFFFFF" w:themeColor="background1"/>
              </w:rPr>
              <w:t>Πίνακας 1.3  Βασικά μεγέθη της ε</w:t>
            </w:r>
            <w:r w:rsidR="00AF5291" w:rsidRPr="00F1131D">
              <w:rPr>
                <w:rFonts w:ascii="Arial Narrow" w:hAnsi="Arial Narrow"/>
                <w:b/>
                <w:bCs/>
                <w:color w:val="FFFFFF" w:themeColor="background1"/>
              </w:rPr>
              <w:t xml:space="preserve">λληνικής </w:t>
            </w:r>
            <w:r w:rsidR="00F1131D">
              <w:rPr>
                <w:rFonts w:ascii="Arial Narrow" w:hAnsi="Arial Narrow"/>
                <w:b/>
                <w:bCs/>
                <w:color w:val="FFFFFF" w:themeColor="background1"/>
              </w:rPr>
              <w:t>ο</w:t>
            </w:r>
            <w:r w:rsidR="00AF5291" w:rsidRPr="00F1131D">
              <w:rPr>
                <w:rFonts w:ascii="Arial Narrow" w:hAnsi="Arial Narrow"/>
                <w:b/>
                <w:bCs/>
                <w:color w:val="FFFFFF" w:themeColor="background1"/>
              </w:rPr>
              <w:t>ικονομίας</w:t>
            </w:r>
          </w:p>
          <w:p w:rsidR="00AF5291" w:rsidRPr="00F1131D" w:rsidRDefault="00AF5291" w:rsidP="00F1131D">
            <w:pPr>
              <w:snapToGrid w:val="0"/>
              <w:spacing w:after="120"/>
              <w:jc w:val="center"/>
              <w:rPr>
                <w:b/>
                <w:color w:val="FFFFFF" w:themeColor="background1"/>
              </w:rPr>
            </w:pPr>
            <w:r w:rsidRPr="00F1131D">
              <w:rPr>
                <w:rFonts w:ascii="Arial Narrow" w:hAnsi="Arial Narrow"/>
                <w:b/>
                <w:bCs/>
                <w:color w:val="FFFFFF" w:themeColor="background1"/>
              </w:rPr>
              <w:t>(% ετήσιες μεταβολές, σταθερές τιμές)</w:t>
            </w:r>
          </w:p>
        </w:tc>
      </w:tr>
      <w:tr w:rsidR="00F1131D" w:rsidRPr="006D6955" w:rsidTr="0043717B">
        <w:trPr>
          <w:jc w:val="center"/>
        </w:trPr>
        <w:tc>
          <w:tcPr>
            <w:tcW w:w="7195" w:type="dxa"/>
            <w:gridSpan w:val="4"/>
            <w:tcBorders>
              <w:top w:val="nil"/>
              <w:bottom w:val="single" w:sz="4" w:space="0" w:color="auto"/>
            </w:tcBorders>
            <w:vAlign w:val="center"/>
          </w:tcPr>
          <w:p w:rsidR="00F1131D" w:rsidRDefault="00F1131D" w:rsidP="005D4266">
            <w:pPr>
              <w:jc w:val="center"/>
              <w:rPr>
                <w:rFonts w:ascii="Arial Narrow" w:hAnsi="Arial Narrow"/>
                <w:b/>
                <w:sz w:val="16"/>
                <w:szCs w:val="16"/>
              </w:rPr>
            </w:pPr>
          </w:p>
        </w:tc>
      </w:tr>
      <w:tr w:rsidR="00AF5291" w:rsidRPr="006D6955" w:rsidTr="005D4266">
        <w:trPr>
          <w:jc w:val="center"/>
        </w:trPr>
        <w:tc>
          <w:tcPr>
            <w:tcW w:w="4071" w:type="dxa"/>
            <w:tcBorders>
              <w:top w:val="nil"/>
              <w:bottom w:val="single" w:sz="4" w:space="0" w:color="auto"/>
              <w:right w:val="single" w:sz="4" w:space="0" w:color="auto"/>
            </w:tcBorders>
            <w:vAlign w:val="center"/>
          </w:tcPr>
          <w:p w:rsidR="00AF5291" w:rsidRPr="00E545C6" w:rsidRDefault="00AF5291" w:rsidP="00F1131D">
            <w:pPr>
              <w:spacing w:before="80" w:after="80"/>
              <w:jc w:val="center"/>
              <w:rPr>
                <w:rFonts w:ascii="Arial Narrow" w:hAnsi="Arial Narrow"/>
                <w:b/>
                <w:sz w:val="16"/>
                <w:szCs w:val="16"/>
              </w:rPr>
            </w:pPr>
          </w:p>
        </w:tc>
        <w:tc>
          <w:tcPr>
            <w:tcW w:w="1018" w:type="dxa"/>
            <w:tcBorders>
              <w:top w:val="single" w:sz="4" w:space="0" w:color="auto"/>
              <w:left w:val="single" w:sz="4" w:space="0" w:color="auto"/>
              <w:bottom w:val="single" w:sz="4" w:space="0" w:color="auto"/>
              <w:right w:val="single" w:sz="4" w:space="0" w:color="auto"/>
            </w:tcBorders>
            <w:vAlign w:val="center"/>
          </w:tcPr>
          <w:p w:rsidR="00AF5291" w:rsidRPr="00E545C6" w:rsidRDefault="00AF5291" w:rsidP="00F1131D">
            <w:pPr>
              <w:spacing w:before="80" w:after="80"/>
              <w:jc w:val="center"/>
              <w:rPr>
                <w:rFonts w:ascii="Arial Narrow" w:hAnsi="Arial Narrow"/>
                <w:b/>
                <w:sz w:val="16"/>
                <w:szCs w:val="16"/>
              </w:rPr>
            </w:pPr>
            <w:r>
              <w:rPr>
                <w:rFonts w:ascii="Arial Narrow" w:hAnsi="Arial Narrow"/>
                <w:b/>
                <w:sz w:val="16"/>
                <w:szCs w:val="16"/>
              </w:rPr>
              <w:t>2019</w:t>
            </w:r>
          </w:p>
        </w:tc>
        <w:tc>
          <w:tcPr>
            <w:tcW w:w="1080" w:type="dxa"/>
            <w:tcBorders>
              <w:top w:val="nil"/>
              <w:left w:val="single" w:sz="4" w:space="0" w:color="auto"/>
              <w:bottom w:val="single" w:sz="4" w:space="0" w:color="auto"/>
              <w:right w:val="single" w:sz="4" w:space="0" w:color="auto"/>
            </w:tcBorders>
            <w:vAlign w:val="center"/>
          </w:tcPr>
          <w:p w:rsidR="00AF5291" w:rsidRPr="00E545C6" w:rsidRDefault="00AF5291" w:rsidP="00F1131D">
            <w:pPr>
              <w:spacing w:before="80" w:after="80"/>
              <w:jc w:val="center"/>
              <w:rPr>
                <w:rFonts w:ascii="Arial Narrow" w:hAnsi="Arial Narrow"/>
                <w:b/>
                <w:sz w:val="16"/>
                <w:szCs w:val="16"/>
              </w:rPr>
            </w:pPr>
            <w:r>
              <w:rPr>
                <w:rFonts w:ascii="Arial Narrow" w:hAnsi="Arial Narrow"/>
                <w:b/>
                <w:sz w:val="16"/>
                <w:szCs w:val="16"/>
              </w:rPr>
              <w:t>2020</w:t>
            </w:r>
            <w:r w:rsidRPr="00E545C6">
              <w:rPr>
                <w:rFonts w:ascii="Arial Narrow" w:hAnsi="Arial Narrow"/>
                <w:b/>
                <w:sz w:val="16"/>
                <w:szCs w:val="16"/>
              </w:rPr>
              <w:t>**</w:t>
            </w:r>
          </w:p>
        </w:tc>
        <w:tc>
          <w:tcPr>
            <w:tcW w:w="1026" w:type="dxa"/>
            <w:tcBorders>
              <w:left w:val="single" w:sz="4" w:space="0" w:color="auto"/>
              <w:bottom w:val="single" w:sz="4" w:space="0" w:color="auto"/>
            </w:tcBorders>
          </w:tcPr>
          <w:p w:rsidR="00AF5291" w:rsidRPr="00E545C6" w:rsidRDefault="00AF5291" w:rsidP="00F1131D">
            <w:pPr>
              <w:spacing w:before="80" w:after="80"/>
              <w:jc w:val="center"/>
              <w:rPr>
                <w:rFonts w:ascii="Arial Narrow" w:hAnsi="Arial Narrow"/>
                <w:b/>
                <w:sz w:val="16"/>
                <w:szCs w:val="16"/>
              </w:rPr>
            </w:pPr>
            <w:r>
              <w:rPr>
                <w:rFonts w:ascii="Arial Narrow" w:hAnsi="Arial Narrow"/>
                <w:b/>
                <w:sz w:val="16"/>
                <w:szCs w:val="16"/>
              </w:rPr>
              <w:t>2021</w:t>
            </w:r>
            <w:r w:rsidRPr="00E545C6">
              <w:rPr>
                <w:rFonts w:ascii="Arial Narrow" w:hAnsi="Arial Narrow"/>
                <w:b/>
                <w:sz w:val="16"/>
                <w:szCs w:val="16"/>
              </w:rPr>
              <w:t>**</w:t>
            </w:r>
          </w:p>
        </w:tc>
      </w:tr>
      <w:tr w:rsidR="00AF5291" w:rsidRPr="006D6955" w:rsidTr="00F1131D">
        <w:trPr>
          <w:jc w:val="center"/>
        </w:trPr>
        <w:tc>
          <w:tcPr>
            <w:tcW w:w="4071" w:type="dxa"/>
            <w:tcBorders>
              <w:top w:val="single" w:sz="4" w:space="0" w:color="auto"/>
              <w:bottom w:val="nil"/>
              <w:right w:val="nil"/>
            </w:tcBorders>
            <w:shd w:val="clear" w:color="auto" w:fill="D9D9D9" w:themeFill="background1" w:themeFillShade="D9"/>
          </w:tcPr>
          <w:p w:rsidR="00AF5291" w:rsidRPr="00E545C6" w:rsidRDefault="00AF5291" w:rsidP="005D4266">
            <w:pPr>
              <w:jc w:val="both"/>
              <w:rPr>
                <w:rFonts w:ascii="Arial Narrow" w:hAnsi="Arial Narrow"/>
                <w:sz w:val="16"/>
                <w:szCs w:val="16"/>
              </w:rPr>
            </w:pPr>
            <w:r w:rsidRPr="00E545C6">
              <w:rPr>
                <w:rFonts w:ascii="Arial Narrow" w:hAnsi="Arial Narrow"/>
                <w:sz w:val="16"/>
                <w:szCs w:val="16"/>
              </w:rPr>
              <w:t>ΑΕΠ</w:t>
            </w:r>
          </w:p>
        </w:tc>
        <w:tc>
          <w:tcPr>
            <w:tcW w:w="1018" w:type="dxa"/>
            <w:tcBorders>
              <w:top w:val="single" w:sz="4" w:space="0" w:color="auto"/>
              <w:left w:val="nil"/>
              <w:bottom w:val="nil"/>
              <w:right w:val="nil"/>
            </w:tcBorders>
            <w:shd w:val="clear" w:color="auto" w:fill="D9D9D9" w:themeFill="background1" w:themeFillShade="D9"/>
            <w:vAlign w:val="bottom"/>
          </w:tcPr>
          <w:p w:rsidR="00AF5291" w:rsidRPr="00E545C6" w:rsidRDefault="00AF5291" w:rsidP="005D4266">
            <w:pPr>
              <w:tabs>
                <w:tab w:val="decimal" w:pos="413"/>
              </w:tabs>
              <w:jc w:val="both"/>
              <w:rPr>
                <w:rFonts w:ascii="Arial Narrow" w:hAnsi="Arial Narrow"/>
                <w:sz w:val="16"/>
                <w:szCs w:val="16"/>
              </w:rPr>
            </w:pPr>
            <w:r w:rsidRPr="00E545C6">
              <w:rPr>
                <w:rFonts w:ascii="Arial Narrow" w:hAnsi="Arial Narrow"/>
                <w:sz w:val="16"/>
                <w:szCs w:val="16"/>
              </w:rPr>
              <w:t>1,9</w:t>
            </w:r>
          </w:p>
        </w:tc>
        <w:tc>
          <w:tcPr>
            <w:tcW w:w="1080" w:type="dxa"/>
            <w:tcBorders>
              <w:top w:val="single" w:sz="4" w:space="0" w:color="auto"/>
              <w:left w:val="nil"/>
              <w:bottom w:val="nil"/>
              <w:right w:val="nil"/>
            </w:tcBorders>
            <w:shd w:val="clear" w:color="auto" w:fill="D9D9D9" w:themeFill="background1" w:themeFillShade="D9"/>
            <w:vAlign w:val="bottom"/>
          </w:tcPr>
          <w:p w:rsidR="00AF5291" w:rsidRPr="00E545C6" w:rsidRDefault="00AF5291" w:rsidP="005D4266">
            <w:pPr>
              <w:tabs>
                <w:tab w:val="decimal" w:pos="381"/>
              </w:tabs>
              <w:jc w:val="both"/>
              <w:rPr>
                <w:rFonts w:ascii="Arial Narrow" w:hAnsi="Arial Narrow"/>
                <w:sz w:val="16"/>
                <w:szCs w:val="16"/>
              </w:rPr>
            </w:pPr>
            <w:r>
              <w:rPr>
                <w:rFonts w:ascii="Arial Narrow" w:hAnsi="Arial Narrow"/>
                <w:sz w:val="16"/>
                <w:szCs w:val="16"/>
              </w:rPr>
              <w:t>-10,5</w:t>
            </w:r>
          </w:p>
        </w:tc>
        <w:tc>
          <w:tcPr>
            <w:tcW w:w="1026" w:type="dxa"/>
            <w:tcBorders>
              <w:top w:val="single" w:sz="4" w:space="0" w:color="auto"/>
              <w:left w:val="nil"/>
              <w:bottom w:val="nil"/>
            </w:tcBorders>
            <w:shd w:val="clear" w:color="auto" w:fill="D9D9D9" w:themeFill="background1" w:themeFillShade="D9"/>
            <w:vAlign w:val="bottom"/>
          </w:tcPr>
          <w:p w:rsidR="00AF5291" w:rsidRPr="00E545C6" w:rsidRDefault="00AF5291" w:rsidP="005D4266">
            <w:pPr>
              <w:tabs>
                <w:tab w:val="decimal" w:pos="381"/>
              </w:tabs>
              <w:jc w:val="both"/>
              <w:rPr>
                <w:rFonts w:ascii="Arial Narrow" w:hAnsi="Arial Narrow"/>
                <w:sz w:val="16"/>
                <w:szCs w:val="16"/>
              </w:rPr>
            </w:pPr>
            <w:r>
              <w:rPr>
                <w:rFonts w:ascii="Arial Narrow" w:hAnsi="Arial Narrow"/>
                <w:sz w:val="16"/>
                <w:szCs w:val="16"/>
              </w:rPr>
              <w:t>4,8</w:t>
            </w:r>
          </w:p>
        </w:tc>
      </w:tr>
      <w:tr w:rsidR="00AF5291" w:rsidRPr="006D6955" w:rsidTr="005D4266">
        <w:trPr>
          <w:jc w:val="center"/>
        </w:trPr>
        <w:tc>
          <w:tcPr>
            <w:tcW w:w="4071" w:type="dxa"/>
            <w:tcBorders>
              <w:top w:val="nil"/>
              <w:bottom w:val="nil"/>
              <w:right w:val="nil"/>
            </w:tcBorders>
          </w:tcPr>
          <w:p w:rsidR="00AF5291" w:rsidRPr="00E545C6" w:rsidRDefault="00AF5291" w:rsidP="005D4266">
            <w:pPr>
              <w:jc w:val="both"/>
              <w:rPr>
                <w:rFonts w:ascii="Arial Narrow" w:hAnsi="Arial Narrow"/>
                <w:sz w:val="16"/>
                <w:szCs w:val="16"/>
              </w:rPr>
            </w:pPr>
            <w:r w:rsidRPr="00E545C6">
              <w:rPr>
                <w:rFonts w:ascii="Arial Narrow" w:hAnsi="Arial Narrow"/>
                <w:sz w:val="16"/>
                <w:szCs w:val="16"/>
              </w:rPr>
              <w:t>Ιδιωτική κατανάλωση</w:t>
            </w:r>
          </w:p>
        </w:tc>
        <w:tc>
          <w:tcPr>
            <w:tcW w:w="1018" w:type="dxa"/>
            <w:tcBorders>
              <w:top w:val="nil"/>
              <w:left w:val="nil"/>
              <w:bottom w:val="nil"/>
              <w:right w:val="nil"/>
            </w:tcBorders>
            <w:vAlign w:val="bottom"/>
          </w:tcPr>
          <w:p w:rsidR="00AF5291" w:rsidRPr="00E545C6" w:rsidRDefault="00AF5291" w:rsidP="005D4266">
            <w:pPr>
              <w:tabs>
                <w:tab w:val="decimal" w:pos="413"/>
              </w:tabs>
              <w:jc w:val="both"/>
              <w:rPr>
                <w:rFonts w:ascii="Arial Narrow" w:hAnsi="Arial Narrow"/>
                <w:sz w:val="16"/>
                <w:szCs w:val="16"/>
              </w:rPr>
            </w:pPr>
            <w:r>
              <w:rPr>
                <w:rFonts w:ascii="Arial Narrow" w:hAnsi="Arial Narrow"/>
                <w:sz w:val="16"/>
                <w:szCs w:val="16"/>
              </w:rPr>
              <w:t>1,9</w:t>
            </w:r>
          </w:p>
        </w:tc>
        <w:tc>
          <w:tcPr>
            <w:tcW w:w="1080" w:type="dxa"/>
            <w:tcBorders>
              <w:top w:val="nil"/>
              <w:left w:val="nil"/>
              <w:bottom w:val="nil"/>
              <w:right w:val="nil"/>
            </w:tcBorders>
            <w:vAlign w:val="bottom"/>
          </w:tcPr>
          <w:p w:rsidR="00AF5291" w:rsidRPr="00E545C6" w:rsidRDefault="00AF5291" w:rsidP="005D4266">
            <w:pPr>
              <w:tabs>
                <w:tab w:val="decimal" w:pos="381"/>
              </w:tabs>
              <w:jc w:val="both"/>
              <w:rPr>
                <w:rFonts w:ascii="Arial Narrow" w:hAnsi="Arial Narrow"/>
                <w:sz w:val="16"/>
                <w:szCs w:val="16"/>
              </w:rPr>
            </w:pPr>
            <w:r>
              <w:rPr>
                <w:rFonts w:ascii="Arial Narrow" w:hAnsi="Arial Narrow"/>
                <w:sz w:val="16"/>
                <w:szCs w:val="16"/>
              </w:rPr>
              <w:t>-7,6</w:t>
            </w:r>
          </w:p>
        </w:tc>
        <w:tc>
          <w:tcPr>
            <w:tcW w:w="1026" w:type="dxa"/>
            <w:tcBorders>
              <w:top w:val="nil"/>
              <w:left w:val="nil"/>
              <w:bottom w:val="nil"/>
            </w:tcBorders>
            <w:vAlign w:val="bottom"/>
          </w:tcPr>
          <w:p w:rsidR="00AF5291" w:rsidRPr="00E545C6" w:rsidRDefault="00AF5291" w:rsidP="005D4266">
            <w:pPr>
              <w:tabs>
                <w:tab w:val="decimal" w:pos="381"/>
              </w:tabs>
              <w:jc w:val="both"/>
              <w:rPr>
                <w:rFonts w:ascii="Arial Narrow" w:hAnsi="Arial Narrow"/>
                <w:sz w:val="16"/>
                <w:szCs w:val="16"/>
              </w:rPr>
            </w:pPr>
            <w:r>
              <w:rPr>
                <w:rFonts w:ascii="Arial Narrow" w:hAnsi="Arial Narrow"/>
                <w:sz w:val="16"/>
                <w:szCs w:val="16"/>
              </w:rPr>
              <w:t>3,0</w:t>
            </w:r>
          </w:p>
        </w:tc>
      </w:tr>
      <w:tr w:rsidR="00AF5291" w:rsidRPr="006D6955" w:rsidTr="00F1131D">
        <w:trPr>
          <w:jc w:val="center"/>
        </w:trPr>
        <w:tc>
          <w:tcPr>
            <w:tcW w:w="4071" w:type="dxa"/>
            <w:tcBorders>
              <w:top w:val="nil"/>
              <w:bottom w:val="nil"/>
              <w:right w:val="nil"/>
            </w:tcBorders>
            <w:shd w:val="clear" w:color="auto" w:fill="D9D9D9" w:themeFill="background1" w:themeFillShade="D9"/>
          </w:tcPr>
          <w:p w:rsidR="00AF5291" w:rsidRPr="00E545C6" w:rsidRDefault="00AF5291" w:rsidP="005D4266">
            <w:pPr>
              <w:jc w:val="both"/>
              <w:rPr>
                <w:rFonts w:ascii="Arial Narrow" w:hAnsi="Arial Narrow"/>
                <w:sz w:val="16"/>
                <w:szCs w:val="16"/>
              </w:rPr>
            </w:pPr>
            <w:r w:rsidRPr="00E545C6">
              <w:rPr>
                <w:rFonts w:ascii="Arial Narrow" w:hAnsi="Arial Narrow"/>
                <w:sz w:val="16"/>
                <w:szCs w:val="16"/>
              </w:rPr>
              <w:t>Δημόσια κατανάλωση</w:t>
            </w:r>
          </w:p>
        </w:tc>
        <w:tc>
          <w:tcPr>
            <w:tcW w:w="1018" w:type="dxa"/>
            <w:tcBorders>
              <w:top w:val="nil"/>
              <w:left w:val="nil"/>
              <w:bottom w:val="nil"/>
              <w:right w:val="nil"/>
            </w:tcBorders>
            <w:shd w:val="clear" w:color="auto" w:fill="D9D9D9" w:themeFill="background1" w:themeFillShade="D9"/>
            <w:vAlign w:val="bottom"/>
          </w:tcPr>
          <w:p w:rsidR="00AF5291" w:rsidRPr="00E545C6" w:rsidRDefault="00AF5291" w:rsidP="005D4266">
            <w:pPr>
              <w:tabs>
                <w:tab w:val="decimal" w:pos="413"/>
              </w:tabs>
              <w:jc w:val="both"/>
              <w:rPr>
                <w:rFonts w:ascii="Arial Narrow" w:hAnsi="Arial Narrow"/>
                <w:sz w:val="16"/>
                <w:szCs w:val="16"/>
              </w:rPr>
            </w:pPr>
            <w:r>
              <w:rPr>
                <w:rFonts w:ascii="Arial Narrow" w:hAnsi="Arial Narrow"/>
                <w:sz w:val="16"/>
                <w:szCs w:val="16"/>
              </w:rPr>
              <w:t>1,2</w:t>
            </w:r>
          </w:p>
        </w:tc>
        <w:tc>
          <w:tcPr>
            <w:tcW w:w="1080" w:type="dxa"/>
            <w:tcBorders>
              <w:top w:val="nil"/>
              <w:left w:val="nil"/>
              <w:bottom w:val="nil"/>
              <w:right w:val="nil"/>
            </w:tcBorders>
            <w:shd w:val="clear" w:color="auto" w:fill="D9D9D9" w:themeFill="background1" w:themeFillShade="D9"/>
            <w:vAlign w:val="bottom"/>
          </w:tcPr>
          <w:p w:rsidR="00AF5291" w:rsidRPr="00E545C6" w:rsidRDefault="00AF5291" w:rsidP="005D4266">
            <w:pPr>
              <w:tabs>
                <w:tab w:val="decimal" w:pos="381"/>
              </w:tabs>
              <w:jc w:val="both"/>
              <w:rPr>
                <w:rFonts w:ascii="Arial Narrow" w:hAnsi="Arial Narrow"/>
                <w:sz w:val="16"/>
                <w:szCs w:val="16"/>
              </w:rPr>
            </w:pPr>
            <w:r>
              <w:rPr>
                <w:rFonts w:ascii="Arial Narrow" w:hAnsi="Arial Narrow"/>
                <w:sz w:val="16"/>
                <w:szCs w:val="16"/>
              </w:rPr>
              <w:t>2,1</w:t>
            </w:r>
          </w:p>
        </w:tc>
        <w:tc>
          <w:tcPr>
            <w:tcW w:w="1026" w:type="dxa"/>
            <w:tcBorders>
              <w:top w:val="nil"/>
              <w:left w:val="nil"/>
              <w:bottom w:val="nil"/>
            </w:tcBorders>
            <w:shd w:val="clear" w:color="auto" w:fill="D9D9D9" w:themeFill="background1" w:themeFillShade="D9"/>
            <w:vAlign w:val="bottom"/>
          </w:tcPr>
          <w:p w:rsidR="00AF5291" w:rsidRPr="00E545C6" w:rsidRDefault="00AF5291" w:rsidP="005D4266">
            <w:pPr>
              <w:tabs>
                <w:tab w:val="decimal" w:pos="381"/>
              </w:tabs>
              <w:jc w:val="both"/>
              <w:rPr>
                <w:rFonts w:ascii="Arial Narrow" w:hAnsi="Arial Narrow"/>
                <w:sz w:val="16"/>
                <w:szCs w:val="16"/>
              </w:rPr>
            </w:pPr>
            <w:r>
              <w:rPr>
                <w:rFonts w:ascii="Arial Narrow" w:hAnsi="Arial Narrow"/>
                <w:sz w:val="16"/>
                <w:szCs w:val="16"/>
              </w:rPr>
              <w:t>-1,9</w:t>
            </w:r>
          </w:p>
        </w:tc>
      </w:tr>
      <w:tr w:rsidR="00AF5291" w:rsidRPr="006D6955" w:rsidTr="005D4266">
        <w:trPr>
          <w:jc w:val="center"/>
        </w:trPr>
        <w:tc>
          <w:tcPr>
            <w:tcW w:w="4071" w:type="dxa"/>
            <w:tcBorders>
              <w:top w:val="nil"/>
              <w:bottom w:val="nil"/>
              <w:right w:val="nil"/>
            </w:tcBorders>
          </w:tcPr>
          <w:p w:rsidR="00AF5291" w:rsidRPr="00E545C6" w:rsidRDefault="00AF5291" w:rsidP="005D4266">
            <w:pPr>
              <w:jc w:val="both"/>
              <w:rPr>
                <w:rFonts w:ascii="Arial Narrow" w:hAnsi="Arial Narrow"/>
                <w:sz w:val="16"/>
                <w:szCs w:val="16"/>
              </w:rPr>
            </w:pPr>
            <w:r w:rsidRPr="00E545C6">
              <w:rPr>
                <w:rFonts w:ascii="Arial Narrow" w:hAnsi="Arial Narrow"/>
                <w:sz w:val="16"/>
                <w:szCs w:val="16"/>
              </w:rPr>
              <w:t>Ακαθάριστος σχηματισμός παγίου κεφαλαίου</w:t>
            </w:r>
          </w:p>
        </w:tc>
        <w:tc>
          <w:tcPr>
            <w:tcW w:w="1018" w:type="dxa"/>
            <w:tcBorders>
              <w:top w:val="nil"/>
              <w:left w:val="nil"/>
              <w:bottom w:val="nil"/>
              <w:right w:val="nil"/>
            </w:tcBorders>
            <w:vAlign w:val="bottom"/>
          </w:tcPr>
          <w:p w:rsidR="00AF5291" w:rsidRPr="00E545C6" w:rsidRDefault="00AF5291" w:rsidP="005D4266">
            <w:pPr>
              <w:tabs>
                <w:tab w:val="decimal" w:pos="413"/>
              </w:tabs>
              <w:jc w:val="both"/>
              <w:rPr>
                <w:rFonts w:ascii="Arial Narrow" w:hAnsi="Arial Narrow"/>
                <w:sz w:val="16"/>
                <w:szCs w:val="16"/>
              </w:rPr>
            </w:pPr>
            <w:r>
              <w:rPr>
                <w:rFonts w:ascii="Arial Narrow" w:hAnsi="Arial Narrow"/>
                <w:sz w:val="16"/>
                <w:szCs w:val="16"/>
              </w:rPr>
              <w:t>-4,6</w:t>
            </w:r>
          </w:p>
        </w:tc>
        <w:tc>
          <w:tcPr>
            <w:tcW w:w="1080" w:type="dxa"/>
            <w:tcBorders>
              <w:top w:val="nil"/>
              <w:left w:val="nil"/>
              <w:bottom w:val="nil"/>
              <w:right w:val="nil"/>
            </w:tcBorders>
            <w:vAlign w:val="bottom"/>
          </w:tcPr>
          <w:p w:rsidR="00AF5291" w:rsidRPr="00E545C6" w:rsidRDefault="00AF5291" w:rsidP="005D4266">
            <w:pPr>
              <w:tabs>
                <w:tab w:val="decimal" w:pos="381"/>
              </w:tabs>
              <w:jc w:val="both"/>
              <w:rPr>
                <w:rFonts w:ascii="Arial Narrow" w:hAnsi="Arial Narrow"/>
                <w:sz w:val="16"/>
                <w:szCs w:val="16"/>
              </w:rPr>
            </w:pPr>
            <w:r>
              <w:rPr>
                <w:rFonts w:ascii="Arial Narrow" w:hAnsi="Arial Narrow"/>
                <w:sz w:val="16"/>
                <w:szCs w:val="16"/>
              </w:rPr>
              <w:t>-14,3</w:t>
            </w:r>
          </w:p>
        </w:tc>
        <w:tc>
          <w:tcPr>
            <w:tcW w:w="1026" w:type="dxa"/>
            <w:tcBorders>
              <w:top w:val="nil"/>
              <w:left w:val="nil"/>
              <w:bottom w:val="nil"/>
            </w:tcBorders>
            <w:vAlign w:val="bottom"/>
          </w:tcPr>
          <w:p w:rsidR="00AF5291" w:rsidRPr="00E545C6" w:rsidRDefault="00AF5291" w:rsidP="005D4266">
            <w:pPr>
              <w:tabs>
                <w:tab w:val="decimal" w:pos="381"/>
              </w:tabs>
              <w:jc w:val="both"/>
              <w:rPr>
                <w:rFonts w:ascii="Arial Narrow" w:hAnsi="Arial Narrow"/>
                <w:sz w:val="16"/>
                <w:szCs w:val="16"/>
              </w:rPr>
            </w:pPr>
            <w:r>
              <w:rPr>
                <w:rFonts w:ascii="Arial Narrow" w:hAnsi="Arial Narrow"/>
                <w:sz w:val="16"/>
                <w:szCs w:val="16"/>
              </w:rPr>
              <w:t>23,2</w:t>
            </w:r>
          </w:p>
        </w:tc>
      </w:tr>
      <w:tr w:rsidR="00AF5291" w:rsidRPr="006D6955" w:rsidTr="00F1131D">
        <w:trPr>
          <w:jc w:val="center"/>
        </w:trPr>
        <w:tc>
          <w:tcPr>
            <w:tcW w:w="4071" w:type="dxa"/>
            <w:tcBorders>
              <w:top w:val="nil"/>
              <w:bottom w:val="nil"/>
              <w:right w:val="nil"/>
            </w:tcBorders>
            <w:shd w:val="clear" w:color="auto" w:fill="D9D9D9" w:themeFill="background1" w:themeFillShade="D9"/>
          </w:tcPr>
          <w:p w:rsidR="00AF5291" w:rsidRPr="00E545C6" w:rsidRDefault="00AF5291" w:rsidP="005D4266">
            <w:pPr>
              <w:jc w:val="both"/>
              <w:rPr>
                <w:rFonts w:ascii="Arial Narrow" w:hAnsi="Arial Narrow"/>
                <w:sz w:val="16"/>
                <w:szCs w:val="16"/>
              </w:rPr>
            </w:pPr>
            <w:r w:rsidRPr="00E545C6">
              <w:rPr>
                <w:rFonts w:ascii="Arial Narrow" w:hAnsi="Arial Narrow"/>
                <w:sz w:val="16"/>
                <w:szCs w:val="16"/>
              </w:rPr>
              <w:t>Εξαγωγές αγαθών και υπηρεσιών</w:t>
            </w:r>
          </w:p>
        </w:tc>
        <w:tc>
          <w:tcPr>
            <w:tcW w:w="1018" w:type="dxa"/>
            <w:tcBorders>
              <w:top w:val="nil"/>
              <w:left w:val="nil"/>
              <w:bottom w:val="nil"/>
              <w:right w:val="nil"/>
            </w:tcBorders>
            <w:shd w:val="clear" w:color="auto" w:fill="D9D9D9" w:themeFill="background1" w:themeFillShade="D9"/>
            <w:vAlign w:val="bottom"/>
          </w:tcPr>
          <w:p w:rsidR="00AF5291" w:rsidRPr="00E545C6" w:rsidRDefault="00AF5291" w:rsidP="005D4266">
            <w:pPr>
              <w:tabs>
                <w:tab w:val="decimal" w:pos="413"/>
              </w:tabs>
              <w:jc w:val="both"/>
              <w:rPr>
                <w:rFonts w:ascii="Arial Narrow" w:hAnsi="Arial Narrow"/>
                <w:sz w:val="16"/>
                <w:szCs w:val="16"/>
              </w:rPr>
            </w:pPr>
            <w:r>
              <w:rPr>
                <w:rFonts w:ascii="Arial Narrow" w:hAnsi="Arial Narrow"/>
                <w:sz w:val="16"/>
                <w:szCs w:val="16"/>
              </w:rPr>
              <w:t>4,8</w:t>
            </w:r>
          </w:p>
        </w:tc>
        <w:tc>
          <w:tcPr>
            <w:tcW w:w="1080" w:type="dxa"/>
            <w:tcBorders>
              <w:top w:val="nil"/>
              <w:left w:val="nil"/>
              <w:bottom w:val="nil"/>
              <w:right w:val="nil"/>
            </w:tcBorders>
            <w:shd w:val="clear" w:color="auto" w:fill="D9D9D9" w:themeFill="background1" w:themeFillShade="D9"/>
            <w:vAlign w:val="bottom"/>
          </w:tcPr>
          <w:p w:rsidR="00AF5291" w:rsidRPr="00E545C6" w:rsidRDefault="00AF5291" w:rsidP="005D4266">
            <w:pPr>
              <w:tabs>
                <w:tab w:val="decimal" w:pos="381"/>
              </w:tabs>
              <w:jc w:val="both"/>
              <w:rPr>
                <w:rFonts w:ascii="Arial Narrow" w:hAnsi="Arial Narrow"/>
                <w:sz w:val="16"/>
                <w:szCs w:val="16"/>
              </w:rPr>
            </w:pPr>
            <w:r>
              <w:rPr>
                <w:rFonts w:ascii="Arial Narrow" w:hAnsi="Arial Narrow"/>
                <w:sz w:val="16"/>
                <w:szCs w:val="16"/>
              </w:rPr>
              <w:t>-30,3</w:t>
            </w:r>
          </w:p>
        </w:tc>
        <w:tc>
          <w:tcPr>
            <w:tcW w:w="1026" w:type="dxa"/>
            <w:tcBorders>
              <w:top w:val="nil"/>
              <w:left w:val="nil"/>
              <w:bottom w:val="nil"/>
            </w:tcBorders>
            <w:shd w:val="clear" w:color="auto" w:fill="D9D9D9" w:themeFill="background1" w:themeFillShade="D9"/>
            <w:vAlign w:val="bottom"/>
          </w:tcPr>
          <w:p w:rsidR="00AF5291" w:rsidRPr="00E545C6" w:rsidRDefault="00AF5291" w:rsidP="005D4266">
            <w:pPr>
              <w:tabs>
                <w:tab w:val="decimal" w:pos="381"/>
              </w:tabs>
              <w:jc w:val="both"/>
              <w:rPr>
                <w:rFonts w:ascii="Arial Narrow" w:hAnsi="Arial Narrow"/>
                <w:sz w:val="16"/>
                <w:szCs w:val="16"/>
              </w:rPr>
            </w:pPr>
            <w:r>
              <w:rPr>
                <w:rFonts w:ascii="Arial Narrow" w:hAnsi="Arial Narrow"/>
                <w:sz w:val="16"/>
                <w:szCs w:val="16"/>
              </w:rPr>
              <w:t>22,5</w:t>
            </w:r>
          </w:p>
        </w:tc>
      </w:tr>
      <w:tr w:rsidR="00AF5291" w:rsidRPr="006D6955" w:rsidTr="005D4266">
        <w:trPr>
          <w:jc w:val="center"/>
        </w:trPr>
        <w:tc>
          <w:tcPr>
            <w:tcW w:w="4071" w:type="dxa"/>
            <w:tcBorders>
              <w:top w:val="nil"/>
              <w:bottom w:val="nil"/>
              <w:right w:val="nil"/>
            </w:tcBorders>
          </w:tcPr>
          <w:p w:rsidR="00AF5291" w:rsidRPr="00E545C6" w:rsidRDefault="00AF5291" w:rsidP="005D4266">
            <w:pPr>
              <w:jc w:val="both"/>
              <w:rPr>
                <w:rFonts w:ascii="Arial Narrow" w:hAnsi="Arial Narrow"/>
                <w:sz w:val="16"/>
                <w:szCs w:val="16"/>
              </w:rPr>
            </w:pPr>
            <w:r w:rsidRPr="00E545C6">
              <w:rPr>
                <w:rFonts w:ascii="Arial Narrow" w:hAnsi="Arial Narrow"/>
                <w:sz w:val="16"/>
                <w:szCs w:val="16"/>
              </w:rPr>
              <w:t>Εισαγωγές αγαθών και υπηρεσιών</w:t>
            </w:r>
          </w:p>
        </w:tc>
        <w:tc>
          <w:tcPr>
            <w:tcW w:w="1018" w:type="dxa"/>
            <w:tcBorders>
              <w:top w:val="nil"/>
              <w:left w:val="nil"/>
              <w:bottom w:val="nil"/>
              <w:right w:val="nil"/>
            </w:tcBorders>
            <w:vAlign w:val="bottom"/>
          </w:tcPr>
          <w:p w:rsidR="00AF5291" w:rsidRPr="00E545C6" w:rsidRDefault="00AF5291" w:rsidP="005D4266">
            <w:pPr>
              <w:tabs>
                <w:tab w:val="decimal" w:pos="413"/>
              </w:tabs>
              <w:jc w:val="both"/>
              <w:rPr>
                <w:rFonts w:ascii="Arial Narrow" w:hAnsi="Arial Narrow"/>
                <w:sz w:val="16"/>
                <w:szCs w:val="16"/>
              </w:rPr>
            </w:pPr>
            <w:r>
              <w:rPr>
                <w:rFonts w:ascii="Arial Narrow" w:hAnsi="Arial Narrow"/>
                <w:sz w:val="16"/>
                <w:szCs w:val="16"/>
              </w:rPr>
              <w:t>3,0</w:t>
            </w:r>
          </w:p>
        </w:tc>
        <w:tc>
          <w:tcPr>
            <w:tcW w:w="1080" w:type="dxa"/>
            <w:tcBorders>
              <w:top w:val="nil"/>
              <w:left w:val="nil"/>
              <w:bottom w:val="nil"/>
              <w:right w:val="nil"/>
            </w:tcBorders>
            <w:vAlign w:val="bottom"/>
          </w:tcPr>
          <w:p w:rsidR="00AF5291" w:rsidRPr="00E545C6" w:rsidRDefault="00AF5291" w:rsidP="005D4266">
            <w:pPr>
              <w:tabs>
                <w:tab w:val="decimal" w:pos="381"/>
              </w:tabs>
              <w:jc w:val="both"/>
              <w:rPr>
                <w:rFonts w:ascii="Arial Narrow" w:hAnsi="Arial Narrow"/>
                <w:sz w:val="16"/>
                <w:szCs w:val="16"/>
              </w:rPr>
            </w:pPr>
            <w:r>
              <w:rPr>
                <w:rFonts w:ascii="Arial Narrow" w:hAnsi="Arial Narrow"/>
                <w:sz w:val="16"/>
                <w:szCs w:val="16"/>
              </w:rPr>
              <w:t>-17,4</w:t>
            </w:r>
          </w:p>
        </w:tc>
        <w:tc>
          <w:tcPr>
            <w:tcW w:w="1026" w:type="dxa"/>
            <w:tcBorders>
              <w:top w:val="nil"/>
              <w:left w:val="nil"/>
              <w:bottom w:val="nil"/>
            </w:tcBorders>
            <w:vAlign w:val="bottom"/>
          </w:tcPr>
          <w:p w:rsidR="00AF5291" w:rsidRPr="00E545C6" w:rsidRDefault="00AF5291" w:rsidP="005D4266">
            <w:pPr>
              <w:tabs>
                <w:tab w:val="decimal" w:pos="381"/>
              </w:tabs>
              <w:jc w:val="both"/>
              <w:rPr>
                <w:rFonts w:ascii="Arial Narrow" w:hAnsi="Arial Narrow"/>
                <w:sz w:val="16"/>
                <w:szCs w:val="16"/>
              </w:rPr>
            </w:pPr>
            <w:r>
              <w:rPr>
                <w:rFonts w:ascii="Arial Narrow" w:hAnsi="Arial Narrow"/>
                <w:sz w:val="16"/>
                <w:szCs w:val="16"/>
              </w:rPr>
              <w:t>16,4</w:t>
            </w:r>
          </w:p>
        </w:tc>
      </w:tr>
      <w:tr w:rsidR="00AF5291" w:rsidRPr="006D6955" w:rsidTr="00F1131D">
        <w:trPr>
          <w:jc w:val="center"/>
        </w:trPr>
        <w:tc>
          <w:tcPr>
            <w:tcW w:w="4071" w:type="dxa"/>
            <w:tcBorders>
              <w:top w:val="nil"/>
              <w:bottom w:val="nil"/>
              <w:right w:val="nil"/>
            </w:tcBorders>
            <w:shd w:val="clear" w:color="auto" w:fill="D9D9D9" w:themeFill="background1" w:themeFillShade="D9"/>
          </w:tcPr>
          <w:p w:rsidR="00AF5291" w:rsidRPr="00E545C6" w:rsidRDefault="00AF5291" w:rsidP="005D4266">
            <w:pPr>
              <w:jc w:val="both"/>
              <w:rPr>
                <w:rFonts w:ascii="Arial Narrow" w:hAnsi="Arial Narrow"/>
                <w:sz w:val="16"/>
                <w:szCs w:val="16"/>
              </w:rPr>
            </w:pPr>
            <w:r w:rsidRPr="00E545C6">
              <w:rPr>
                <w:rFonts w:ascii="Arial Narrow" w:hAnsi="Arial Narrow"/>
                <w:sz w:val="16"/>
                <w:szCs w:val="16"/>
              </w:rPr>
              <w:t>Αποπληθωριστής ΑΕΠ</w:t>
            </w:r>
          </w:p>
        </w:tc>
        <w:tc>
          <w:tcPr>
            <w:tcW w:w="1018" w:type="dxa"/>
            <w:tcBorders>
              <w:top w:val="nil"/>
              <w:left w:val="nil"/>
              <w:bottom w:val="nil"/>
              <w:right w:val="nil"/>
            </w:tcBorders>
            <w:shd w:val="clear" w:color="auto" w:fill="D9D9D9" w:themeFill="background1" w:themeFillShade="D9"/>
            <w:vAlign w:val="bottom"/>
          </w:tcPr>
          <w:p w:rsidR="00AF5291" w:rsidRPr="00E545C6" w:rsidRDefault="00AF5291" w:rsidP="005D4266">
            <w:pPr>
              <w:tabs>
                <w:tab w:val="decimal" w:pos="413"/>
              </w:tabs>
              <w:jc w:val="both"/>
              <w:rPr>
                <w:rFonts w:ascii="Arial Narrow" w:hAnsi="Arial Narrow"/>
                <w:sz w:val="16"/>
                <w:szCs w:val="16"/>
              </w:rPr>
            </w:pPr>
            <w:r>
              <w:rPr>
                <w:rFonts w:ascii="Arial Narrow" w:hAnsi="Arial Narrow"/>
                <w:sz w:val="16"/>
                <w:szCs w:val="16"/>
              </w:rPr>
              <w:t>0,2</w:t>
            </w:r>
          </w:p>
        </w:tc>
        <w:tc>
          <w:tcPr>
            <w:tcW w:w="1080" w:type="dxa"/>
            <w:tcBorders>
              <w:top w:val="nil"/>
              <w:left w:val="nil"/>
              <w:bottom w:val="nil"/>
              <w:right w:val="nil"/>
            </w:tcBorders>
            <w:shd w:val="clear" w:color="auto" w:fill="D9D9D9" w:themeFill="background1" w:themeFillShade="D9"/>
            <w:vAlign w:val="bottom"/>
          </w:tcPr>
          <w:p w:rsidR="00AF5291" w:rsidRPr="00E545C6" w:rsidRDefault="00AF5291" w:rsidP="005D4266">
            <w:pPr>
              <w:tabs>
                <w:tab w:val="decimal" w:pos="381"/>
              </w:tabs>
              <w:jc w:val="both"/>
              <w:rPr>
                <w:rFonts w:ascii="Arial Narrow" w:hAnsi="Arial Narrow"/>
                <w:sz w:val="16"/>
                <w:szCs w:val="16"/>
              </w:rPr>
            </w:pPr>
            <w:r>
              <w:rPr>
                <w:rFonts w:ascii="Arial Narrow" w:hAnsi="Arial Narrow"/>
                <w:sz w:val="16"/>
                <w:szCs w:val="16"/>
              </w:rPr>
              <w:t>-0,8</w:t>
            </w:r>
          </w:p>
        </w:tc>
        <w:tc>
          <w:tcPr>
            <w:tcW w:w="1026" w:type="dxa"/>
            <w:tcBorders>
              <w:top w:val="nil"/>
              <w:left w:val="nil"/>
              <w:bottom w:val="nil"/>
            </w:tcBorders>
            <w:shd w:val="clear" w:color="auto" w:fill="D9D9D9" w:themeFill="background1" w:themeFillShade="D9"/>
            <w:vAlign w:val="bottom"/>
          </w:tcPr>
          <w:p w:rsidR="00AF5291" w:rsidRPr="00E545C6" w:rsidRDefault="00AF5291" w:rsidP="005D4266">
            <w:pPr>
              <w:tabs>
                <w:tab w:val="decimal" w:pos="381"/>
              </w:tabs>
              <w:jc w:val="both"/>
              <w:rPr>
                <w:rFonts w:ascii="Arial Narrow" w:hAnsi="Arial Narrow"/>
                <w:sz w:val="16"/>
                <w:szCs w:val="16"/>
              </w:rPr>
            </w:pPr>
            <w:r>
              <w:rPr>
                <w:rFonts w:ascii="Arial Narrow" w:hAnsi="Arial Narrow"/>
                <w:sz w:val="16"/>
                <w:szCs w:val="16"/>
              </w:rPr>
              <w:t>0,8</w:t>
            </w:r>
          </w:p>
        </w:tc>
      </w:tr>
      <w:tr w:rsidR="00AF5291" w:rsidRPr="006D6955" w:rsidTr="005D4266">
        <w:trPr>
          <w:jc w:val="center"/>
        </w:trPr>
        <w:tc>
          <w:tcPr>
            <w:tcW w:w="4071" w:type="dxa"/>
            <w:tcBorders>
              <w:top w:val="nil"/>
              <w:bottom w:val="nil"/>
              <w:right w:val="nil"/>
            </w:tcBorders>
          </w:tcPr>
          <w:p w:rsidR="00AF5291" w:rsidRPr="00E545C6" w:rsidRDefault="00AF5291" w:rsidP="005D4266">
            <w:pPr>
              <w:jc w:val="both"/>
              <w:rPr>
                <w:rFonts w:ascii="Arial Narrow" w:hAnsi="Arial Narrow"/>
                <w:sz w:val="16"/>
                <w:szCs w:val="16"/>
              </w:rPr>
            </w:pPr>
            <w:r w:rsidRPr="00E545C6">
              <w:rPr>
                <w:rFonts w:ascii="Arial Narrow" w:hAnsi="Arial Narrow"/>
                <w:sz w:val="16"/>
                <w:szCs w:val="16"/>
              </w:rPr>
              <w:t>Εναρμονισμένος Δείκτης Τιμών Καταναλωτή</w:t>
            </w:r>
          </w:p>
        </w:tc>
        <w:tc>
          <w:tcPr>
            <w:tcW w:w="1018" w:type="dxa"/>
            <w:tcBorders>
              <w:top w:val="nil"/>
              <w:left w:val="nil"/>
              <w:bottom w:val="nil"/>
              <w:right w:val="nil"/>
            </w:tcBorders>
            <w:vAlign w:val="bottom"/>
          </w:tcPr>
          <w:p w:rsidR="00AF5291" w:rsidRPr="00E545C6" w:rsidRDefault="00AF5291" w:rsidP="005D4266">
            <w:pPr>
              <w:tabs>
                <w:tab w:val="decimal" w:pos="413"/>
              </w:tabs>
              <w:jc w:val="both"/>
              <w:rPr>
                <w:rFonts w:ascii="Arial Narrow" w:hAnsi="Arial Narrow"/>
                <w:sz w:val="16"/>
                <w:szCs w:val="16"/>
              </w:rPr>
            </w:pPr>
            <w:r w:rsidRPr="00E545C6">
              <w:rPr>
                <w:rFonts w:ascii="Arial Narrow" w:hAnsi="Arial Narrow"/>
                <w:sz w:val="16"/>
                <w:szCs w:val="16"/>
              </w:rPr>
              <w:t>0,</w:t>
            </w:r>
            <w:r>
              <w:rPr>
                <w:rFonts w:ascii="Arial Narrow" w:hAnsi="Arial Narrow"/>
                <w:sz w:val="16"/>
                <w:szCs w:val="16"/>
              </w:rPr>
              <w:t>5</w:t>
            </w:r>
          </w:p>
        </w:tc>
        <w:tc>
          <w:tcPr>
            <w:tcW w:w="1080" w:type="dxa"/>
            <w:tcBorders>
              <w:top w:val="nil"/>
              <w:left w:val="nil"/>
              <w:bottom w:val="nil"/>
              <w:right w:val="nil"/>
            </w:tcBorders>
            <w:vAlign w:val="bottom"/>
          </w:tcPr>
          <w:p w:rsidR="00AF5291" w:rsidRPr="00E545C6" w:rsidRDefault="00AF5291" w:rsidP="005D4266">
            <w:pPr>
              <w:tabs>
                <w:tab w:val="decimal" w:pos="381"/>
              </w:tabs>
              <w:jc w:val="both"/>
              <w:rPr>
                <w:rFonts w:ascii="Arial Narrow" w:hAnsi="Arial Narrow"/>
                <w:sz w:val="16"/>
                <w:szCs w:val="16"/>
              </w:rPr>
            </w:pPr>
            <w:r>
              <w:rPr>
                <w:rFonts w:ascii="Arial Narrow" w:hAnsi="Arial Narrow"/>
                <w:sz w:val="16"/>
                <w:szCs w:val="16"/>
              </w:rPr>
              <w:t>-1,1</w:t>
            </w:r>
          </w:p>
        </w:tc>
        <w:tc>
          <w:tcPr>
            <w:tcW w:w="1026" w:type="dxa"/>
            <w:tcBorders>
              <w:top w:val="nil"/>
              <w:left w:val="nil"/>
              <w:bottom w:val="nil"/>
            </w:tcBorders>
            <w:vAlign w:val="bottom"/>
          </w:tcPr>
          <w:p w:rsidR="00AF5291" w:rsidRPr="00E545C6" w:rsidRDefault="00AF5291" w:rsidP="005D4266">
            <w:pPr>
              <w:tabs>
                <w:tab w:val="decimal" w:pos="381"/>
              </w:tabs>
              <w:jc w:val="both"/>
              <w:rPr>
                <w:rFonts w:ascii="Arial Narrow" w:hAnsi="Arial Narrow"/>
                <w:sz w:val="16"/>
                <w:szCs w:val="16"/>
              </w:rPr>
            </w:pPr>
            <w:r w:rsidRPr="00E545C6">
              <w:rPr>
                <w:rFonts w:ascii="Arial Narrow" w:hAnsi="Arial Narrow"/>
                <w:sz w:val="16"/>
                <w:szCs w:val="16"/>
              </w:rPr>
              <w:t>0,</w:t>
            </w:r>
            <w:r>
              <w:rPr>
                <w:rFonts w:ascii="Arial Narrow" w:hAnsi="Arial Narrow"/>
                <w:sz w:val="16"/>
                <w:szCs w:val="16"/>
              </w:rPr>
              <w:t>6</w:t>
            </w:r>
          </w:p>
        </w:tc>
      </w:tr>
      <w:tr w:rsidR="00AF5291" w:rsidRPr="006D6955" w:rsidTr="00F1131D">
        <w:trPr>
          <w:jc w:val="center"/>
        </w:trPr>
        <w:tc>
          <w:tcPr>
            <w:tcW w:w="4071" w:type="dxa"/>
            <w:tcBorders>
              <w:top w:val="nil"/>
              <w:bottom w:val="nil"/>
              <w:right w:val="nil"/>
            </w:tcBorders>
            <w:shd w:val="clear" w:color="auto" w:fill="D9D9D9" w:themeFill="background1" w:themeFillShade="D9"/>
          </w:tcPr>
          <w:p w:rsidR="00AF5291" w:rsidRPr="00E545C6" w:rsidRDefault="00AF5291" w:rsidP="005D4266">
            <w:pPr>
              <w:jc w:val="both"/>
              <w:rPr>
                <w:rFonts w:ascii="Arial Narrow" w:hAnsi="Arial Narrow"/>
                <w:sz w:val="16"/>
                <w:szCs w:val="16"/>
              </w:rPr>
            </w:pPr>
            <w:r w:rsidRPr="00E545C6">
              <w:rPr>
                <w:rFonts w:ascii="Arial Narrow" w:hAnsi="Arial Narrow"/>
                <w:sz w:val="16"/>
                <w:szCs w:val="16"/>
              </w:rPr>
              <w:t>Απασχόληση*</w:t>
            </w:r>
          </w:p>
        </w:tc>
        <w:tc>
          <w:tcPr>
            <w:tcW w:w="1018" w:type="dxa"/>
            <w:tcBorders>
              <w:top w:val="nil"/>
              <w:left w:val="nil"/>
              <w:bottom w:val="nil"/>
              <w:right w:val="nil"/>
            </w:tcBorders>
            <w:shd w:val="clear" w:color="auto" w:fill="D9D9D9" w:themeFill="background1" w:themeFillShade="D9"/>
            <w:vAlign w:val="bottom"/>
          </w:tcPr>
          <w:p w:rsidR="00AF5291" w:rsidRPr="00E545C6" w:rsidRDefault="00AF5291" w:rsidP="005D4266">
            <w:pPr>
              <w:tabs>
                <w:tab w:val="decimal" w:pos="413"/>
              </w:tabs>
              <w:jc w:val="both"/>
              <w:rPr>
                <w:rFonts w:ascii="Arial Narrow" w:hAnsi="Arial Narrow"/>
                <w:sz w:val="16"/>
                <w:szCs w:val="16"/>
              </w:rPr>
            </w:pPr>
            <w:r>
              <w:rPr>
                <w:rFonts w:ascii="Arial Narrow" w:hAnsi="Arial Narrow"/>
                <w:sz w:val="16"/>
                <w:szCs w:val="16"/>
              </w:rPr>
              <w:t>1,2</w:t>
            </w:r>
          </w:p>
        </w:tc>
        <w:tc>
          <w:tcPr>
            <w:tcW w:w="1080" w:type="dxa"/>
            <w:tcBorders>
              <w:top w:val="nil"/>
              <w:left w:val="nil"/>
              <w:bottom w:val="nil"/>
              <w:right w:val="nil"/>
            </w:tcBorders>
            <w:shd w:val="clear" w:color="auto" w:fill="D9D9D9" w:themeFill="background1" w:themeFillShade="D9"/>
            <w:vAlign w:val="bottom"/>
          </w:tcPr>
          <w:p w:rsidR="00AF5291" w:rsidRPr="00E545C6" w:rsidRDefault="00AF5291" w:rsidP="005D4266">
            <w:pPr>
              <w:tabs>
                <w:tab w:val="decimal" w:pos="381"/>
              </w:tabs>
              <w:jc w:val="both"/>
              <w:rPr>
                <w:rFonts w:ascii="Arial Narrow" w:hAnsi="Arial Narrow"/>
                <w:sz w:val="16"/>
                <w:szCs w:val="16"/>
              </w:rPr>
            </w:pPr>
            <w:r>
              <w:rPr>
                <w:rFonts w:ascii="Arial Narrow" w:hAnsi="Arial Narrow"/>
                <w:sz w:val="16"/>
                <w:szCs w:val="16"/>
              </w:rPr>
              <w:t>-5,1</w:t>
            </w:r>
          </w:p>
        </w:tc>
        <w:tc>
          <w:tcPr>
            <w:tcW w:w="1026" w:type="dxa"/>
            <w:tcBorders>
              <w:top w:val="nil"/>
              <w:left w:val="nil"/>
              <w:bottom w:val="nil"/>
            </w:tcBorders>
            <w:shd w:val="clear" w:color="auto" w:fill="D9D9D9" w:themeFill="background1" w:themeFillShade="D9"/>
            <w:vAlign w:val="bottom"/>
          </w:tcPr>
          <w:p w:rsidR="00AF5291" w:rsidRPr="00E545C6" w:rsidRDefault="00AF5291" w:rsidP="005D4266">
            <w:pPr>
              <w:tabs>
                <w:tab w:val="decimal" w:pos="381"/>
              </w:tabs>
              <w:jc w:val="both"/>
              <w:rPr>
                <w:rFonts w:ascii="Arial Narrow" w:hAnsi="Arial Narrow"/>
                <w:sz w:val="16"/>
                <w:szCs w:val="16"/>
              </w:rPr>
            </w:pPr>
            <w:r>
              <w:rPr>
                <w:rFonts w:ascii="Arial Narrow" w:hAnsi="Arial Narrow"/>
                <w:sz w:val="16"/>
                <w:szCs w:val="16"/>
              </w:rPr>
              <w:t>3,8</w:t>
            </w:r>
          </w:p>
        </w:tc>
      </w:tr>
      <w:tr w:rsidR="00AF5291" w:rsidRPr="006D6955" w:rsidTr="005D4266">
        <w:trPr>
          <w:jc w:val="center"/>
        </w:trPr>
        <w:tc>
          <w:tcPr>
            <w:tcW w:w="4071" w:type="dxa"/>
            <w:tcBorders>
              <w:top w:val="nil"/>
              <w:bottom w:val="nil"/>
              <w:right w:val="nil"/>
            </w:tcBorders>
          </w:tcPr>
          <w:p w:rsidR="00AF5291" w:rsidRPr="00E545C6" w:rsidRDefault="00AF5291" w:rsidP="005D4266">
            <w:pPr>
              <w:jc w:val="both"/>
              <w:rPr>
                <w:rFonts w:ascii="Arial Narrow" w:hAnsi="Arial Narrow"/>
                <w:sz w:val="16"/>
                <w:szCs w:val="16"/>
              </w:rPr>
            </w:pPr>
            <w:r w:rsidRPr="00E545C6">
              <w:rPr>
                <w:rFonts w:ascii="Arial Narrow" w:hAnsi="Arial Narrow"/>
                <w:sz w:val="16"/>
                <w:szCs w:val="16"/>
              </w:rPr>
              <w:t>Ποσοστό ανεργίας*</w:t>
            </w:r>
          </w:p>
        </w:tc>
        <w:tc>
          <w:tcPr>
            <w:tcW w:w="1018" w:type="dxa"/>
            <w:tcBorders>
              <w:top w:val="nil"/>
              <w:left w:val="nil"/>
              <w:bottom w:val="nil"/>
              <w:right w:val="nil"/>
            </w:tcBorders>
            <w:vAlign w:val="bottom"/>
          </w:tcPr>
          <w:p w:rsidR="00AF5291" w:rsidRPr="00E545C6" w:rsidRDefault="00AF5291" w:rsidP="005D4266">
            <w:pPr>
              <w:tabs>
                <w:tab w:val="decimal" w:pos="413"/>
              </w:tabs>
              <w:jc w:val="both"/>
              <w:rPr>
                <w:rFonts w:ascii="Arial Narrow" w:hAnsi="Arial Narrow"/>
                <w:sz w:val="16"/>
                <w:szCs w:val="16"/>
              </w:rPr>
            </w:pPr>
            <w:r>
              <w:rPr>
                <w:rFonts w:ascii="Arial Narrow" w:hAnsi="Arial Narrow"/>
                <w:sz w:val="16"/>
                <w:szCs w:val="16"/>
              </w:rPr>
              <w:t>15,2</w:t>
            </w:r>
          </w:p>
        </w:tc>
        <w:tc>
          <w:tcPr>
            <w:tcW w:w="1080" w:type="dxa"/>
            <w:tcBorders>
              <w:top w:val="nil"/>
              <w:left w:val="nil"/>
              <w:bottom w:val="nil"/>
              <w:right w:val="nil"/>
            </w:tcBorders>
            <w:vAlign w:val="bottom"/>
          </w:tcPr>
          <w:p w:rsidR="00AF5291" w:rsidRPr="00E545C6" w:rsidRDefault="00AF5291" w:rsidP="005D4266">
            <w:pPr>
              <w:tabs>
                <w:tab w:val="decimal" w:pos="381"/>
              </w:tabs>
              <w:jc w:val="both"/>
              <w:rPr>
                <w:rFonts w:ascii="Arial Narrow" w:hAnsi="Arial Narrow"/>
                <w:sz w:val="16"/>
                <w:szCs w:val="16"/>
              </w:rPr>
            </w:pPr>
            <w:r>
              <w:rPr>
                <w:rFonts w:ascii="Arial Narrow" w:hAnsi="Arial Narrow"/>
                <w:sz w:val="16"/>
                <w:szCs w:val="16"/>
              </w:rPr>
              <w:t>16,9</w:t>
            </w:r>
          </w:p>
        </w:tc>
        <w:tc>
          <w:tcPr>
            <w:tcW w:w="1026" w:type="dxa"/>
            <w:tcBorders>
              <w:top w:val="nil"/>
              <w:left w:val="nil"/>
              <w:bottom w:val="nil"/>
            </w:tcBorders>
            <w:vAlign w:val="bottom"/>
          </w:tcPr>
          <w:p w:rsidR="00AF5291" w:rsidRPr="00E545C6" w:rsidRDefault="00AF5291" w:rsidP="005D4266">
            <w:pPr>
              <w:tabs>
                <w:tab w:val="decimal" w:pos="381"/>
              </w:tabs>
              <w:jc w:val="both"/>
              <w:rPr>
                <w:rFonts w:ascii="Arial Narrow" w:hAnsi="Arial Narrow"/>
                <w:sz w:val="16"/>
                <w:szCs w:val="16"/>
              </w:rPr>
            </w:pPr>
            <w:r>
              <w:rPr>
                <w:rFonts w:ascii="Arial Narrow" w:hAnsi="Arial Narrow"/>
                <w:sz w:val="16"/>
                <w:szCs w:val="16"/>
              </w:rPr>
              <w:t>16,0</w:t>
            </w:r>
          </w:p>
        </w:tc>
      </w:tr>
      <w:tr w:rsidR="00AF5291" w:rsidRPr="006D6955" w:rsidTr="00F1131D">
        <w:trPr>
          <w:jc w:val="center"/>
        </w:trPr>
        <w:tc>
          <w:tcPr>
            <w:tcW w:w="4071" w:type="dxa"/>
            <w:tcBorders>
              <w:top w:val="nil"/>
              <w:bottom w:val="single" w:sz="4" w:space="0" w:color="auto"/>
              <w:right w:val="nil"/>
            </w:tcBorders>
            <w:shd w:val="clear" w:color="auto" w:fill="D9D9D9" w:themeFill="background1" w:themeFillShade="D9"/>
          </w:tcPr>
          <w:p w:rsidR="00AF5291" w:rsidRPr="00E545C6" w:rsidRDefault="00AF5291" w:rsidP="005D4266">
            <w:pPr>
              <w:jc w:val="both"/>
              <w:rPr>
                <w:rFonts w:ascii="Arial Narrow" w:hAnsi="Arial Narrow"/>
                <w:sz w:val="16"/>
                <w:szCs w:val="16"/>
              </w:rPr>
            </w:pPr>
            <w:r w:rsidRPr="00E545C6">
              <w:rPr>
                <w:rFonts w:ascii="Arial Narrow" w:hAnsi="Arial Narrow"/>
                <w:sz w:val="16"/>
                <w:szCs w:val="16"/>
              </w:rPr>
              <w:t>Ποσοστό ανεργίας (Έρευνα Εργατικού Δυναμικού)</w:t>
            </w:r>
          </w:p>
        </w:tc>
        <w:tc>
          <w:tcPr>
            <w:tcW w:w="1018" w:type="dxa"/>
            <w:tcBorders>
              <w:top w:val="nil"/>
              <w:left w:val="nil"/>
              <w:bottom w:val="single" w:sz="4" w:space="0" w:color="auto"/>
              <w:right w:val="nil"/>
            </w:tcBorders>
            <w:shd w:val="clear" w:color="auto" w:fill="D9D9D9" w:themeFill="background1" w:themeFillShade="D9"/>
            <w:vAlign w:val="bottom"/>
          </w:tcPr>
          <w:p w:rsidR="00AF5291" w:rsidRPr="00E545C6" w:rsidRDefault="00AF5291" w:rsidP="005D4266">
            <w:pPr>
              <w:tabs>
                <w:tab w:val="decimal" w:pos="413"/>
              </w:tabs>
              <w:jc w:val="both"/>
              <w:rPr>
                <w:rFonts w:ascii="Arial Narrow" w:hAnsi="Arial Narrow"/>
                <w:sz w:val="16"/>
                <w:szCs w:val="16"/>
              </w:rPr>
            </w:pPr>
            <w:r>
              <w:rPr>
                <w:rFonts w:ascii="Arial Narrow" w:hAnsi="Arial Narrow"/>
                <w:sz w:val="16"/>
                <w:szCs w:val="16"/>
              </w:rPr>
              <w:t>17,3</w:t>
            </w:r>
          </w:p>
        </w:tc>
        <w:tc>
          <w:tcPr>
            <w:tcW w:w="1080" w:type="dxa"/>
            <w:tcBorders>
              <w:top w:val="nil"/>
              <w:left w:val="nil"/>
              <w:bottom w:val="single" w:sz="4" w:space="0" w:color="auto"/>
              <w:right w:val="nil"/>
            </w:tcBorders>
            <w:shd w:val="clear" w:color="auto" w:fill="D9D9D9" w:themeFill="background1" w:themeFillShade="D9"/>
            <w:vAlign w:val="bottom"/>
          </w:tcPr>
          <w:p w:rsidR="00AF5291" w:rsidRPr="00E545C6" w:rsidRDefault="00AF5291" w:rsidP="005D4266">
            <w:pPr>
              <w:tabs>
                <w:tab w:val="decimal" w:pos="381"/>
              </w:tabs>
              <w:jc w:val="both"/>
              <w:rPr>
                <w:rFonts w:ascii="Arial Narrow" w:hAnsi="Arial Narrow"/>
                <w:sz w:val="16"/>
                <w:szCs w:val="16"/>
              </w:rPr>
            </w:pPr>
            <w:r>
              <w:rPr>
                <w:rFonts w:ascii="Arial Narrow" w:hAnsi="Arial Narrow"/>
                <w:sz w:val="16"/>
                <w:szCs w:val="16"/>
              </w:rPr>
              <w:t>18,9</w:t>
            </w:r>
          </w:p>
        </w:tc>
        <w:tc>
          <w:tcPr>
            <w:tcW w:w="1026" w:type="dxa"/>
            <w:tcBorders>
              <w:top w:val="nil"/>
              <w:left w:val="nil"/>
              <w:bottom w:val="single" w:sz="4" w:space="0" w:color="auto"/>
            </w:tcBorders>
            <w:shd w:val="clear" w:color="auto" w:fill="D9D9D9" w:themeFill="background1" w:themeFillShade="D9"/>
            <w:vAlign w:val="bottom"/>
          </w:tcPr>
          <w:p w:rsidR="00AF5291" w:rsidRPr="00E545C6" w:rsidRDefault="00AF5291" w:rsidP="005D4266">
            <w:pPr>
              <w:tabs>
                <w:tab w:val="decimal" w:pos="381"/>
              </w:tabs>
              <w:jc w:val="both"/>
              <w:rPr>
                <w:rFonts w:ascii="Arial Narrow" w:hAnsi="Arial Narrow"/>
                <w:sz w:val="16"/>
                <w:szCs w:val="16"/>
              </w:rPr>
            </w:pPr>
            <w:r>
              <w:rPr>
                <w:rFonts w:ascii="Arial Narrow" w:hAnsi="Arial Narrow"/>
                <w:sz w:val="16"/>
                <w:szCs w:val="16"/>
              </w:rPr>
              <w:t>17,9</w:t>
            </w:r>
          </w:p>
        </w:tc>
      </w:tr>
    </w:tbl>
    <w:p w:rsidR="00AF5291" w:rsidRPr="00E01754" w:rsidRDefault="00AF5291" w:rsidP="00AF5291">
      <w:pPr>
        <w:ind w:firstLine="993"/>
        <w:jc w:val="both"/>
        <w:rPr>
          <w:rFonts w:ascii="Arial Narrow" w:hAnsi="Arial Narrow"/>
          <w:sz w:val="16"/>
          <w:szCs w:val="18"/>
        </w:rPr>
      </w:pPr>
      <w:r w:rsidRPr="00E01754">
        <w:rPr>
          <w:rFonts w:ascii="Arial Narrow" w:hAnsi="Arial Narrow"/>
          <w:sz w:val="16"/>
          <w:szCs w:val="18"/>
        </w:rPr>
        <w:t>Πηγή: Ετήσιοι Εθνικοί Λογαριασμοί (Ελληνική Στατιστική Αρχή), εκτιμήσεις/προβλέψεις Υπουργείου Οικονομικών.</w:t>
      </w:r>
    </w:p>
    <w:p w:rsidR="00AF5291" w:rsidRPr="00E01754" w:rsidRDefault="00AF5291" w:rsidP="00AF5291">
      <w:pPr>
        <w:ind w:firstLine="993"/>
        <w:jc w:val="both"/>
        <w:rPr>
          <w:rFonts w:ascii="Arial Narrow" w:hAnsi="Arial Narrow"/>
          <w:sz w:val="16"/>
          <w:szCs w:val="18"/>
        </w:rPr>
      </w:pPr>
      <w:r w:rsidRPr="00E01754">
        <w:rPr>
          <w:rFonts w:ascii="Arial Narrow" w:hAnsi="Arial Narrow"/>
          <w:sz w:val="16"/>
          <w:szCs w:val="18"/>
        </w:rPr>
        <w:t>*</w:t>
      </w:r>
      <w:r>
        <w:rPr>
          <w:rFonts w:ascii="Arial Narrow" w:hAnsi="Arial Narrow"/>
          <w:sz w:val="16"/>
          <w:szCs w:val="18"/>
        </w:rPr>
        <w:t xml:space="preserve">  </w:t>
      </w:r>
      <w:r w:rsidRPr="00E01754">
        <w:rPr>
          <w:rFonts w:ascii="Arial Narrow" w:hAnsi="Arial Narrow"/>
          <w:sz w:val="16"/>
          <w:szCs w:val="18"/>
        </w:rPr>
        <w:t>Σε εθνικολογιστική βάση</w:t>
      </w:r>
    </w:p>
    <w:p w:rsidR="00AF5291" w:rsidRDefault="00AF5291" w:rsidP="00AF5291">
      <w:pPr>
        <w:ind w:firstLine="993"/>
        <w:jc w:val="both"/>
      </w:pPr>
      <w:r w:rsidRPr="00E01754">
        <w:rPr>
          <w:rFonts w:ascii="Arial Narrow" w:hAnsi="Arial Narrow"/>
          <w:sz w:val="16"/>
          <w:szCs w:val="18"/>
        </w:rPr>
        <w:t>** Εκτιμήσεις/προβλέψει</w:t>
      </w:r>
      <w:r>
        <w:rPr>
          <w:rFonts w:ascii="Arial Narrow" w:hAnsi="Arial Narrow"/>
          <w:sz w:val="16"/>
          <w:szCs w:val="18"/>
        </w:rPr>
        <w:t>ς</w:t>
      </w:r>
    </w:p>
    <w:p w:rsidR="00AF5291" w:rsidRPr="00696359" w:rsidRDefault="00AF5291" w:rsidP="00157F8C">
      <w:pPr>
        <w:jc w:val="both"/>
        <w:rPr>
          <w:sz w:val="22"/>
          <w:szCs w:val="22"/>
        </w:rPr>
      </w:pPr>
    </w:p>
    <w:p w:rsidR="00157F8C" w:rsidRPr="0063518B" w:rsidRDefault="00157F8C" w:rsidP="008771D5">
      <w:pPr>
        <w:jc w:val="both"/>
        <w:rPr>
          <w:sz w:val="22"/>
          <w:szCs w:val="22"/>
        </w:rPr>
      </w:pPr>
    </w:p>
    <w:p w:rsidR="00EB4F5D" w:rsidRPr="0063518B" w:rsidRDefault="00EB4F5D" w:rsidP="008771D5">
      <w:pPr>
        <w:jc w:val="both"/>
        <w:rPr>
          <w:sz w:val="22"/>
          <w:szCs w:val="22"/>
        </w:rPr>
      </w:pPr>
    </w:p>
    <w:p w:rsidR="00EB4F5D" w:rsidRPr="0063518B" w:rsidRDefault="00EB4F5D" w:rsidP="008771D5">
      <w:pPr>
        <w:jc w:val="both"/>
        <w:rPr>
          <w:sz w:val="22"/>
          <w:szCs w:val="22"/>
        </w:rPr>
      </w:pPr>
    </w:p>
    <w:bookmarkEnd w:id="0"/>
    <w:p w:rsidR="00EB4F5D" w:rsidRPr="0063518B" w:rsidRDefault="00EB4F5D" w:rsidP="008771D5">
      <w:pPr>
        <w:jc w:val="both"/>
        <w:rPr>
          <w:sz w:val="22"/>
          <w:szCs w:val="22"/>
        </w:rPr>
      </w:pPr>
    </w:p>
    <w:sectPr w:rsidR="00EB4F5D" w:rsidRPr="0063518B" w:rsidSect="000C1248">
      <w:headerReference w:type="even" r:id="rId11"/>
      <w:footerReference w:type="even" r:id="rId12"/>
      <w:footerReference w:type="default" r:id="rId13"/>
      <w:type w:val="oddPage"/>
      <w:pgSz w:w="11906" w:h="16838" w:code="9"/>
      <w:pgMar w:top="1418" w:right="1247" w:bottom="1418" w:left="1588" w:header="709" w:footer="709" w:gutter="0"/>
      <w:pgNumType w:start="13"/>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6E657B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6E657B3" w16cid:durableId="235FB417"/>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F46" w:rsidRDefault="004F0F46">
      <w:r>
        <w:separator/>
      </w:r>
    </w:p>
  </w:endnote>
  <w:endnote w:type="continuationSeparator" w:id="0">
    <w:p w:rsidR="004F0F46" w:rsidRDefault="004F0F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A06" w:rsidRPr="005B07D5" w:rsidRDefault="00BB100C">
    <w:pPr>
      <w:pStyle w:val="a4"/>
      <w:jc w:val="both"/>
      <w:rPr>
        <w:color w:val="333333"/>
        <w:lang w:val="en-US"/>
      </w:rPr>
    </w:pPr>
    <w:r>
      <w:rPr>
        <w:rStyle w:val="a5"/>
        <w:b/>
        <w:sz w:val="28"/>
      </w:rPr>
      <w:fldChar w:fldCharType="begin"/>
    </w:r>
    <w:r w:rsidR="00D93A06">
      <w:rPr>
        <w:rStyle w:val="a5"/>
        <w:b/>
        <w:sz w:val="28"/>
      </w:rPr>
      <w:instrText xml:space="preserve"> PAGE </w:instrText>
    </w:r>
    <w:r>
      <w:rPr>
        <w:rStyle w:val="a5"/>
        <w:b/>
        <w:sz w:val="28"/>
      </w:rPr>
      <w:fldChar w:fldCharType="separate"/>
    </w:r>
    <w:r w:rsidR="000C1248">
      <w:rPr>
        <w:rStyle w:val="a5"/>
        <w:b/>
        <w:noProof/>
        <w:sz w:val="28"/>
      </w:rPr>
      <w:t>38</w:t>
    </w:r>
    <w:r>
      <w:rPr>
        <w:rStyle w:val="a5"/>
        <w:b/>
        <w:sz w:val="28"/>
      </w:rPr>
      <w:fldChar w:fldCharType="end"/>
    </w:r>
    <w:r w:rsidR="00D93A06">
      <w:rPr>
        <w:rStyle w:val="a5"/>
        <w:b/>
        <w:sz w:val="28"/>
      </w:rPr>
      <w:t xml:space="preserve">    </w:t>
    </w:r>
    <w:r w:rsidR="00D93A06">
      <w:rPr>
        <w:rFonts w:ascii="Arial Narrow" w:hAnsi="Arial Narrow"/>
        <w:color w:val="333333"/>
        <w:sz w:val="22"/>
      </w:rPr>
      <w:t>ΚΡΑΤΙΚΟΣ ΠΡΟΫΠΟΛΟΓΙΣΜΟΣ 202</w:t>
    </w:r>
    <w:r w:rsidR="00D93A06">
      <w:rPr>
        <w:rFonts w:ascii="Arial Narrow" w:hAnsi="Arial Narrow"/>
        <w:color w:val="333333"/>
        <w:sz w:val="22"/>
        <w:lang w:val="en-US"/>
      </w:rPr>
      <w:t>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A06" w:rsidRPr="00D172EF" w:rsidRDefault="00D93A06" w:rsidP="00522B02">
    <w:pPr>
      <w:pStyle w:val="a4"/>
      <w:jc w:val="right"/>
    </w:pPr>
    <w:r>
      <w:rPr>
        <w:rFonts w:ascii="Arial Narrow" w:hAnsi="Arial Narrow"/>
        <w:color w:val="333333"/>
        <w:sz w:val="22"/>
      </w:rPr>
      <w:t>ΚΡΑΤΙΚΟΣ ΠΡΟΫΠΟΛΟΓΙΣΜΟΣ 202</w:t>
    </w:r>
    <w:r>
      <w:rPr>
        <w:rFonts w:ascii="Arial Narrow" w:hAnsi="Arial Narrow"/>
        <w:color w:val="333333"/>
        <w:sz w:val="22"/>
        <w:lang w:val="en-US"/>
      </w:rPr>
      <w:t>1</w:t>
    </w:r>
    <w:r>
      <w:rPr>
        <w:rFonts w:ascii="Arial Narrow" w:hAnsi="Arial Narrow"/>
        <w:color w:val="333333"/>
        <w:sz w:val="22"/>
      </w:rPr>
      <w:t xml:space="preserve">      </w:t>
    </w:r>
    <w:r w:rsidR="00BB100C">
      <w:rPr>
        <w:rStyle w:val="a5"/>
        <w:b/>
        <w:sz w:val="28"/>
      </w:rPr>
      <w:fldChar w:fldCharType="begin"/>
    </w:r>
    <w:r>
      <w:rPr>
        <w:rStyle w:val="a5"/>
        <w:b/>
        <w:sz w:val="28"/>
      </w:rPr>
      <w:instrText xml:space="preserve"> PAGE </w:instrText>
    </w:r>
    <w:r w:rsidR="00BB100C">
      <w:rPr>
        <w:rStyle w:val="a5"/>
        <w:b/>
        <w:sz w:val="28"/>
      </w:rPr>
      <w:fldChar w:fldCharType="separate"/>
    </w:r>
    <w:r w:rsidR="000C1248">
      <w:rPr>
        <w:rStyle w:val="a5"/>
        <w:b/>
        <w:noProof/>
        <w:sz w:val="28"/>
      </w:rPr>
      <w:t>39</w:t>
    </w:r>
    <w:r w:rsidR="00BB100C">
      <w:rPr>
        <w:rStyle w:val="a5"/>
        <w:b/>
        <w:sz w:val="28"/>
      </w:rPr>
      <w:fldChar w:fldCharType="end"/>
    </w:r>
  </w:p>
  <w:p w:rsidR="00D93A06" w:rsidRDefault="00D93A0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F46" w:rsidRDefault="004F0F46">
      <w:r>
        <w:separator/>
      </w:r>
    </w:p>
  </w:footnote>
  <w:footnote w:type="continuationSeparator" w:id="0">
    <w:p w:rsidR="004F0F46" w:rsidRDefault="004F0F46">
      <w:r>
        <w:continuationSeparator/>
      </w:r>
    </w:p>
  </w:footnote>
  <w:footnote w:id="1">
    <w:p w:rsidR="00D93A06" w:rsidRPr="0063518B" w:rsidRDefault="00D93A06" w:rsidP="00206ED7">
      <w:pPr>
        <w:pStyle w:val="aa"/>
        <w:tabs>
          <w:tab w:val="left" w:pos="142"/>
        </w:tabs>
        <w:ind w:left="142" w:hanging="142"/>
        <w:jc w:val="both"/>
        <w:rPr>
          <w:rFonts w:ascii="Arial Narrow" w:hAnsi="Arial Narrow"/>
          <w:sz w:val="18"/>
          <w:szCs w:val="18"/>
          <w:lang w:val="el-GR"/>
        </w:rPr>
      </w:pPr>
      <w:r w:rsidRPr="0063518B">
        <w:rPr>
          <w:rStyle w:val="ab"/>
          <w:rFonts w:ascii="Arial Narrow" w:hAnsi="Arial Narrow"/>
          <w:sz w:val="18"/>
          <w:szCs w:val="18"/>
        </w:rPr>
        <w:footnoteRef/>
      </w:r>
      <w:r w:rsidRPr="0063518B">
        <w:rPr>
          <w:rFonts w:ascii="Arial Narrow" w:hAnsi="Arial Narrow"/>
          <w:sz w:val="18"/>
          <w:szCs w:val="18"/>
          <w:lang w:val="el-GR"/>
        </w:rPr>
        <w:t xml:space="preserve"> </w:t>
      </w:r>
      <w:r>
        <w:rPr>
          <w:rFonts w:ascii="Arial Narrow" w:hAnsi="Arial Narrow"/>
          <w:sz w:val="18"/>
          <w:szCs w:val="18"/>
          <w:lang w:val="el-GR"/>
        </w:rPr>
        <w:tab/>
      </w:r>
      <w:r w:rsidRPr="0063518B">
        <w:rPr>
          <w:rFonts w:ascii="Arial Narrow" w:hAnsi="Arial Narrow"/>
          <w:sz w:val="18"/>
          <w:szCs w:val="18"/>
          <w:lang w:val="el-GR"/>
        </w:rPr>
        <w:t>Φθινοπωρινές Οικονομικές Προβλέψεις Ευρωπαϊκής Επιτροπής, Νοέμβριος 2020.</w:t>
      </w:r>
    </w:p>
  </w:footnote>
  <w:footnote w:id="2">
    <w:p w:rsidR="00D93A06" w:rsidRPr="0063518B" w:rsidRDefault="00D93A06" w:rsidP="00206ED7">
      <w:pPr>
        <w:pStyle w:val="aa"/>
        <w:tabs>
          <w:tab w:val="left" w:pos="142"/>
        </w:tabs>
        <w:ind w:left="142" w:hanging="142"/>
        <w:jc w:val="both"/>
        <w:rPr>
          <w:rFonts w:ascii="Arial Narrow" w:hAnsi="Arial Narrow"/>
          <w:sz w:val="18"/>
          <w:szCs w:val="18"/>
          <w:lang w:val="el-GR"/>
        </w:rPr>
      </w:pPr>
      <w:r w:rsidRPr="0063518B">
        <w:rPr>
          <w:rStyle w:val="ab"/>
          <w:rFonts w:ascii="Arial Narrow" w:hAnsi="Arial Narrow"/>
          <w:sz w:val="18"/>
          <w:szCs w:val="18"/>
        </w:rPr>
        <w:footnoteRef/>
      </w:r>
      <w:r>
        <w:rPr>
          <w:rFonts w:ascii="Arial Narrow" w:hAnsi="Arial Narrow"/>
          <w:sz w:val="18"/>
          <w:szCs w:val="18"/>
          <w:lang w:val="el-GR"/>
        </w:rPr>
        <w:tab/>
      </w:r>
      <w:r w:rsidRPr="0063518B">
        <w:rPr>
          <w:rFonts w:ascii="Arial Narrow" w:hAnsi="Arial Narrow"/>
          <w:sz w:val="18"/>
          <w:szCs w:val="18"/>
          <w:lang w:val="el-GR"/>
        </w:rPr>
        <w:t xml:space="preserve">Ο ρυθμός μεταβολής του παγκόσμιου ΑΕΠ (εκτός ζώνης ευρώ), σύμφωνα με την ΕΚΤ (έκθεση του Σεπτεμβρίου 2020), εκτιμάται σε </w:t>
      </w:r>
    </w:p>
    <w:p w:rsidR="00D93A06" w:rsidRPr="0063518B" w:rsidRDefault="00D93A06" w:rsidP="00206ED7">
      <w:pPr>
        <w:pStyle w:val="aa"/>
        <w:tabs>
          <w:tab w:val="left" w:pos="142"/>
        </w:tabs>
        <w:ind w:left="142" w:hanging="142"/>
        <w:jc w:val="both"/>
        <w:rPr>
          <w:rFonts w:ascii="Arial Narrow" w:hAnsi="Arial Narrow"/>
          <w:sz w:val="18"/>
          <w:szCs w:val="18"/>
          <w:lang w:val="el-GR"/>
        </w:rPr>
      </w:pPr>
      <w:r w:rsidRPr="0063518B">
        <w:rPr>
          <w:rFonts w:ascii="Arial Narrow" w:hAnsi="Arial Narrow"/>
          <w:sz w:val="18"/>
          <w:szCs w:val="18"/>
          <w:lang w:val="el-GR"/>
        </w:rPr>
        <w:t xml:space="preserve"> </w:t>
      </w:r>
      <w:r>
        <w:rPr>
          <w:rFonts w:ascii="Arial Narrow" w:hAnsi="Arial Narrow"/>
          <w:sz w:val="18"/>
          <w:szCs w:val="18"/>
          <w:lang w:val="el-GR"/>
        </w:rPr>
        <w:tab/>
      </w:r>
      <w:r w:rsidRPr="0063518B">
        <w:rPr>
          <w:rFonts w:ascii="Arial Narrow" w:hAnsi="Arial Narrow"/>
          <w:sz w:val="18"/>
          <w:szCs w:val="18"/>
          <w:lang w:val="el-GR"/>
        </w:rPr>
        <w:t>-3,7% για το 2020 και 6,2% για το 2021, από -4,0% και 6,0% (έκθεση Ιουνίου 2020).</w:t>
      </w:r>
    </w:p>
  </w:footnote>
  <w:footnote w:id="3">
    <w:p w:rsidR="00D93A06" w:rsidRPr="0063518B" w:rsidRDefault="00D93A06" w:rsidP="009F543F">
      <w:pPr>
        <w:pStyle w:val="aa"/>
        <w:tabs>
          <w:tab w:val="left" w:pos="142"/>
        </w:tabs>
        <w:ind w:left="142" w:hanging="142"/>
        <w:jc w:val="both"/>
        <w:rPr>
          <w:rFonts w:ascii="Arial Narrow" w:hAnsi="Arial Narrow"/>
          <w:sz w:val="18"/>
          <w:szCs w:val="18"/>
          <w:lang w:val="en-US"/>
        </w:rPr>
      </w:pPr>
      <w:r w:rsidRPr="0063518B">
        <w:rPr>
          <w:rStyle w:val="ab"/>
          <w:rFonts w:ascii="Arial Narrow" w:hAnsi="Arial Narrow"/>
          <w:sz w:val="18"/>
          <w:szCs w:val="18"/>
        </w:rPr>
        <w:footnoteRef/>
      </w:r>
      <w:r w:rsidRPr="0063518B">
        <w:rPr>
          <w:rStyle w:val="ab"/>
          <w:rFonts w:ascii="Arial Narrow" w:hAnsi="Arial Narrow"/>
          <w:sz w:val="18"/>
          <w:szCs w:val="18"/>
        </w:rPr>
        <w:t xml:space="preserve"> </w:t>
      </w:r>
      <w:r w:rsidRPr="009F543F">
        <w:rPr>
          <w:rFonts w:ascii="Arial Narrow" w:hAnsi="Arial Narrow"/>
          <w:sz w:val="18"/>
          <w:szCs w:val="18"/>
          <w:lang w:val="en-US"/>
        </w:rPr>
        <w:tab/>
      </w:r>
      <w:r w:rsidRPr="0063518B">
        <w:rPr>
          <w:rFonts w:ascii="Arial Narrow" w:hAnsi="Arial Narrow"/>
          <w:sz w:val="18"/>
          <w:szCs w:val="18"/>
          <w:lang w:val="en-US"/>
        </w:rPr>
        <w:t xml:space="preserve">IMF, World </w:t>
      </w:r>
      <w:r w:rsidRPr="0063518B">
        <w:rPr>
          <w:rFonts w:ascii="Arial Narrow" w:hAnsi="Arial Narrow"/>
          <w:sz w:val="18"/>
          <w:szCs w:val="18"/>
          <w:lang w:val="el-GR"/>
        </w:rPr>
        <w:t>Ε</w:t>
      </w:r>
      <w:r w:rsidRPr="0063518B">
        <w:rPr>
          <w:rFonts w:ascii="Arial Narrow" w:hAnsi="Arial Narrow"/>
          <w:sz w:val="18"/>
          <w:szCs w:val="18"/>
          <w:lang w:val="en-US"/>
        </w:rPr>
        <w:t xml:space="preserve">conomic </w:t>
      </w:r>
      <w:r w:rsidRPr="0063518B">
        <w:rPr>
          <w:rFonts w:ascii="Arial Narrow" w:hAnsi="Arial Narrow"/>
          <w:sz w:val="18"/>
          <w:szCs w:val="18"/>
          <w:lang w:val="el-GR"/>
        </w:rPr>
        <w:t>Ο</w:t>
      </w:r>
      <w:r w:rsidRPr="0063518B">
        <w:rPr>
          <w:rFonts w:ascii="Arial Narrow" w:hAnsi="Arial Narrow"/>
          <w:sz w:val="18"/>
          <w:szCs w:val="18"/>
          <w:lang w:val="en-US"/>
        </w:rPr>
        <w:t>utlook, Update (</w:t>
      </w:r>
      <w:r w:rsidRPr="0063518B">
        <w:rPr>
          <w:rFonts w:ascii="Arial Narrow" w:hAnsi="Arial Narrow"/>
          <w:sz w:val="18"/>
          <w:szCs w:val="18"/>
          <w:lang w:val="el-GR"/>
        </w:rPr>
        <w:t>Οκτώβριος</w:t>
      </w:r>
      <w:r w:rsidRPr="0063518B">
        <w:rPr>
          <w:rFonts w:ascii="Arial Narrow" w:hAnsi="Arial Narrow"/>
          <w:sz w:val="18"/>
          <w:szCs w:val="18"/>
          <w:lang w:val="en-US"/>
        </w:rPr>
        <w:t xml:space="preserve"> 2020).</w:t>
      </w:r>
    </w:p>
  </w:footnote>
  <w:footnote w:id="4">
    <w:p w:rsidR="00D93A06" w:rsidRDefault="00D93A06" w:rsidP="006B6335">
      <w:pPr>
        <w:pStyle w:val="aa"/>
        <w:tabs>
          <w:tab w:val="left" w:pos="142"/>
        </w:tabs>
        <w:ind w:left="142" w:hanging="142"/>
        <w:jc w:val="both"/>
        <w:rPr>
          <w:rStyle w:val="ab"/>
          <w:sz w:val="18"/>
          <w:szCs w:val="18"/>
          <w:lang w:val="el-GR"/>
        </w:rPr>
      </w:pPr>
      <w:r>
        <w:rPr>
          <w:rStyle w:val="ab"/>
          <w:rFonts w:ascii="Arial Narrow" w:hAnsi="Arial Narrow"/>
          <w:sz w:val="18"/>
          <w:szCs w:val="18"/>
        </w:rPr>
        <w:footnoteRef/>
      </w:r>
      <w:r>
        <w:rPr>
          <w:rStyle w:val="ab"/>
          <w:rFonts w:ascii="Arial Narrow" w:hAnsi="Arial Narrow"/>
          <w:sz w:val="18"/>
          <w:szCs w:val="18"/>
          <w:lang w:val="el-GR"/>
        </w:rPr>
        <w:t xml:space="preserve"> </w:t>
      </w:r>
      <w:r>
        <w:rPr>
          <w:rFonts w:ascii="Arial Narrow" w:hAnsi="Arial Narrow"/>
          <w:sz w:val="18"/>
          <w:szCs w:val="18"/>
          <w:lang w:val="el-GR"/>
        </w:rPr>
        <w:tab/>
        <w:t>«Μακροοικονομικές προβολές εμπειρογνωμόνων της ΕΚΤ για τη ζώνη του ευρώ» Ευρωπαϊκή Κεντρική Τράπεζα, Σεπτέμβριος 2020.</w:t>
      </w:r>
      <w:r>
        <w:rPr>
          <w:rStyle w:val="ab"/>
          <w:rFonts w:ascii="Arial Narrow" w:hAnsi="Arial Narrow"/>
          <w:sz w:val="18"/>
          <w:szCs w:val="18"/>
          <w:lang w:val="el-GR"/>
        </w:rPr>
        <w:t>.</w:t>
      </w:r>
    </w:p>
  </w:footnote>
  <w:footnote w:id="5">
    <w:p w:rsidR="00D93A06" w:rsidRPr="0063518B" w:rsidRDefault="00D93A06" w:rsidP="00206ED7">
      <w:pPr>
        <w:pStyle w:val="aa"/>
        <w:tabs>
          <w:tab w:val="left" w:pos="142"/>
        </w:tabs>
        <w:ind w:left="142" w:hanging="142"/>
        <w:jc w:val="both"/>
        <w:rPr>
          <w:rFonts w:ascii="Arial Narrow" w:hAnsi="Arial Narrow"/>
          <w:sz w:val="18"/>
          <w:szCs w:val="18"/>
          <w:lang w:val="el-GR"/>
        </w:rPr>
      </w:pPr>
      <w:r w:rsidRPr="0063518B">
        <w:rPr>
          <w:rStyle w:val="ab"/>
          <w:rFonts w:ascii="Arial Narrow" w:hAnsi="Arial Narrow"/>
          <w:sz w:val="18"/>
          <w:szCs w:val="18"/>
        </w:rPr>
        <w:footnoteRef/>
      </w:r>
      <w:r w:rsidRPr="0063518B">
        <w:rPr>
          <w:rFonts w:ascii="Arial Narrow" w:hAnsi="Arial Narrow"/>
          <w:sz w:val="18"/>
          <w:szCs w:val="18"/>
          <w:lang w:val="el-GR"/>
        </w:rPr>
        <w:t xml:space="preserve"> </w:t>
      </w:r>
      <w:r>
        <w:rPr>
          <w:rFonts w:ascii="Arial Narrow" w:hAnsi="Arial Narrow"/>
          <w:sz w:val="18"/>
          <w:szCs w:val="18"/>
          <w:lang w:val="el-GR"/>
        </w:rPr>
        <w:tab/>
      </w:r>
      <w:r w:rsidRPr="0063518B">
        <w:rPr>
          <w:rFonts w:ascii="Arial Narrow" w:hAnsi="Arial Narrow"/>
          <w:sz w:val="18"/>
          <w:szCs w:val="18"/>
          <w:lang w:val="el-GR"/>
        </w:rPr>
        <w:t>Το επιτόκιο στις πράξεις κύριας αναχρηματοδότησης του Ευρωσυστήματος και το επιτόκιο στην πάγια διευκόλυνση οριακής αναχρ</w:t>
      </w:r>
      <w:r w:rsidRPr="0063518B">
        <w:rPr>
          <w:rFonts w:ascii="Arial Narrow" w:hAnsi="Arial Narrow"/>
          <w:sz w:val="18"/>
          <w:szCs w:val="18"/>
          <w:lang w:val="el-GR"/>
        </w:rPr>
        <w:t>η</w:t>
      </w:r>
      <w:r w:rsidRPr="0063518B">
        <w:rPr>
          <w:rFonts w:ascii="Arial Narrow" w:hAnsi="Arial Narrow"/>
          <w:sz w:val="18"/>
          <w:szCs w:val="18"/>
          <w:lang w:val="el-GR"/>
        </w:rPr>
        <w:t>ματοδότησης παρέμειναν 0% και 0,25% αντίστοιχα, δηλαδή στα επίπεδα στα οποία έχουν διαμορφωθεί από το Μάρτιο του 2016, ενώ το επιτόκιο στη διευκόλυνση αποδοχής καταθέσεων έχει διαμορφωθεί σε -0,50% από το Σεπτέμβριο του 2019.</w:t>
      </w:r>
    </w:p>
  </w:footnote>
  <w:footnote w:id="6">
    <w:p w:rsidR="00D93A06" w:rsidRPr="00194C9D" w:rsidRDefault="00D93A06" w:rsidP="00206ED7">
      <w:pPr>
        <w:pStyle w:val="aa"/>
        <w:tabs>
          <w:tab w:val="left" w:pos="142"/>
        </w:tabs>
        <w:ind w:left="142" w:hanging="142"/>
        <w:rPr>
          <w:rFonts w:ascii="Arial Narrow" w:hAnsi="Arial Narrow"/>
          <w:sz w:val="18"/>
          <w:szCs w:val="18"/>
          <w:lang w:val="el-GR"/>
        </w:rPr>
      </w:pPr>
      <w:r w:rsidRPr="00194C9D">
        <w:rPr>
          <w:rStyle w:val="ab"/>
          <w:rFonts w:ascii="Arial Narrow" w:hAnsi="Arial Narrow"/>
          <w:sz w:val="18"/>
          <w:szCs w:val="18"/>
        </w:rPr>
        <w:footnoteRef/>
      </w:r>
      <w:r w:rsidRPr="00194C9D">
        <w:rPr>
          <w:rFonts w:ascii="Arial Narrow" w:hAnsi="Arial Narrow"/>
          <w:sz w:val="18"/>
          <w:szCs w:val="18"/>
          <w:lang w:val="el-GR"/>
        </w:rPr>
        <w:t xml:space="preserve"> </w:t>
      </w:r>
      <w:r>
        <w:rPr>
          <w:rFonts w:ascii="Arial Narrow" w:hAnsi="Arial Narrow"/>
          <w:sz w:val="18"/>
          <w:szCs w:val="18"/>
          <w:lang w:val="el-GR"/>
        </w:rPr>
        <w:t xml:space="preserve"> </w:t>
      </w:r>
      <w:r>
        <w:rPr>
          <w:rFonts w:ascii="Arial Narrow" w:hAnsi="Arial Narrow"/>
          <w:sz w:val="18"/>
          <w:szCs w:val="18"/>
          <w:lang w:val="el-GR"/>
        </w:rPr>
        <w:tab/>
        <w:t>Δελτίο τύπου ΕΛΣΤΑΤ «Ετήσιοι Εθνικοί Λογαριασμοί 2018, 2019 (2</w:t>
      </w:r>
      <w:r w:rsidRPr="00194C9D">
        <w:rPr>
          <w:rFonts w:ascii="Arial Narrow" w:hAnsi="Arial Narrow"/>
          <w:sz w:val="18"/>
          <w:szCs w:val="18"/>
          <w:vertAlign w:val="superscript"/>
          <w:lang w:val="el-GR"/>
        </w:rPr>
        <w:t>η</w:t>
      </w:r>
      <w:r>
        <w:rPr>
          <w:rFonts w:ascii="Arial Narrow" w:hAnsi="Arial Narrow"/>
          <w:sz w:val="18"/>
          <w:szCs w:val="18"/>
          <w:lang w:val="el-GR"/>
        </w:rPr>
        <w:t xml:space="preserve"> εκτίμηση) αλλαγή έτους βάσης και αναθεώρηση ετών 2010-2017, 16 Οκτωβρίου 2020.</w:t>
      </w:r>
    </w:p>
  </w:footnote>
  <w:footnote w:id="7">
    <w:p w:rsidR="00D93A06" w:rsidRPr="003207F1" w:rsidRDefault="00D93A06" w:rsidP="00206ED7">
      <w:pPr>
        <w:pStyle w:val="aa"/>
        <w:tabs>
          <w:tab w:val="left" w:pos="142"/>
        </w:tabs>
        <w:ind w:left="142" w:hanging="142"/>
        <w:jc w:val="both"/>
        <w:rPr>
          <w:rFonts w:ascii="Arial Narrow" w:hAnsi="Arial Narrow"/>
          <w:sz w:val="18"/>
          <w:szCs w:val="18"/>
          <w:lang w:val="el-GR"/>
        </w:rPr>
      </w:pPr>
      <w:r w:rsidRPr="003207F1">
        <w:rPr>
          <w:rStyle w:val="ab"/>
          <w:rFonts w:ascii="Arial Narrow" w:hAnsi="Arial Narrow"/>
          <w:sz w:val="18"/>
          <w:szCs w:val="18"/>
        </w:rPr>
        <w:footnoteRef/>
      </w:r>
      <w:r w:rsidRPr="003207F1">
        <w:rPr>
          <w:rFonts w:ascii="Arial Narrow" w:hAnsi="Arial Narrow"/>
          <w:sz w:val="18"/>
          <w:szCs w:val="18"/>
          <w:lang w:val="el-GR"/>
        </w:rPr>
        <w:t xml:space="preserve"> </w:t>
      </w:r>
      <w:r>
        <w:rPr>
          <w:rFonts w:ascii="Arial Narrow" w:hAnsi="Arial Narrow"/>
          <w:sz w:val="18"/>
          <w:szCs w:val="18"/>
          <w:lang w:val="el-GR"/>
        </w:rPr>
        <w:tab/>
      </w:r>
      <w:r w:rsidRPr="003207F1">
        <w:rPr>
          <w:rFonts w:ascii="Arial Narrow" w:hAnsi="Arial Narrow"/>
          <w:sz w:val="18"/>
          <w:szCs w:val="18"/>
          <w:lang w:val="el-GR"/>
        </w:rPr>
        <w:t xml:space="preserve">Λόγω της προς τα κάτω αναθεώρησης των ρυθμών μεταβολής πραγματικού ΑΕΠ του έτους 2011, και της περιόδου 2016-2018, αλλά και της αλλαγής έτους βάσης (2015=100). </w:t>
      </w:r>
    </w:p>
  </w:footnote>
  <w:footnote w:id="8">
    <w:p w:rsidR="00D93A06" w:rsidRPr="003207F1" w:rsidRDefault="00D93A06" w:rsidP="00206ED7">
      <w:pPr>
        <w:pStyle w:val="aa"/>
        <w:tabs>
          <w:tab w:val="left" w:pos="142"/>
        </w:tabs>
        <w:ind w:left="142" w:hanging="142"/>
        <w:jc w:val="both"/>
        <w:rPr>
          <w:rFonts w:ascii="Arial Narrow" w:hAnsi="Arial Narrow"/>
          <w:sz w:val="18"/>
          <w:szCs w:val="18"/>
          <w:lang w:val="el-GR"/>
        </w:rPr>
      </w:pPr>
      <w:r w:rsidRPr="003207F1">
        <w:rPr>
          <w:rStyle w:val="ab"/>
          <w:rFonts w:ascii="Arial Narrow" w:hAnsi="Arial Narrow"/>
          <w:sz w:val="18"/>
          <w:szCs w:val="18"/>
        </w:rPr>
        <w:footnoteRef/>
      </w:r>
      <w:r w:rsidRPr="003207F1">
        <w:rPr>
          <w:rFonts w:ascii="Arial Narrow" w:hAnsi="Arial Narrow"/>
          <w:sz w:val="18"/>
          <w:szCs w:val="18"/>
          <w:lang w:val="el-GR"/>
        </w:rPr>
        <w:t xml:space="preserve"> </w:t>
      </w:r>
      <w:r>
        <w:rPr>
          <w:rFonts w:ascii="Arial Narrow" w:hAnsi="Arial Narrow"/>
          <w:sz w:val="18"/>
          <w:szCs w:val="18"/>
          <w:lang w:val="el-GR"/>
        </w:rPr>
        <w:tab/>
      </w:r>
      <w:r w:rsidRPr="003207F1">
        <w:rPr>
          <w:rFonts w:ascii="Arial Narrow" w:hAnsi="Arial Narrow"/>
          <w:sz w:val="18"/>
          <w:szCs w:val="18"/>
          <w:lang w:val="el-GR"/>
        </w:rPr>
        <w:t>Για τα έτη 2011-2012, η κατάταξη αφορά 183 χώρες· για το 2013, 185 χώρες· για την περίοδο 2014-2016, 189 χώρες και για την περί</w:t>
      </w:r>
      <w:r w:rsidRPr="003207F1">
        <w:rPr>
          <w:rFonts w:ascii="Arial Narrow" w:hAnsi="Arial Narrow"/>
          <w:sz w:val="18"/>
          <w:szCs w:val="18"/>
          <w:lang w:val="el-GR"/>
        </w:rPr>
        <w:t>ο</w:t>
      </w:r>
      <w:r w:rsidRPr="003207F1">
        <w:rPr>
          <w:rFonts w:ascii="Arial Narrow" w:hAnsi="Arial Narrow"/>
          <w:sz w:val="18"/>
          <w:szCs w:val="18"/>
          <w:lang w:val="el-GR"/>
        </w:rPr>
        <w:t>δο 2017-2020, 190 χώρες.</w:t>
      </w:r>
    </w:p>
  </w:footnote>
  <w:footnote w:id="9">
    <w:p w:rsidR="00D93A06" w:rsidRPr="003207F1" w:rsidRDefault="00D93A06" w:rsidP="00206ED7">
      <w:pPr>
        <w:pStyle w:val="aa"/>
        <w:tabs>
          <w:tab w:val="left" w:pos="142"/>
        </w:tabs>
        <w:ind w:left="142" w:hanging="142"/>
        <w:jc w:val="both"/>
        <w:rPr>
          <w:rFonts w:ascii="Arial Narrow" w:hAnsi="Arial Narrow"/>
          <w:sz w:val="18"/>
          <w:szCs w:val="18"/>
          <w:lang w:val="el-GR"/>
        </w:rPr>
      </w:pPr>
      <w:r w:rsidRPr="003207F1">
        <w:rPr>
          <w:rStyle w:val="ab"/>
          <w:rFonts w:ascii="Arial Narrow" w:hAnsi="Arial Narrow"/>
          <w:sz w:val="18"/>
          <w:szCs w:val="18"/>
        </w:rPr>
        <w:footnoteRef/>
      </w:r>
      <w:r w:rsidRPr="003207F1">
        <w:rPr>
          <w:rFonts w:ascii="Arial Narrow" w:hAnsi="Arial Narrow"/>
          <w:sz w:val="18"/>
          <w:szCs w:val="18"/>
          <w:lang w:val="el-GR"/>
        </w:rPr>
        <w:t xml:space="preserve"> </w:t>
      </w:r>
      <w:r>
        <w:rPr>
          <w:rFonts w:ascii="Arial Narrow" w:hAnsi="Arial Narrow"/>
          <w:sz w:val="18"/>
          <w:szCs w:val="18"/>
          <w:lang w:val="el-GR"/>
        </w:rPr>
        <w:tab/>
      </w:r>
      <w:r w:rsidRPr="003207F1">
        <w:rPr>
          <w:rFonts w:ascii="Arial Narrow" w:hAnsi="Arial Narrow"/>
          <w:sz w:val="18"/>
          <w:szCs w:val="18"/>
          <w:lang w:val="el-GR"/>
        </w:rPr>
        <w:t xml:space="preserve">Το 2019, με περίοδο αναφοράς εισοδημάτων του 2018, το 75% του πληθυσμού με τα χαμηλότερα εισοδήματα κατείχε το 55,1% του συνολικού διαθέσιμου εισοδήματος, έναντι κατοχής του 52,8%, αντίστοιχα, το 2015 και το 2016. </w:t>
      </w:r>
    </w:p>
  </w:footnote>
  <w:footnote w:id="10">
    <w:p w:rsidR="00D93A06" w:rsidRPr="003207F1" w:rsidRDefault="00D93A06" w:rsidP="00A707F6">
      <w:pPr>
        <w:pStyle w:val="aa"/>
        <w:tabs>
          <w:tab w:val="left" w:pos="284"/>
        </w:tabs>
        <w:ind w:left="284" w:hanging="284"/>
        <w:jc w:val="both"/>
        <w:rPr>
          <w:rFonts w:ascii="Arial Narrow" w:hAnsi="Arial Narrow"/>
          <w:sz w:val="18"/>
          <w:szCs w:val="18"/>
          <w:lang w:val="el-GR"/>
        </w:rPr>
      </w:pPr>
      <w:r w:rsidRPr="003207F1">
        <w:rPr>
          <w:rStyle w:val="ab"/>
          <w:rFonts w:ascii="Arial Narrow" w:hAnsi="Arial Narrow"/>
          <w:sz w:val="18"/>
          <w:szCs w:val="18"/>
        </w:rPr>
        <w:footnoteRef/>
      </w:r>
      <w:r w:rsidRPr="003207F1">
        <w:rPr>
          <w:rFonts w:ascii="Arial Narrow" w:hAnsi="Arial Narrow"/>
          <w:sz w:val="18"/>
          <w:szCs w:val="18"/>
          <w:lang w:val="el-GR"/>
        </w:rPr>
        <w:tab/>
        <w:t xml:space="preserve">Φθινοπωρινές οικονομικές προβλέψεις της Ευρωπαϊκής Επιτροπής, Νοέμβριος 2020. </w:t>
      </w:r>
    </w:p>
  </w:footnote>
  <w:footnote w:id="11">
    <w:p w:rsidR="00D93A06" w:rsidRPr="003207F1" w:rsidRDefault="00D93A06" w:rsidP="00A707F6">
      <w:pPr>
        <w:pStyle w:val="aa"/>
        <w:tabs>
          <w:tab w:val="left" w:pos="284"/>
        </w:tabs>
        <w:ind w:left="284" w:hanging="284"/>
        <w:jc w:val="both"/>
        <w:rPr>
          <w:rFonts w:ascii="Arial Narrow" w:hAnsi="Arial Narrow"/>
          <w:sz w:val="18"/>
          <w:szCs w:val="18"/>
          <w:lang w:val="el-GR"/>
        </w:rPr>
      </w:pPr>
      <w:r w:rsidRPr="003207F1">
        <w:rPr>
          <w:rStyle w:val="ab"/>
          <w:rFonts w:ascii="Arial Narrow" w:hAnsi="Arial Narrow"/>
          <w:sz w:val="18"/>
          <w:szCs w:val="18"/>
        </w:rPr>
        <w:footnoteRef/>
      </w:r>
      <w:r w:rsidRPr="003207F1">
        <w:rPr>
          <w:rFonts w:ascii="Arial Narrow" w:hAnsi="Arial Narrow"/>
          <w:sz w:val="18"/>
          <w:szCs w:val="18"/>
          <w:lang w:val="el-GR"/>
        </w:rPr>
        <w:tab/>
        <w:t>Τον Ιούλιο του 2020 παρατάθηκε η ισχύς της ως το τέλος του 2021.</w:t>
      </w:r>
    </w:p>
  </w:footnote>
  <w:footnote w:id="12">
    <w:p w:rsidR="00D93A06" w:rsidRPr="003207F1" w:rsidRDefault="00D93A06" w:rsidP="00157F8C">
      <w:pPr>
        <w:pStyle w:val="aa"/>
        <w:tabs>
          <w:tab w:val="left" w:pos="284"/>
        </w:tabs>
        <w:ind w:left="284" w:hanging="284"/>
        <w:jc w:val="both"/>
        <w:rPr>
          <w:rFonts w:ascii="Arial Narrow" w:hAnsi="Arial Narrow"/>
          <w:sz w:val="18"/>
          <w:szCs w:val="18"/>
          <w:lang w:val="el-GR"/>
        </w:rPr>
      </w:pPr>
      <w:r w:rsidRPr="003207F1">
        <w:rPr>
          <w:rStyle w:val="ab"/>
          <w:rFonts w:ascii="Arial Narrow" w:hAnsi="Arial Narrow"/>
          <w:sz w:val="18"/>
          <w:szCs w:val="18"/>
        </w:rPr>
        <w:footnoteRef/>
      </w:r>
      <w:r w:rsidRPr="003207F1">
        <w:rPr>
          <w:rFonts w:ascii="Arial Narrow" w:hAnsi="Arial Narrow"/>
          <w:sz w:val="18"/>
          <w:szCs w:val="18"/>
          <w:lang w:val="el-GR"/>
        </w:rPr>
        <w:t xml:space="preserve"> </w:t>
      </w:r>
      <w:r w:rsidRPr="003207F1">
        <w:rPr>
          <w:rFonts w:ascii="Arial Narrow" w:hAnsi="Arial Narrow"/>
          <w:sz w:val="18"/>
          <w:szCs w:val="18"/>
          <w:lang w:val="el-GR"/>
        </w:rPr>
        <w:tab/>
        <w:t>Το Συμβούλιο της Ευρωπαϊκής Ένωσης ενέκρινε την πρόταση της Ευρωπαϊκής Επιτροπής για την ενεργοποίηση της γενικής ρήτρας διαφυγής του Συμφώνου Σταθερότητας και Ανάπτυξης στις 23 Μαρτίου 2020, στη βάση της πλήρωσης των προϋποθέσεων «σοβ</w:t>
      </w:r>
      <w:r w:rsidRPr="003207F1">
        <w:rPr>
          <w:rFonts w:ascii="Arial Narrow" w:hAnsi="Arial Narrow"/>
          <w:sz w:val="18"/>
          <w:szCs w:val="18"/>
          <w:lang w:val="el-GR"/>
        </w:rPr>
        <w:t>α</w:t>
      </w:r>
      <w:r w:rsidRPr="003207F1">
        <w:rPr>
          <w:rFonts w:ascii="Arial Narrow" w:hAnsi="Arial Narrow"/>
          <w:sz w:val="18"/>
          <w:szCs w:val="18"/>
          <w:lang w:val="el-GR"/>
        </w:rPr>
        <w:t>ρής οικονομικής ύφεσης στη ζώνη του ευρώ ή στην Ένωση συνολικά».</w:t>
      </w:r>
    </w:p>
  </w:footnote>
  <w:footnote w:id="13">
    <w:p w:rsidR="00D93A06" w:rsidRPr="003207F1" w:rsidRDefault="00D93A06" w:rsidP="00157F8C">
      <w:pPr>
        <w:pStyle w:val="aa"/>
        <w:tabs>
          <w:tab w:val="left" w:pos="284"/>
        </w:tabs>
        <w:ind w:left="284" w:hanging="284"/>
        <w:jc w:val="both"/>
        <w:rPr>
          <w:rFonts w:ascii="Arial Narrow" w:hAnsi="Arial Narrow"/>
          <w:sz w:val="18"/>
          <w:szCs w:val="18"/>
          <w:lang w:val="el-GR"/>
        </w:rPr>
      </w:pPr>
      <w:r w:rsidRPr="003207F1">
        <w:rPr>
          <w:rStyle w:val="ab"/>
          <w:rFonts w:ascii="Arial Narrow" w:hAnsi="Arial Narrow"/>
          <w:sz w:val="18"/>
          <w:szCs w:val="18"/>
        </w:rPr>
        <w:footnoteRef/>
      </w:r>
      <w:r w:rsidRPr="003207F1">
        <w:rPr>
          <w:rFonts w:ascii="Arial Narrow" w:hAnsi="Arial Narrow"/>
          <w:sz w:val="18"/>
          <w:szCs w:val="18"/>
          <w:lang w:val="el-GR"/>
        </w:rPr>
        <w:tab/>
        <w:t>Πέραν της πρότασης ενεργοποίησης της γενικής ρήτρας διαφυγής, πρωτοβουλίες της Ευρωπαϊκής Επιτροπής αποτέλεσαν η αν</w:t>
      </w:r>
      <w:r w:rsidRPr="003207F1">
        <w:rPr>
          <w:rFonts w:ascii="Arial Narrow" w:hAnsi="Arial Narrow"/>
          <w:sz w:val="18"/>
          <w:szCs w:val="18"/>
          <w:lang w:val="el-GR"/>
        </w:rPr>
        <w:t>α</w:t>
      </w:r>
      <w:r w:rsidRPr="003207F1">
        <w:rPr>
          <w:rFonts w:ascii="Arial Narrow" w:hAnsi="Arial Narrow"/>
          <w:sz w:val="18"/>
          <w:szCs w:val="18"/>
          <w:lang w:val="el-GR"/>
        </w:rPr>
        <w:t>στολή των ευρωπαϊκών κανόνων κρατικών ενισχύσεων, με τη θέσπιση ενός προσωρινού πλαισίου για τη διευκόλυνση λήψης μ</w:t>
      </w:r>
      <w:r w:rsidRPr="003207F1">
        <w:rPr>
          <w:rFonts w:ascii="Arial Narrow" w:hAnsi="Arial Narrow"/>
          <w:sz w:val="18"/>
          <w:szCs w:val="18"/>
          <w:lang w:val="el-GR"/>
        </w:rPr>
        <w:t>έ</w:t>
      </w:r>
      <w:r w:rsidRPr="003207F1">
        <w:rPr>
          <w:rFonts w:ascii="Arial Narrow" w:hAnsi="Arial Narrow"/>
          <w:sz w:val="18"/>
          <w:szCs w:val="18"/>
          <w:lang w:val="el-GR"/>
        </w:rPr>
        <w:t xml:space="preserve">τρων κρατικής ενίσχυσης προς επιχειρήσεις, καθώς και μια σειρά εκτεταμένων μέτρων για τη στήριξη των επιχειρήσεων και της </w:t>
      </w:r>
      <w:r w:rsidRPr="003207F1">
        <w:rPr>
          <w:rFonts w:ascii="Arial Narrow" w:hAnsi="Arial Narrow"/>
          <w:sz w:val="18"/>
          <w:szCs w:val="18"/>
          <w:lang w:val="el-GR"/>
        </w:rPr>
        <w:t>α</w:t>
      </w:r>
      <w:r w:rsidRPr="003207F1">
        <w:rPr>
          <w:rFonts w:ascii="Arial Narrow" w:hAnsi="Arial Narrow"/>
          <w:sz w:val="18"/>
          <w:szCs w:val="18"/>
          <w:lang w:val="el-GR"/>
        </w:rPr>
        <w:t>πασχόλησης (στήριξη αεροπορικών εταιριών, έλεγχος των ξένων άμεσων επενδύσεων, στήριξη του πρωτογενούς τομέα και η Πρ</w:t>
      </w:r>
      <w:r w:rsidRPr="003207F1">
        <w:rPr>
          <w:rFonts w:ascii="Arial Narrow" w:hAnsi="Arial Narrow"/>
          <w:sz w:val="18"/>
          <w:szCs w:val="18"/>
          <w:lang w:val="el-GR"/>
        </w:rPr>
        <w:t>ω</w:t>
      </w:r>
      <w:r w:rsidRPr="003207F1">
        <w:rPr>
          <w:rFonts w:ascii="Arial Narrow" w:hAnsi="Arial Narrow"/>
          <w:sz w:val="18"/>
          <w:szCs w:val="18"/>
          <w:lang w:val="el-GR"/>
        </w:rPr>
        <w:t>τοβουλία Επενδύσεων για την Αντιμετώπιση του Κορωνοϊού, που εισάγει ρυθμίσεις για τη χρήση μη δαπανηθέντων κονδυλίων των διαρθρωτικών και επενδυτικών ταμείων της Πολιτικής Συνοχής της ΕΕ περιόδου 2014-2020, συνολικού ύψους 37 δισ. ευρώ, για δ</w:t>
      </w:r>
      <w:r w:rsidRPr="003207F1">
        <w:rPr>
          <w:rFonts w:ascii="Arial Narrow" w:hAnsi="Arial Narrow"/>
          <w:sz w:val="18"/>
          <w:szCs w:val="18"/>
          <w:lang w:val="el-GR"/>
        </w:rPr>
        <w:t>α</w:t>
      </w:r>
      <w:r w:rsidRPr="003207F1">
        <w:rPr>
          <w:rFonts w:ascii="Arial Narrow" w:hAnsi="Arial Narrow"/>
          <w:sz w:val="18"/>
          <w:szCs w:val="18"/>
          <w:lang w:val="el-GR"/>
        </w:rPr>
        <w:t>πάνες σχετικές με τον κορωνοϊό).</w:t>
      </w:r>
    </w:p>
  </w:footnote>
  <w:footnote w:id="14">
    <w:p w:rsidR="00D93A06" w:rsidRPr="003207F1" w:rsidRDefault="00D93A06" w:rsidP="00157F8C">
      <w:pPr>
        <w:pStyle w:val="aa"/>
        <w:tabs>
          <w:tab w:val="left" w:pos="284"/>
        </w:tabs>
        <w:ind w:left="284" w:hanging="284"/>
        <w:jc w:val="both"/>
        <w:rPr>
          <w:rFonts w:ascii="Arial Narrow" w:hAnsi="Arial Narrow"/>
          <w:sz w:val="18"/>
          <w:szCs w:val="18"/>
          <w:lang w:val="el-GR"/>
        </w:rPr>
      </w:pPr>
      <w:r w:rsidRPr="003207F1">
        <w:rPr>
          <w:rStyle w:val="ab"/>
          <w:rFonts w:ascii="Arial Narrow" w:hAnsi="Arial Narrow"/>
          <w:sz w:val="18"/>
          <w:szCs w:val="18"/>
        </w:rPr>
        <w:footnoteRef/>
      </w:r>
      <w:r w:rsidRPr="003207F1">
        <w:rPr>
          <w:rFonts w:ascii="Arial Narrow" w:hAnsi="Arial Narrow"/>
          <w:sz w:val="18"/>
          <w:szCs w:val="18"/>
          <w:lang w:val="el-GR"/>
        </w:rPr>
        <w:t xml:space="preserve"> </w:t>
      </w:r>
      <w:r>
        <w:rPr>
          <w:rFonts w:ascii="Arial Narrow" w:hAnsi="Arial Narrow"/>
          <w:sz w:val="18"/>
          <w:szCs w:val="18"/>
          <w:lang w:val="el-GR"/>
        </w:rPr>
        <w:tab/>
      </w:r>
      <w:r w:rsidRPr="003207F1">
        <w:rPr>
          <w:rFonts w:ascii="Arial Narrow" w:hAnsi="Arial Narrow"/>
          <w:sz w:val="18"/>
          <w:szCs w:val="18"/>
          <w:lang w:val="el-GR"/>
        </w:rPr>
        <w:t>Τα οποία όμως υπόκεινται σε αναθεώρηση, καθώς αναμένεται να εναρμονιστούν προς την αναθεώρηση των ετήσιων εθνικολογιστ</w:t>
      </w:r>
      <w:r w:rsidRPr="003207F1">
        <w:rPr>
          <w:rFonts w:ascii="Arial Narrow" w:hAnsi="Arial Narrow"/>
          <w:sz w:val="18"/>
          <w:szCs w:val="18"/>
          <w:lang w:val="el-GR"/>
        </w:rPr>
        <w:t>ι</w:t>
      </w:r>
      <w:r w:rsidRPr="003207F1">
        <w:rPr>
          <w:rFonts w:ascii="Arial Narrow" w:hAnsi="Arial Narrow"/>
          <w:sz w:val="18"/>
          <w:szCs w:val="18"/>
          <w:lang w:val="el-GR"/>
        </w:rPr>
        <w:t>κών στοιχείων του 2019, στις 4 Δεκεμβρίου 2020.</w:t>
      </w:r>
    </w:p>
  </w:footnote>
  <w:footnote w:id="15">
    <w:p w:rsidR="00D93A06" w:rsidRPr="003207F1" w:rsidRDefault="00D93A06" w:rsidP="00157F8C">
      <w:pPr>
        <w:pStyle w:val="aa"/>
        <w:tabs>
          <w:tab w:val="left" w:pos="284"/>
        </w:tabs>
        <w:ind w:left="284" w:hanging="284"/>
        <w:jc w:val="both"/>
        <w:rPr>
          <w:rFonts w:ascii="Arial Narrow" w:hAnsi="Arial Narrow"/>
          <w:sz w:val="18"/>
          <w:szCs w:val="18"/>
          <w:lang w:val="el-GR"/>
        </w:rPr>
      </w:pPr>
      <w:r w:rsidRPr="003207F1">
        <w:rPr>
          <w:rStyle w:val="ab"/>
          <w:rFonts w:ascii="Arial Narrow" w:hAnsi="Arial Narrow"/>
          <w:sz w:val="18"/>
          <w:szCs w:val="18"/>
        </w:rPr>
        <w:footnoteRef/>
      </w:r>
      <w:r w:rsidRPr="003207F1">
        <w:rPr>
          <w:rFonts w:ascii="Arial Narrow" w:hAnsi="Arial Narrow"/>
          <w:sz w:val="18"/>
          <w:szCs w:val="18"/>
          <w:lang w:val="el-GR"/>
        </w:rPr>
        <w:t xml:space="preserve"> </w:t>
      </w:r>
      <w:r>
        <w:rPr>
          <w:rFonts w:ascii="Arial Narrow" w:hAnsi="Arial Narrow"/>
          <w:sz w:val="18"/>
          <w:szCs w:val="18"/>
          <w:lang w:val="el-GR"/>
        </w:rPr>
        <w:tab/>
      </w:r>
      <w:r w:rsidRPr="003207F1">
        <w:rPr>
          <w:rFonts w:ascii="Arial Narrow" w:hAnsi="Arial Narrow"/>
          <w:sz w:val="18"/>
          <w:szCs w:val="18"/>
        </w:rPr>
        <w:t>https</w:t>
      </w:r>
      <w:r w:rsidRPr="003207F1">
        <w:rPr>
          <w:rFonts w:ascii="Arial Narrow" w:hAnsi="Arial Narrow"/>
          <w:sz w:val="18"/>
          <w:szCs w:val="18"/>
          <w:lang w:val="el-GR"/>
        </w:rPr>
        <w:t>://</w:t>
      </w:r>
      <w:r w:rsidRPr="003207F1">
        <w:rPr>
          <w:rFonts w:ascii="Arial Narrow" w:hAnsi="Arial Narrow"/>
          <w:sz w:val="18"/>
          <w:szCs w:val="18"/>
        </w:rPr>
        <w:t>ec</w:t>
      </w:r>
      <w:r w:rsidRPr="003207F1">
        <w:rPr>
          <w:rFonts w:ascii="Arial Narrow" w:hAnsi="Arial Narrow"/>
          <w:sz w:val="18"/>
          <w:szCs w:val="18"/>
          <w:lang w:val="el-GR"/>
        </w:rPr>
        <w:t>.</w:t>
      </w:r>
      <w:r w:rsidRPr="003207F1">
        <w:rPr>
          <w:rFonts w:ascii="Arial Narrow" w:hAnsi="Arial Narrow"/>
          <w:sz w:val="18"/>
          <w:szCs w:val="18"/>
        </w:rPr>
        <w:t>europa</w:t>
      </w:r>
      <w:r w:rsidRPr="003207F1">
        <w:rPr>
          <w:rFonts w:ascii="Arial Narrow" w:hAnsi="Arial Narrow"/>
          <w:sz w:val="18"/>
          <w:szCs w:val="18"/>
          <w:lang w:val="el-GR"/>
        </w:rPr>
        <w:t>.</w:t>
      </w:r>
      <w:r w:rsidRPr="003207F1">
        <w:rPr>
          <w:rFonts w:ascii="Arial Narrow" w:hAnsi="Arial Narrow"/>
          <w:sz w:val="18"/>
          <w:szCs w:val="18"/>
        </w:rPr>
        <w:t>eu</w:t>
      </w:r>
      <w:r w:rsidRPr="003207F1">
        <w:rPr>
          <w:rFonts w:ascii="Arial Narrow" w:hAnsi="Arial Narrow"/>
          <w:sz w:val="18"/>
          <w:szCs w:val="18"/>
          <w:lang w:val="el-GR"/>
        </w:rPr>
        <w:t>/</w:t>
      </w:r>
      <w:r w:rsidRPr="003207F1">
        <w:rPr>
          <w:rFonts w:ascii="Arial Narrow" w:hAnsi="Arial Narrow"/>
          <w:sz w:val="18"/>
          <w:szCs w:val="18"/>
        </w:rPr>
        <w:t>eurostat</w:t>
      </w:r>
      <w:r w:rsidRPr="003207F1">
        <w:rPr>
          <w:rFonts w:ascii="Arial Narrow" w:hAnsi="Arial Narrow"/>
          <w:sz w:val="18"/>
          <w:szCs w:val="18"/>
          <w:lang w:val="el-GR"/>
        </w:rPr>
        <w:t>/</w:t>
      </w:r>
      <w:r w:rsidRPr="003207F1">
        <w:rPr>
          <w:rFonts w:ascii="Arial Narrow" w:hAnsi="Arial Narrow"/>
          <w:sz w:val="18"/>
          <w:szCs w:val="18"/>
        </w:rPr>
        <w:t>web</w:t>
      </w:r>
      <w:r w:rsidRPr="003207F1">
        <w:rPr>
          <w:rFonts w:ascii="Arial Narrow" w:hAnsi="Arial Narrow"/>
          <w:sz w:val="18"/>
          <w:szCs w:val="18"/>
          <w:lang w:val="el-GR"/>
        </w:rPr>
        <w:t>/</w:t>
      </w:r>
      <w:r w:rsidRPr="003207F1">
        <w:rPr>
          <w:rFonts w:ascii="Arial Narrow" w:hAnsi="Arial Narrow"/>
          <w:sz w:val="18"/>
          <w:szCs w:val="18"/>
        </w:rPr>
        <w:t>products</w:t>
      </w:r>
      <w:r w:rsidRPr="003207F1">
        <w:rPr>
          <w:rFonts w:ascii="Arial Narrow" w:hAnsi="Arial Narrow"/>
          <w:sz w:val="18"/>
          <w:szCs w:val="18"/>
          <w:lang w:val="el-GR"/>
        </w:rPr>
        <w:t>-</w:t>
      </w:r>
      <w:r w:rsidRPr="003207F1">
        <w:rPr>
          <w:rFonts w:ascii="Arial Narrow" w:hAnsi="Arial Narrow"/>
          <w:sz w:val="18"/>
          <w:szCs w:val="18"/>
        </w:rPr>
        <w:t>eurostat</w:t>
      </w:r>
      <w:r w:rsidRPr="003207F1">
        <w:rPr>
          <w:rFonts w:ascii="Arial Narrow" w:hAnsi="Arial Narrow"/>
          <w:sz w:val="18"/>
          <w:szCs w:val="18"/>
          <w:lang w:val="el-GR"/>
        </w:rPr>
        <w:t>-</w:t>
      </w:r>
      <w:r w:rsidRPr="003207F1">
        <w:rPr>
          <w:rFonts w:ascii="Arial Narrow" w:hAnsi="Arial Narrow"/>
          <w:sz w:val="18"/>
          <w:szCs w:val="18"/>
        </w:rPr>
        <w:t>news</w:t>
      </w:r>
      <w:r w:rsidRPr="003207F1">
        <w:rPr>
          <w:rFonts w:ascii="Arial Narrow" w:hAnsi="Arial Narrow"/>
          <w:sz w:val="18"/>
          <w:szCs w:val="18"/>
          <w:lang w:val="el-GR"/>
        </w:rPr>
        <w:t>/-/</w:t>
      </w:r>
      <w:r w:rsidRPr="003207F1">
        <w:rPr>
          <w:rFonts w:ascii="Arial Narrow" w:hAnsi="Arial Narrow"/>
          <w:sz w:val="18"/>
          <w:szCs w:val="18"/>
        </w:rPr>
        <w:t>DDN</w:t>
      </w:r>
      <w:r w:rsidRPr="003207F1">
        <w:rPr>
          <w:rFonts w:ascii="Arial Narrow" w:hAnsi="Arial Narrow"/>
          <w:sz w:val="18"/>
          <w:szCs w:val="18"/>
          <w:lang w:val="el-GR"/>
        </w:rPr>
        <w:t>-20201027-2</w:t>
      </w:r>
    </w:p>
  </w:footnote>
  <w:footnote w:id="16">
    <w:p w:rsidR="00D93A06" w:rsidRPr="003207F1" w:rsidRDefault="00D93A06" w:rsidP="00157F8C">
      <w:pPr>
        <w:pStyle w:val="aa"/>
        <w:tabs>
          <w:tab w:val="left" w:pos="284"/>
        </w:tabs>
        <w:ind w:left="284" w:hanging="284"/>
        <w:jc w:val="both"/>
        <w:rPr>
          <w:rFonts w:ascii="Arial Narrow" w:hAnsi="Arial Narrow"/>
          <w:sz w:val="18"/>
          <w:szCs w:val="18"/>
          <w:lang w:val="el-GR"/>
        </w:rPr>
      </w:pPr>
      <w:r w:rsidRPr="003207F1">
        <w:rPr>
          <w:rStyle w:val="ab"/>
          <w:rFonts w:ascii="Arial Narrow" w:hAnsi="Arial Narrow"/>
          <w:sz w:val="18"/>
          <w:szCs w:val="18"/>
        </w:rPr>
        <w:footnoteRef/>
      </w:r>
      <w:r w:rsidRPr="003207F1">
        <w:rPr>
          <w:rFonts w:ascii="Arial Narrow" w:hAnsi="Arial Narrow"/>
          <w:sz w:val="18"/>
          <w:szCs w:val="18"/>
          <w:lang w:val="el-GR"/>
        </w:rPr>
        <w:tab/>
        <w:t>Αντίστοιχο ειδικό βοήθημα 600 ευρώ χορηγήθηκε σε έξι επιστημονικούς τομείς κατά τη διάρκεια του Απριλίου.</w:t>
      </w:r>
    </w:p>
  </w:footnote>
  <w:footnote w:id="17">
    <w:p w:rsidR="00D93A06" w:rsidRPr="000A5D03" w:rsidRDefault="00D93A06" w:rsidP="00157F8C">
      <w:pPr>
        <w:ind w:left="284" w:hanging="284"/>
        <w:jc w:val="both"/>
        <w:rPr>
          <w:rFonts w:ascii="Arial Narrow" w:hAnsi="Arial Narrow"/>
          <w:sz w:val="18"/>
          <w:szCs w:val="18"/>
        </w:rPr>
      </w:pPr>
      <w:r w:rsidRPr="000A5D03">
        <w:rPr>
          <w:rStyle w:val="ab"/>
          <w:rFonts w:ascii="Arial Narrow" w:hAnsi="Arial Narrow"/>
          <w:sz w:val="18"/>
          <w:szCs w:val="18"/>
        </w:rPr>
        <w:footnoteRef/>
      </w:r>
      <w:r w:rsidRPr="000A5D03">
        <w:rPr>
          <w:rFonts w:ascii="Arial Narrow" w:hAnsi="Arial Narrow"/>
          <w:sz w:val="18"/>
          <w:szCs w:val="18"/>
        </w:rPr>
        <w:tab/>
        <w:t>Επιπλέον αυτών, το πακέτο των δημοσιονομικών μέτρων οικονομικής στήριξης συμπληρώνεται από ποικίλες δράσεις που αποτυπ</w:t>
      </w:r>
      <w:r w:rsidRPr="000A5D03">
        <w:rPr>
          <w:rFonts w:ascii="Arial Narrow" w:hAnsi="Arial Narrow"/>
          <w:sz w:val="18"/>
          <w:szCs w:val="18"/>
        </w:rPr>
        <w:t>ώ</w:t>
      </w:r>
      <w:r w:rsidRPr="000A5D03">
        <w:rPr>
          <w:rFonts w:ascii="Arial Narrow" w:hAnsi="Arial Narrow"/>
          <w:sz w:val="18"/>
          <w:szCs w:val="18"/>
        </w:rPr>
        <w:t>νονται στο σύνολό τους στ</w:t>
      </w:r>
      <w:r>
        <w:rPr>
          <w:rFonts w:ascii="Arial Narrow" w:hAnsi="Arial Narrow"/>
          <w:sz w:val="18"/>
          <w:szCs w:val="18"/>
        </w:rPr>
        <w:t>ην</w:t>
      </w:r>
      <w:r w:rsidRPr="000A5D03">
        <w:rPr>
          <w:rFonts w:ascii="Arial Narrow" w:hAnsi="Arial Narrow"/>
          <w:sz w:val="18"/>
          <w:szCs w:val="18"/>
        </w:rPr>
        <w:t xml:space="preserve"> αντίστοιχ</w:t>
      </w:r>
      <w:r>
        <w:rPr>
          <w:rFonts w:ascii="Arial Narrow" w:hAnsi="Arial Narrow"/>
          <w:sz w:val="18"/>
          <w:szCs w:val="18"/>
        </w:rPr>
        <w:t>η</w:t>
      </w:r>
      <w:r w:rsidRPr="000A5D03">
        <w:rPr>
          <w:rFonts w:ascii="Arial Narrow" w:hAnsi="Arial Narrow"/>
          <w:sz w:val="18"/>
          <w:szCs w:val="18"/>
        </w:rPr>
        <w:t xml:space="preserve"> </w:t>
      </w:r>
      <w:r>
        <w:rPr>
          <w:rFonts w:ascii="Arial Narrow" w:hAnsi="Arial Narrow"/>
          <w:sz w:val="18"/>
          <w:szCs w:val="18"/>
        </w:rPr>
        <w:t xml:space="preserve">ενότητα </w:t>
      </w:r>
      <w:r w:rsidRPr="000A5D03">
        <w:rPr>
          <w:rFonts w:ascii="Arial Narrow" w:hAnsi="Arial Narrow"/>
          <w:sz w:val="18"/>
          <w:szCs w:val="18"/>
        </w:rPr>
        <w:t xml:space="preserve">δημοσιονομικών παρεμβάσεων 2020 και 2021. </w:t>
      </w:r>
    </w:p>
  </w:footnote>
  <w:footnote w:id="18">
    <w:p w:rsidR="00D93A06" w:rsidRPr="000A5D03" w:rsidRDefault="00D93A06" w:rsidP="00157F8C">
      <w:pPr>
        <w:pStyle w:val="aa"/>
        <w:tabs>
          <w:tab w:val="left" w:pos="284"/>
        </w:tabs>
        <w:ind w:left="284" w:hanging="284"/>
        <w:jc w:val="both"/>
        <w:rPr>
          <w:rFonts w:ascii="Arial Narrow" w:hAnsi="Arial Narrow"/>
          <w:sz w:val="18"/>
          <w:szCs w:val="18"/>
          <w:lang w:val="el-GR"/>
        </w:rPr>
      </w:pPr>
      <w:r w:rsidRPr="000A5D03">
        <w:rPr>
          <w:rStyle w:val="ab"/>
          <w:rFonts w:ascii="Arial Narrow" w:hAnsi="Arial Narrow"/>
          <w:sz w:val="18"/>
          <w:szCs w:val="18"/>
        </w:rPr>
        <w:footnoteRef/>
      </w:r>
      <w:r w:rsidRPr="000A5D03">
        <w:rPr>
          <w:rFonts w:ascii="Arial Narrow" w:hAnsi="Arial Narrow"/>
          <w:sz w:val="18"/>
          <w:szCs w:val="18"/>
          <w:lang w:val="el-GR"/>
        </w:rPr>
        <w:tab/>
        <w:t>Καθώς και φυσικά πρόσωπα που ασκούν ατομική επιχειρηματική δραστηριότητα ή πρόκειται να συστήσουν πολύ μικρή επιχείρηση, και άτομα που θέλουν να εκπαιδευτούν ώστε να μπουν στην αγορά εργασίας ή προέρχονται από ευάλωτες ομάδες.</w:t>
      </w:r>
    </w:p>
  </w:footnote>
  <w:footnote w:id="19">
    <w:p w:rsidR="00D93A06" w:rsidRPr="000A5D03" w:rsidRDefault="00D93A06" w:rsidP="00157F8C">
      <w:pPr>
        <w:tabs>
          <w:tab w:val="left" w:pos="284"/>
        </w:tabs>
        <w:ind w:left="284" w:hanging="284"/>
        <w:jc w:val="both"/>
        <w:rPr>
          <w:rFonts w:ascii="Arial Narrow" w:hAnsi="Arial Narrow"/>
          <w:sz w:val="18"/>
          <w:szCs w:val="18"/>
        </w:rPr>
      </w:pPr>
      <w:r w:rsidRPr="000A5D03">
        <w:rPr>
          <w:rStyle w:val="ab"/>
          <w:rFonts w:ascii="Arial Narrow" w:hAnsi="Arial Narrow"/>
          <w:sz w:val="18"/>
          <w:szCs w:val="18"/>
        </w:rPr>
        <w:footnoteRef/>
      </w:r>
      <w:r w:rsidRPr="000A5D03">
        <w:rPr>
          <w:rFonts w:ascii="Arial Narrow" w:hAnsi="Arial Narrow"/>
          <w:sz w:val="18"/>
          <w:szCs w:val="18"/>
        </w:rPr>
        <w:tab/>
        <w:t>Επιπλέον, ως μέρος της δέσμης προσωρινών μέτρων για τη χαλάρωση των κριτηρίων καταλληλότητας των εξασφαλίσεων που έλαβε πρόσφατα το Διοικητικό Συμβούλιο, τα ελληνικά κρατικά χρεόγραφα γίνονται προσωρινά αποδεκτά ως εξασφαλίσεις στις πιστοδοτ</w:t>
      </w:r>
      <w:r w:rsidRPr="000A5D03">
        <w:rPr>
          <w:rFonts w:ascii="Arial Narrow" w:hAnsi="Arial Narrow"/>
          <w:sz w:val="18"/>
          <w:szCs w:val="18"/>
        </w:rPr>
        <w:t>ι</w:t>
      </w:r>
      <w:r w:rsidRPr="000A5D03">
        <w:rPr>
          <w:rFonts w:ascii="Arial Narrow" w:hAnsi="Arial Narrow"/>
          <w:sz w:val="18"/>
          <w:szCs w:val="18"/>
        </w:rPr>
        <w:t>κές πράξεις του Ευρωσυστήματος, βάσει παρέκκλισης.</w:t>
      </w:r>
    </w:p>
  </w:footnote>
  <w:footnote w:id="20">
    <w:p w:rsidR="00D93A06" w:rsidRPr="000A5D03" w:rsidRDefault="00D93A06" w:rsidP="00157F8C">
      <w:pPr>
        <w:pStyle w:val="aa"/>
        <w:tabs>
          <w:tab w:val="left" w:pos="284"/>
        </w:tabs>
        <w:jc w:val="both"/>
        <w:rPr>
          <w:rFonts w:ascii="Arial Narrow" w:hAnsi="Arial Narrow"/>
          <w:sz w:val="18"/>
          <w:szCs w:val="18"/>
          <w:lang w:val="el-GR"/>
        </w:rPr>
      </w:pPr>
      <w:r w:rsidRPr="000A5D03">
        <w:rPr>
          <w:rStyle w:val="ab"/>
          <w:rFonts w:ascii="Arial Narrow" w:hAnsi="Arial Narrow"/>
          <w:sz w:val="18"/>
          <w:szCs w:val="18"/>
        </w:rPr>
        <w:footnoteRef/>
      </w:r>
      <w:r>
        <w:rPr>
          <w:rFonts w:ascii="Arial Narrow" w:hAnsi="Arial Narrow"/>
          <w:sz w:val="18"/>
          <w:szCs w:val="18"/>
          <w:lang w:val="el-GR"/>
        </w:rPr>
        <w:tab/>
      </w:r>
      <w:r w:rsidRPr="000A5D03">
        <w:rPr>
          <w:rFonts w:ascii="Arial Narrow" w:hAnsi="Arial Narrow"/>
          <w:sz w:val="18"/>
          <w:szCs w:val="18"/>
          <w:lang w:val="el-GR"/>
        </w:rPr>
        <w:t xml:space="preserve"> Έκθεση Νομισματικής Πολιτικής 2019-2020, Ιούνιος 2020, Τράπεζα της Ελλάδος.</w:t>
      </w:r>
    </w:p>
  </w:footnote>
  <w:footnote w:id="21">
    <w:p w:rsidR="00D93A06" w:rsidRPr="00157F8C" w:rsidRDefault="00D93A06" w:rsidP="00157F8C">
      <w:pPr>
        <w:pStyle w:val="aa"/>
        <w:tabs>
          <w:tab w:val="left" w:pos="284"/>
        </w:tabs>
        <w:jc w:val="both"/>
        <w:rPr>
          <w:rFonts w:ascii="Arial Narrow" w:hAnsi="Arial Narrow"/>
          <w:sz w:val="18"/>
          <w:szCs w:val="18"/>
          <w:lang w:val="el-GR"/>
        </w:rPr>
      </w:pPr>
      <w:r w:rsidRPr="00157F8C">
        <w:rPr>
          <w:rStyle w:val="ab"/>
          <w:rFonts w:ascii="Arial Narrow" w:hAnsi="Arial Narrow"/>
          <w:sz w:val="18"/>
          <w:szCs w:val="18"/>
        </w:rPr>
        <w:footnoteRef/>
      </w:r>
      <w:r w:rsidRPr="00157F8C">
        <w:rPr>
          <w:rFonts w:ascii="Arial Narrow" w:hAnsi="Arial Narrow"/>
          <w:sz w:val="18"/>
          <w:szCs w:val="18"/>
          <w:lang w:val="el-GR"/>
        </w:rPr>
        <w:t xml:space="preserve"> </w:t>
      </w:r>
      <w:r>
        <w:rPr>
          <w:rFonts w:ascii="Arial Narrow" w:hAnsi="Arial Narrow"/>
          <w:sz w:val="18"/>
          <w:szCs w:val="18"/>
          <w:lang w:val="el-GR"/>
        </w:rPr>
        <w:tab/>
      </w:r>
      <w:r w:rsidRPr="00157F8C">
        <w:rPr>
          <w:rFonts w:ascii="Arial Narrow" w:hAnsi="Arial Narrow"/>
          <w:sz w:val="18"/>
          <w:szCs w:val="18"/>
          <w:lang w:val="el-GR"/>
        </w:rPr>
        <w:t xml:space="preserve">Σύμφωνα με τα μηνιαία στοιχεία τραπεζικής χρηματοδότησης και καταθέσεων, της Τράπεζας της Ελλάδος. </w:t>
      </w:r>
    </w:p>
  </w:footnote>
  <w:footnote w:id="22">
    <w:p w:rsidR="00D93A06" w:rsidRPr="003E2D65" w:rsidRDefault="00D93A06" w:rsidP="00AF5291">
      <w:pPr>
        <w:pStyle w:val="aa"/>
        <w:tabs>
          <w:tab w:val="left" w:pos="284"/>
        </w:tabs>
        <w:ind w:left="284" w:hanging="284"/>
        <w:jc w:val="both"/>
        <w:rPr>
          <w:rFonts w:ascii="Arial Narrow" w:hAnsi="Arial Narrow"/>
          <w:sz w:val="18"/>
          <w:szCs w:val="18"/>
          <w:lang w:val="el-GR"/>
        </w:rPr>
      </w:pPr>
      <w:r w:rsidRPr="003E2D65">
        <w:rPr>
          <w:rStyle w:val="ab"/>
          <w:rFonts w:ascii="Arial Narrow" w:hAnsi="Arial Narrow"/>
          <w:sz w:val="18"/>
          <w:szCs w:val="18"/>
        </w:rPr>
        <w:footnoteRef/>
      </w:r>
      <w:r w:rsidRPr="003E2D65">
        <w:rPr>
          <w:rFonts w:ascii="Arial Narrow" w:hAnsi="Arial Narrow"/>
          <w:sz w:val="18"/>
          <w:szCs w:val="18"/>
          <w:lang w:val="el-GR"/>
        </w:rPr>
        <w:tab/>
        <w:t>Μεγαλύτερη του 7,8% που ανακοίνωσε η Ευρωπαϊκή Επιτροπή στο πλαίσιο των φθινοπωρινών οικονομικών προβλέψε</w:t>
      </w:r>
      <w:r>
        <w:rPr>
          <w:rFonts w:ascii="Arial Narrow" w:hAnsi="Arial Narrow"/>
          <w:sz w:val="18"/>
          <w:szCs w:val="18"/>
          <w:lang w:val="el-GR"/>
        </w:rPr>
        <w:t>ώ</w:t>
      </w:r>
      <w:r w:rsidRPr="003E2D65">
        <w:rPr>
          <w:rFonts w:ascii="Arial Narrow" w:hAnsi="Arial Narrow"/>
          <w:sz w:val="18"/>
          <w:szCs w:val="18"/>
          <w:lang w:val="el-GR"/>
        </w:rPr>
        <w:t>ν της. Δ</w:t>
      </w:r>
      <w:r w:rsidRPr="003E2D65">
        <w:rPr>
          <w:rFonts w:ascii="Arial Narrow" w:hAnsi="Arial Narrow"/>
          <w:sz w:val="18"/>
          <w:szCs w:val="18"/>
          <w:lang w:val="el-GR"/>
        </w:rPr>
        <w:t>ε</w:t>
      </w:r>
      <w:r w:rsidRPr="003E2D65">
        <w:rPr>
          <w:rFonts w:ascii="Arial Narrow" w:hAnsi="Arial Narrow"/>
          <w:sz w:val="18"/>
          <w:szCs w:val="18"/>
          <w:lang w:val="el-GR"/>
        </w:rPr>
        <w:t>δομένου ότι οι εν λόγω προβλέψεις διενεργήθηκαν πριν τις 22 Οκτωβρίου 2020, δεν ενσωματώνουν τον κύριο όγκο των νέων μέτρων περιορισμού της πανδημίας πολλών ευρωπαϊκών χωρών για το τέταρτο τρίμηνο του 2020.</w:t>
      </w:r>
    </w:p>
  </w:footnote>
  <w:footnote w:id="23">
    <w:p w:rsidR="00D93A06" w:rsidRPr="003E2D65" w:rsidRDefault="00D93A06" w:rsidP="00AF5291">
      <w:pPr>
        <w:pStyle w:val="aa"/>
        <w:tabs>
          <w:tab w:val="left" w:pos="284"/>
        </w:tabs>
        <w:ind w:left="284" w:hanging="284"/>
        <w:jc w:val="both"/>
        <w:rPr>
          <w:rFonts w:ascii="Arial Narrow" w:hAnsi="Arial Narrow"/>
          <w:sz w:val="18"/>
          <w:szCs w:val="18"/>
          <w:lang w:val="el-GR"/>
        </w:rPr>
      </w:pPr>
      <w:r w:rsidRPr="003E2D65">
        <w:rPr>
          <w:rStyle w:val="ab"/>
          <w:rFonts w:ascii="Arial Narrow" w:hAnsi="Arial Narrow"/>
          <w:sz w:val="18"/>
          <w:szCs w:val="18"/>
        </w:rPr>
        <w:footnoteRef/>
      </w:r>
      <w:r w:rsidRPr="003E2D65">
        <w:rPr>
          <w:rFonts w:ascii="Arial Narrow" w:hAnsi="Arial Narrow"/>
          <w:sz w:val="18"/>
          <w:szCs w:val="18"/>
          <w:lang w:val="el-GR"/>
        </w:rPr>
        <w:tab/>
        <w:t xml:space="preserve">Το 2019, στο τρίτο τρίμηνο του έτους συγκεντρώθηκε το 55% των ετήσιων τουριστικών αφίξεων από το εξωτερικό (στοιχεία Ισοζυγίου Πληρωμών της Τράπεζας της Ελλάδος). </w:t>
      </w:r>
    </w:p>
  </w:footnote>
  <w:footnote w:id="24">
    <w:p w:rsidR="00D93A06" w:rsidRPr="003E2D65" w:rsidRDefault="00D93A06" w:rsidP="00AF5291">
      <w:pPr>
        <w:pStyle w:val="aa"/>
        <w:tabs>
          <w:tab w:val="left" w:pos="284"/>
        </w:tabs>
        <w:jc w:val="both"/>
        <w:rPr>
          <w:rFonts w:ascii="Arial Narrow" w:hAnsi="Arial Narrow"/>
          <w:sz w:val="18"/>
          <w:szCs w:val="18"/>
          <w:lang w:val="el-GR"/>
        </w:rPr>
      </w:pPr>
      <w:r w:rsidRPr="003E2D65">
        <w:rPr>
          <w:rStyle w:val="ab"/>
          <w:rFonts w:ascii="Arial Narrow" w:hAnsi="Arial Narrow"/>
          <w:sz w:val="18"/>
          <w:szCs w:val="18"/>
        </w:rPr>
        <w:footnoteRef/>
      </w:r>
      <w:r w:rsidRPr="003E2D65">
        <w:rPr>
          <w:rFonts w:ascii="Arial Narrow" w:hAnsi="Arial Narrow"/>
          <w:color w:val="222222"/>
          <w:sz w:val="18"/>
          <w:szCs w:val="18"/>
          <w:lang w:val="el-GR"/>
        </w:rPr>
        <w:tab/>
        <w:t>Σε αυτό συμβάλλει η υποχώρηση των επενδύσεων σε εξοπλισμό κατά 25% το 2020.</w:t>
      </w:r>
    </w:p>
  </w:footnote>
  <w:footnote w:id="25">
    <w:p w:rsidR="00D93A06" w:rsidRPr="003E2D65" w:rsidRDefault="00D93A06" w:rsidP="000224C7">
      <w:pPr>
        <w:pStyle w:val="aa"/>
        <w:ind w:left="142" w:hanging="142"/>
        <w:jc w:val="both"/>
        <w:rPr>
          <w:rFonts w:ascii="Arial Narrow" w:hAnsi="Arial Narrow"/>
          <w:sz w:val="18"/>
          <w:szCs w:val="18"/>
          <w:lang w:val="el-GR"/>
        </w:rPr>
      </w:pPr>
      <w:r w:rsidRPr="003E2D65">
        <w:rPr>
          <w:rStyle w:val="ab"/>
          <w:rFonts w:ascii="Arial Narrow" w:hAnsi="Arial Narrow"/>
          <w:sz w:val="18"/>
          <w:szCs w:val="18"/>
        </w:rPr>
        <w:footnoteRef/>
      </w:r>
      <w:r w:rsidRPr="003E2D65">
        <w:rPr>
          <w:rFonts w:ascii="Arial Narrow" w:hAnsi="Arial Narrow"/>
          <w:sz w:val="18"/>
          <w:szCs w:val="18"/>
          <w:lang w:val="el-GR"/>
        </w:rPr>
        <w:t xml:space="preserve"> Το πραγματικό επιτόκιο εκτιμάται ως η διαφορά μεταξύ του ονομαστικού επιτοκίου και του δωδεκάμηνου ρυθμού πληθωρισμού.</w:t>
      </w:r>
    </w:p>
  </w:footnote>
  <w:footnote w:id="26">
    <w:p w:rsidR="00D93A06" w:rsidRPr="003E2D65" w:rsidRDefault="00D93A06" w:rsidP="00AF5291">
      <w:pPr>
        <w:pStyle w:val="aa"/>
        <w:ind w:left="142" w:hanging="142"/>
        <w:jc w:val="both"/>
        <w:rPr>
          <w:rFonts w:ascii="Arial Narrow" w:hAnsi="Arial Narrow"/>
          <w:sz w:val="18"/>
          <w:szCs w:val="18"/>
          <w:lang w:val="el-GR"/>
        </w:rPr>
      </w:pPr>
      <w:r w:rsidRPr="003E2D65">
        <w:rPr>
          <w:rStyle w:val="ab"/>
          <w:rFonts w:ascii="Arial Narrow" w:hAnsi="Arial Narrow"/>
          <w:sz w:val="18"/>
          <w:szCs w:val="18"/>
        </w:rPr>
        <w:footnoteRef/>
      </w:r>
      <w:r w:rsidRPr="003E2D65">
        <w:rPr>
          <w:rFonts w:ascii="Arial Narrow" w:hAnsi="Arial Narrow"/>
          <w:sz w:val="18"/>
          <w:szCs w:val="18"/>
          <w:lang w:val="el-GR"/>
        </w:rPr>
        <w:t xml:space="preserve"> Οι εισπράξεις από θαλάσσιες μεταφορές αποτελούν το κυριότερο στοιχείο του λογαριασμού μεταφορών αφού αντιστοιχούσαν σε π</w:t>
      </w:r>
      <w:r w:rsidRPr="003E2D65">
        <w:rPr>
          <w:rFonts w:ascii="Arial Narrow" w:hAnsi="Arial Narrow"/>
          <w:sz w:val="18"/>
          <w:szCs w:val="18"/>
          <w:lang w:val="el-GR"/>
        </w:rPr>
        <w:t>ε</w:t>
      </w:r>
      <w:r w:rsidRPr="003E2D65">
        <w:rPr>
          <w:rFonts w:ascii="Arial Narrow" w:hAnsi="Arial Narrow"/>
          <w:sz w:val="18"/>
          <w:szCs w:val="18"/>
          <w:lang w:val="el-GR"/>
        </w:rPr>
        <w:t xml:space="preserve">ρίπου 85% των συνολικών εισπράξεων την περίοδο 2015-2019. Το αντίστοιχο ποσοστό για τις αεροπορικές μεταφορές ήταν 11%. </w:t>
      </w:r>
    </w:p>
  </w:footnote>
  <w:footnote w:id="27">
    <w:p w:rsidR="00D93A06" w:rsidRPr="003E2D65" w:rsidRDefault="00D93A06" w:rsidP="00AF5291">
      <w:pPr>
        <w:pStyle w:val="aa"/>
        <w:tabs>
          <w:tab w:val="left" w:pos="142"/>
        </w:tabs>
        <w:ind w:left="142" w:hanging="142"/>
        <w:jc w:val="both"/>
        <w:rPr>
          <w:rFonts w:ascii="Arial Narrow" w:hAnsi="Arial Narrow"/>
          <w:sz w:val="18"/>
          <w:szCs w:val="18"/>
          <w:lang w:val="el-GR"/>
        </w:rPr>
      </w:pPr>
      <w:r w:rsidRPr="003E2D65">
        <w:rPr>
          <w:rStyle w:val="ab"/>
          <w:rFonts w:ascii="Arial Narrow" w:hAnsi="Arial Narrow"/>
          <w:sz w:val="18"/>
          <w:szCs w:val="18"/>
        </w:rPr>
        <w:footnoteRef/>
      </w:r>
      <w:r w:rsidRPr="003E2D65">
        <w:rPr>
          <w:rFonts w:ascii="Arial Narrow" w:hAnsi="Arial Narrow"/>
          <w:sz w:val="18"/>
          <w:szCs w:val="18"/>
          <w:lang w:val="el-GR"/>
        </w:rPr>
        <w:tab/>
        <w:t>Οι εισπράξεις των λοιπών πρωτογενών εισοδημάτων και των δευτερογενών εισοδημάτων της γενικής κυβέρνησης περιλαμβάνουν κ</w:t>
      </w:r>
      <w:r w:rsidRPr="003E2D65">
        <w:rPr>
          <w:rFonts w:ascii="Arial Narrow" w:hAnsi="Arial Narrow"/>
          <w:sz w:val="18"/>
          <w:szCs w:val="18"/>
          <w:lang w:val="el-GR"/>
        </w:rPr>
        <w:t>υ</w:t>
      </w:r>
      <w:r w:rsidRPr="003E2D65">
        <w:rPr>
          <w:rFonts w:ascii="Arial Narrow" w:hAnsi="Arial Narrow"/>
          <w:sz w:val="18"/>
          <w:szCs w:val="18"/>
          <w:lang w:val="el-GR"/>
        </w:rPr>
        <w:t>ρίως τις άμεσες ενισχύσεις και επιδοτήσεις στο πλαίσιο της Κοινής Αγροτικής Πολιτικής (ΚΑΠ), καθώς και τις απολήψεις από το Ε</w:t>
      </w:r>
      <w:r w:rsidRPr="003E2D65">
        <w:rPr>
          <w:rFonts w:ascii="Arial Narrow" w:hAnsi="Arial Narrow"/>
          <w:sz w:val="18"/>
          <w:szCs w:val="18"/>
          <w:lang w:val="el-GR"/>
        </w:rPr>
        <w:t>υ</w:t>
      </w:r>
      <w:r w:rsidRPr="003E2D65">
        <w:rPr>
          <w:rFonts w:ascii="Arial Narrow" w:hAnsi="Arial Narrow"/>
          <w:sz w:val="18"/>
          <w:szCs w:val="18"/>
          <w:lang w:val="el-GR"/>
        </w:rPr>
        <w:t>ρωπαϊκό Κοινωνικό Ταμείο, ενώ οι πληρωμές περιλαμβάνουν κυρίως τις αποδόσεις προς τον Κοινοτικό Προϋπολογισμό. Οι εισπράξεις κεφαλαίων της γενικής κυβέρνησης περιλαμβάνουν κυρίως τις απολήψεις από το Ευρωπαϊκό Ταμείο Περιφερειακής Ανάπτυξης και το Ταμείο Συνοχής.</w:t>
      </w:r>
    </w:p>
  </w:footnote>
  <w:footnote w:id="28">
    <w:p w:rsidR="00D93A06" w:rsidRPr="003E2D65" w:rsidRDefault="00D93A06" w:rsidP="00AF5291">
      <w:pPr>
        <w:pStyle w:val="aa"/>
        <w:ind w:left="142" w:hanging="142"/>
        <w:jc w:val="both"/>
        <w:rPr>
          <w:rFonts w:ascii="Arial Narrow" w:hAnsi="Arial Narrow"/>
          <w:sz w:val="18"/>
          <w:szCs w:val="18"/>
          <w:lang w:val="el-GR"/>
        </w:rPr>
      </w:pPr>
      <w:r w:rsidRPr="003E2D65">
        <w:rPr>
          <w:rStyle w:val="ab"/>
          <w:rFonts w:ascii="Arial Narrow" w:hAnsi="Arial Narrow"/>
          <w:sz w:val="18"/>
          <w:szCs w:val="18"/>
        </w:rPr>
        <w:footnoteRef/>
      </w:r>
      <w:r w:rsidRPr="003E2D65">
        <w:rPr>
          <w:rFonts w:ascii="Arial Narrow" w:hAnsi="Arial Narrow"/>
          <w:color w:val="222222"/>
          <w:sz w:val="18"/>
          <w:szCs w:val="18"/>
          <w:shd w:val="clear" w:color="auto" w:fill="FFFFFF"/>
          <w:lang w:val="el-GR"/>
        </w:rPr>
        <w:t xml:space="preserve">  </w:t>
      </w:r>
      <w:r w:rsidRPr="003E2D65">
        <w:rPr>
          <w:rFonts w:ascii="Arial Narrow" w:hAnsi="Arial Narrow"/>
          <w:sz w:val="18"/>
          <w:szCs w:val="18"/>
          <w:lang w:val="el-GR"/>
        </w:rPr>
        <w:t xml:space="preserve">Επισημαίνεται </w:t>
      </w:r>
      <w:r>
        <w:rPr>
          <w:rFonts w:ascii="Arial Narrow" w:hAnsi="Arial Narrow"/>
          <w:sz w:val="18"/>
          <w:szCs w:val="18"/>
          <w:lang w:val="el-GR"/>
        </w:rPr>
        <w:t xml:space="preserve">ότι </w:t>
      </w:r>
      <w:r w:rsidRPr="003E2D65">
        <w:rPr>
          <w:rFonts w:ascii="Arial Narrow" w:hAnsi="Arial Narrow"/>
          <w:sz w:val="18"/>
          <w:szCs w:val="18"/>
          <w:lang w:val="el-GR"/>
        </w:rPr>
        <w:t>οι ανωτέρω εξελίξεις στις κατηγορίες των επενδύσεων χαρτοφυλακίου και των λοιπών επενδύσεων επηρεάζονται σημαντικά από τις συναλλαγές που αφορούν τιτλοποιήσεις δανείων συστημικών πιστωτικών ιδρυμάτων.</w:t>
      </w:r>
      <w:r w:rsidRPr="003E2D65">
        <w:rPr>
          <w:rFonts w:ascii="Arial Narrow" w:hAnsi="Arial Narrow"/>
          <w:color w:val="222222"/>
          <w:sz w:val="18"/>
          <w:szCs w:val="18"/>
          <w:shd w:val="clear" w:color="auto" w:fill="FFFFFF"/>
          <w:lang w:val="el-GR"/>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A06" w:rsidRDefault="00D93A06">
    <w:pPr>
      <w:pStyle w:val="a3"/>
      <w:jc w:val="both"/>
      <w:rPr>
        <w:rFonts w:ascii="Arial Narrow" w:hAnsi="Arial Narrow"/>
        <w:color w:val="808080"/>
        <w:sz w:val="22"/>
      </w:rPr>
    </w:pPr>
    <w:r>
      <w:rPr>
        <w:rFonts w:ascii="Arial Narrow" w:hAnsi="Arial Narrow"/>
        <w:b/>
        <w:color w:val="333333"/>
        <w:sz w:val="22"/>
      </w:rPr>
      <w:t xml:space="preserve">ΕΙΣΗΓΗΤΙΚΗ ΕΚΘΕΣΗ </w:t>
    </w:r>
    <w:r>
      <w:rPr>
        <w:rFonts w:ascii="Arial Narrow" w:hAnsi="Arial Narrow"/>
        <w:color w:val="333333"/>
        <w:sz w:val="22"/>
      </w:rPr>
      <w:t>ΚΕΦΑΛΑΙΟ 1</w:t>
    </w:r>
  </w:p>
  <w:p w:rsidR="00D93A06" w:rsidRDefault="00D93A0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720" w:hanging="360"/>
      </w:pPr>
      <w:rPr>
        <w:rFonts w:ascii="Symbol" w:hAnsi="Symbol" w:cs="Times New Roman" w:hint="default"/>
      </w:rPr>
    </w:lvl>
  </w:abstractNum>
  <w:abstractNum w:abstractNumId="1">
    <w:nsid w:val="00000003"/>
    <w:multiLevelType w:val="multilevel"/>
    <w:tmpl w:val="00000003"/>
    <w:name w:val="WW8Num3"/>
    <w:lvl w:ilvl="0">
      <w:start w:val="1"/>
      <w:numFmt w:val="bullet"/>
      <w:lvlText w:val=""/>
      <w:lvlJc w:val="left"/>
      <w:pPr>
        <w:tabs>
          <w:tab w:val="num" w:pos="0"/>
        </w:tabs>
        <w:ind w:left="765" w:hanging="360"/>
      </w:pPr>
      <w:rPr>
        <w:rFonts w:ascii="Wingdings" w:hAnsi="Wingdings"/>
      </w:rPr>
    </w:lvl>
    <w:lvl w:ilvl="1">
      <w:start w:val="1"/>
      <w:numFmt w:val="bullet"/>
      <w:lvlText w:val="o"/>
      <w:lvlJc w:val="left"/>
      <w:pPr>
        <w:tabs>
          <w:tab w:val="num" w:pos="0"/>
        </w:tabs>
        <w:ind w:left="1485" w:hanging="360"/>
      </w:pPr>
      <w:rPr>
        <w:rFonts w:ascii="Courier New" w:hAnsi="Courier New" w:cs="Courier New"/>
      </w:rPr>
    </w:lvl>
    <w:lvl w:ilvl="2">
      <w:start w:val="1"/>
      <w:numFmt w:val="bullet"/>
      <w:lvlText w:val=""/>
      <w:lvlJc w:val="left"/>
      <w:pPr>
        <w:tabs>
          <w:tab w:val="num" w:pos="0"/>
        </w:tabs>
        <w:ind w:left="2205" w:hanging="360"/>
      </w:pPr>
      <w:rPr>
        <w:rFonts w:ascii="Wingdings" w:hAnsi="Wingdings"/>
      </w:rPr>
    </w:lvl>
    <w:lvl w:ilvl="3">
      <w:start w:val="1"/>
      <w:numFmt w:val="bullet"/>
      <w:lvlText w:val=""/>
      <w:lvlJc w:val="left"/>
      <w:pPr>
        <w:tabs>
          <w:tab w:val="num" w:pos="0"/>
        </w:tabs>
        <w:ind w:left="2925" w:hanging="360"/>
      </w:pPr>
      <w:rPr>
        <w:rFonts w:ascii="Symbol" w:hAnsi="Symbol"/>
      </w:rPr>
    </w:lvl>
    <w:lvl w:ilvl="4">
      <w:start w:val="1"/>
      <w:numFmt w:val="bullet"/>
      <w:lvlText w:val="o"/>
      <w:lvlJc w:val="left"/>
      <w:pPr>
        <w:tabs>
          <w:tab w:val="num" w:pos="0"/>
        </w:tabs>
        <w:ind w:left="3645" w:hanging="360"/>
      </w:pPr>
      <w:rPr>
        <w:rFonts w:ascii="Courier New" w:hAnsi="Courier New" w:cs="Courier New"/>
      </w:rPr>
    </w:lvl>
    <w:lvl w:ilvl="5">
      <w:start w:val="1"/>
      <w:numFmt w:val="bullet"/>
      <w:lvlText w:val=""/>
      <w:lvlJc w:val="left"/>
      <w:pPr>
        <w:tabs>
          <w:tab w:val="num" w:pos="0"/>
        </w:tabs>
        <w:ind w:left="4365" w:hanging="360"/>
      </w:pPr>
      <w:rPr>
        <w:rFonts w:ascii="Wingdings" w:hAnsi="Wingdings"/>
      </w:rPr>
    </w:lvl>
    <w:lvl w:ilvl="6">
      <w:start w:val="1"/>
      <w:numFmt w:val="bullet"/>
      <w:lvlText w:val=""/>
      <w:lvlJc w:val="left"/>
      <w:pPr>
        <w:tabs>
          <w:tab w:val="num" w:pos="0"/>
        </w:tabs>
        <w:ind w:left="5085" w:hanging="360"/>
      </w:pPr>
      <w:rPr>
        <w:rFonts w:ascii="Symbol" w:hAnsi="Symbol"/>
      </w:rPr>
    </w:lvl>
    <w:lvl w:ilvl="7">
      <w:start w:val="1"/>
      <w:numFmt w:val="bullet"/>
      <w:lvlText w:val="o"/>
      <w:lvlJc w:val="left"/>
      <w:pPr>
        <w:tabs>
          <w:tab w:val="num" w:pos="0"/>
        </w:tabs>
        <w:ind w:left="5805" w:hanging="360"/>
      </w:pPr>
      <w:rPr>
        <w:rFonts w:ascii="Courier New" w:hAnsi="Courier New" w:cs="Courier New"/>
      </w:rPr>
    </w:lvl>
    <w:lvl w:ilvl="8">
      <w:start w:val="1"/>
      <w:numFmt w:val="bullet"/>
      <w:lvlText w:val=""/>
      <w:lvlJc w:val="left"/>
      <w:pPr>
        <w:tabs>
          <w:tab w:val="num" w:pos="0"/>
        </w:tabs>
        <w:ind w:left="6525" w:hanging="360"/>
      </w:pPr>
      <w:rPr>
        <w:rFonts w:ascii="Wingdings" w:hAnsi="Wingdings"/>
      </w:rPr>
    </w:lvl>
  </w:abstractNum>
  <w:abstractNum w:abstractNumId="2">
    <w:nsid w:val="13FD091D"/>
    <w:multiLevelType w:val="hybridMultilevel"/>
    <w:tmpl w:val="BDDC2FFC"/>
    <w:lvl w:ilvl="0" w:tplc="04080001">
      <w:start w:val="1"/>
      <w:numFmt w:val="bullet"/>
      <w:lvlText w:val=""/>
      <w:lvlJc w:val="left"/>
      <w:pPr>
        <w:ind w:left="782" w:hanging="360"/>
      </w:pPr>
      <w:rPr>
        <w:rFonts w:ascii="Symbol" w:hAnsi="Symbol" w:hint="default"/>
      </w:rPr>
    </w:lvl>
    <w:lvl w:ilvl="1" w:tplc="04080003" w:tentative="1">
      <w:start w:val="1"/>
      <w:numFmt w:val="bullet"/>
      <w:lvlText w:val="o"/>
      <w:lvlJc w:val="left"/>
      <w:pPr>
        <w:ind w:left="1502" w:hanging="360"/>
      </w:pPr>
      <w:rPr>
        <w:rFonts w:ascii="Courier New" w:hAnsi="Courier New" w:cs="Courier New" w:hint="default"/>
      </w:rPr>
    </w:lvl>
    <w:lvl w:ilvl="2" w:tplc="04080005" w:tentative="1">
      <w:start w:val="1"/>
      <w:numFmt w:val="bullet"/>
      <w:lvlText w:val=""/>
      <w:lvlJc w:val="left"/>
      <w:pPr>
        <w:ind w:left="2222" w:hanging="360"/>
      </w:pPr>
      <w:rPr>
        <w:rFonts w:ascii="Wingdings" w:hAnsi="Wingdings" w:hint="default"/>
      </w:rPr>
    </w:lvl>
    <w:lvl w:ilvl="3" w:tplc="04080001" w:tentative="1">
      <w:start w:val="1"/>
      <w:numFmt w:val="bullet"/>
      <w:lvlText w:val=""/>
      <w:lvlJc w:val="left"/>
      <w:pPr>
        <w:ind w:left="2942" w:hanging="360"/>
      </w:pPr>
      <w:rPr>
        <w:rFonts w:ascii="Symbol" w:hAnsi="Symbol" w:hint="default"/>
      </w:rPr>
    </w:lvl>
    <w:lvl w:ilvl="4" w:tplc="04080003" w:tentative="1">
      <w:start w:val="1"/>
      <w:numFmt w:val="bullet"/>
      <w:lvlText w:val="o"/>
      <w:lvlJc w:val="left"/>
      <w:pPr>
        <w:ind w:left="3662" w:hanging="360"/>
      </w:pPr>
      <w:rPr>
        <w:rFonts w:ascii="Courier New" w:hAnsi="Courier New" w:cs="Courier New" w:hint="default"/>
      </w:rPr>
    </w:lvl>
    <w:lvl w:ilvl="5" w:tplc="04080005" w:tentative="1">
      <w:start w:val="1"/>
      <w:numFmt w:val="bullet"/>
      <w:lvlText w:val=""/>
      <w:lvlJc w:val="left"/>
      <w:pPr>
        <w:ind w:left="4382" w:hanging="360"/>
      </w:pPr>
      <w:rPr>
        <w:rFonts w:ascii="Wingdings" w:hAnsi="Wingdings" w:hint="default"/>
      </w:rPr>
    </w:lvl>
    <w:lvl w:ilvl="6" w:tplc="04080001" w:tentative="1">
      <w:start w:val="1"/>
      <w:numFmt w:val="bullet"/>
      <w:lvlText w:val=""/>
      <w:lvlJc w:val="left"/>
      <w:pPr>
        <w:ind w:left="5102" w:hanging="360"/>
      </w:pPr>
      <w:rPr>
        <w:rFonts w:ascii="Symbol" w:hAnsi="Symbol" w:hint="default"/>
      </w:rPr>
    </w:lvl>
    <w:lvl w:ilvl="7" w:tplc="04080003" w:tentative="1">
      <w:start w:val="1"/>
      <w:numFmt w:val="bullet"/>
      <w:lvlText w:val="o"/>
      <w:lvlJc w:val="left"/>
      <w:pPr>
        <w:ind w:left="5822" w:hanging="360"/>
      </w:pPr>
      <w:rPr>
        <w:rFonts w:ascii="Courier New" w:hAnsi="Courier New" w:cs="Courier New" w:hint="default"/>
      </w:rPr>
    </w:lvl>
    <w:lvl w:ilvl="8" w:tplc="04080005" w:tentative="1">
      <w:start w:val="1"/>
      <w:numFmt w:val="bullet"/>
      <w:lvlText w:val=""/>
      <w:lvlJc w:val="left"/>
      <w:pPr>
        <w:ind w:left="6542" w:hanging="360"/>
      </w:pPr>
      <w:rPr>
        <w:rFonts w:ascii="Wingdings" w:hAnsi="Wingdings" w:hint="default"/>
      </w:rPr>
    </w:lvl>
  </w:abstractNum>
  <w:abstractNum w:abstractNumId="3">
    <w:nsid w:val="1C5643B7"/>
    <w:multiLevelType w:val="hybridMultilevel"/>
    <w:tmpl w:val="0F50AE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239B1E5F"/>
    <w:multiLevelType w:val="hybridMultilevel"/>
    <w:tmpl w:val="A176B3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7CA1027"/>
    <w:multiLevelType w:val="hybridMultilevel"/>
    <w:tmpl w:val="9034C2F0"/>
    <w:lvl w:ilvl="0" w:tplc="04080001">
      <w:start w:val="1"/>
      <w:numFmt w:val="bullet"/>
      <w:lvlText w:val=""/>
      <w:lvlJc w:val="left"/>
      <w:pPr>
        <w:ind w:left="774" w:hanging="360"/>
      </w:pPr>
      <w:rPr>
        <w:rFonts w:ascii="Symbol" w:hAnsi="Symbol" w:hint="default"/>
      </w:rPr>
    </w:lvl>
    <w:lvl w:ilvl="1" w:tplc="04080003" w:tentative="1">
      <w:start w:val="1"/>
      <w:numFmt w:val="bullet"/>
      <w:lvlText w:val="o"/>
      <w:lvlJc w:val="left"/>
      <w:pPr>
        <w:ind w:left="1494" w:hanging="360"/>
      </w:pPr>
      <w:rPr>
        <w:rFonts w:ascii="Courier New" w:hAnsi="Courier New" w:cs="Courier New" w:hint="default"/>
      </w:rPr>
    </w:lvl>
    <w:lvl w:ilvl="2" w:tplc="04080005" w:tentative="1">
      <w:start w:val="1"/>
      <w:numFmt w:val="bullet"/>
      <w:lvlText w:val=""/>
      <w:lvlJc w:val="left"/>
      <w:pPr>
        <w:ind w:left="2214" w:hanging="360"/>
      </w:pPr>
      <w:rPr>
        <w:rFonts w:ascii="Wingdings" w:hAnsi="Wingdings" w:hint="default"/>
      </w:rPr>
    </w:lvl>
    <w:lvl w:ilvl="3" w:tplc="04080001" w:tentative="1">
      <w:start w:val="1"/>
      <w:numFmt w:val="bullet"/>
      <w:lvlText w:val=""/>
      <w:lvlJc w:val="left"/>
      <w:pPr>
        <w:ind w:left="2934" w:hanging="360"/>
      </w:pPr>
      <w:rPr>
        <w:rFonts w:ascii="Symbol" w:hAnsi="Symbol" w:hint="default"/>
      </w:rPr>
    </w:lvl>
    <w:lvl w:ilvl="4" w:tplc="04080003" w:tentative="1">
      <w:start w:val="1"/>
      <w:numFmt w:val="bullet"/>
      <w:lvlText w:val="o"/>
      <w:lvlJc w:val="left"/>
      <w:pPr>
        <w:ind w:left="3654" w:hanging="360"/>
      </w:pPr>
      <w:rPr>
        <w:rFonts w:ascii="Courier New" w:hAnsi="Courier New" w:cs="Courier New" w:hint="default"/>
      </w:rPr>
    </w:lvl>
    <w:lvl w:ilvl="5" w:tplc="04080005" w:tentative="1">
      <w:start w:val="1"/>
      <w:numFmt w:val="bullet"/>
      <w:lvlText w:val=""/>
      <w:lvlJc w:val="left"/>
      <w:pPr>
        <w:ind w:left="4374" w:hanging="360"/>
      </w:pPr>
      <w:rPr>
        <w:rFonts w:ascii="Wingdings" w:hAnsi="Wingdings" w:hint="default"/>
      </w:rPr>
    </w:lvl>
    <w:lvl w:ilvl="6" w:tplc="04080001" w:tentative="1">
      <w:start w:val="1"/>
      <w:numFmt w:val="bullet"/>
      <w:lvlText w:val=""/>
      <w:lvlJc w:val="left"/>
      <w:pPr>
        <w:ind w:left="5094" w:hanging="360"/>
      </w:pPr>
      <w:rPr>
        <w:rFonts w:ascii="Symbol" w:hAnsi="Symbol" w:hint="default"/>
      </w:rPr>
    </w:lvl>
    <w:lvl w:ilvl="7" w:tplc="04080003" w:tentative="1">
      <w:start w:val="1"/>
      <w:numFmt w:val="bullet"/>
      <w:lvlText w:val="o"/>
      <w:lvlJc w:val="left"/>
      <w:pPr>
        <w:ind w:left="5814" w:hanging="360"/>
      </w:pPr>
      <w:rPr>
        <w:rFonts w:ascii="Courier New" w:hAnsi="Courier New" w:cs="Courier New" w:hint="default"/>
      </w:rPr>
    </w:lvl>
    <w:lvl w:ilvl="8" w:tplc="04080005" w:tentative="1">
      <w:start w:val="1"/>
      <w:numFmt w:val="bullet"/>
      <w:lvlText w:val=""/>
      <w:lvlJc w:val="left"/>
      <w:pPr>
        <w:ind w:left="6534" w:hanging="360"/>
      </w:pPr>
      <w:rPr>
        <w:rFonts w:ascii="Wingdings" w:hAnsi="Wingdings" w:hint="default"/>
      </w:rPr>
    </w:lvl>
  </w:abstractNum>
  <w:abstractNum w:abstractNumId="6">
    <w:nsid w:val="3D551A28"/>
    <w:multiLevelType w:val="multilevel"/>
    <w:tmpl w:val="34A2B5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FCA78F3"/>
    <w:multiLevelType w:val="hybridMultilevel"/>
    <w:tmpl w:val="CB504FFA"/>
    <w:lvl w:ilvl="0" w:tplc="213446D6">
      <w:start w:val="1"/>
      <w:numFmt w:val="bullet"/>
      <w:lvlText w:val=""/>
      <w:lvlJc w:val="left"/>
      <w:pPr>
        <w:tabs>
          <w:tab w:val="num" w:pos="348"/>
        </w:tabs>
        <w:ind w:left="348" w:hanging="348"/>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44FE0F58"/>
    <w:multiLevelType w:val="hybridMultilevel"/>
    <w:tmpl w:val="CFE632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49FB70FE"/>
    <w:multiLevelType w:val="hybridMultilevel"/>
    <w:tmpl w:val="35C07B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4B2B0159"/>
    <w:multiLevelType w:val="hybridMultilevel"/>
    <w:tmpl w:val="E2D475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4DA9188E"/>
    <w:multiLevelType w:val="multilevel"/>
    <w:tmpl w:val="CA580D9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57D67EB0"/>
    <w:multiLevelType w:val="multilevel"/>
    <w:tmpl w:val="334C543E"/>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5C951134"/>
    <w:multiLevelType w:val="hybridMultilevel"/>
    <w:tmpl w:val="3FBEE00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4">
    <w:nsid w:val="5D1F36F8"/>
    <w:multiLevelType w:val="hybridMultilevel"/>
    <w:tmpl w:val="32368B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67D65C7C"/>
    <w:multiLevelType w:val="hybridMultilevel"/>
    <w:tmpl w:val="A476EFD8"/>
    <w:lvl w:ilvl="0" w:tplc="04080001">
      <w:start w:val="1"/>
      <w:numFmt w:val="bullet"/>
      <w:lvlText w:val=""/>
      <w:lvlJc w:val="left"/>
      <w:pPr>
        <w:ind w:left="774" w:hanging="360"/>
      </w:pPr>
      <w:rPr>
        <w:rFonts w:ascii="Symbol" w:hAnsi="Symbol" w:hint="default"/>
      </w:rPr>
    </w:lvl>
    <w:lvl w:ilvl="1" w:tplc="04080003">
      <w:start w:val="1"/>
      <w:numFmt w:val="bullet"/>
      <w:lvlText w:val="o"/>
      <w:lvlJc w:val="left"/>
      <w:pPr>
        <w:ind w:left="1494" w:hanging="360"/>
      </w:pPr>
      <w:rPr>
        <w:rFonts w:ascii="Courier New" w:hAnsi="Courier New" w:cs="Courier New" w:hint="default"/>
      </w:rPr>
    </w:lvl>
    <w:lvl w:ilvl="2" w:tplc="04080005" w:tentative="1">
      <w:start w:val="1"/>
      <w:numFmt w:val="bullet"/>
      <w:lvlText w:val=""/>
      <w:lvlJc w:val="left"/>
      <w:pPr>
        <w:ind w:left="2214" w:hanging="360"/>
      </w:pPr>
      <w:rPr>
        <w:rFonts w:ascii="Wingdings" w:hAnsi="Wingdings" w:hint="default"/>
      </w:rPr>
    </w:lvl>
    <w:lvl w:ilvl="3" w:tplc="04080001" w:tentative="1">
      <w:start w:val="1"/>
      <w:numFmt w:val="bullet"/>
      <w:lvlText w:val=""/>
      <w:lvlJc w:val="left"/>
      <w:pPr>
        <w:ind w:left="2934" w:hanging="360"/>
      </w:pPr>
      <w:rPr>
        <w:rFonts w:ascii="Symbol" w:hAnsi="Symbol" w:hint="default"/>
      </w:rPr>
    </w:lvl>
    <w:lvl w:ilvl="4" w:tplc="04080003" w:tentative="1">
      <w:start w:val="1"/>
      <w:numFmt w:val="bullet"/>
      <w:lvlText w:val="o"/>
      <w:lvlJc w:val="left"/>
      <w:pPr>
        <w:ind w:left="3654" w:hanging="360"/>
      </w:pPr>
      <w:rPr>
        <w:rFonts w:ascii="Courier New" w:hAnsi="Courier New" w:cs="Courier New" w:hint="default"/>
      </w:rPr>
    </w:lvl>
    <w:lvl w:ilvl="5" w:tplc="04080005" w:tentative="1">
      <w:start w:val="1"/>
      <w:numFmt w:val="bullet"/>
      <w:lvlText w:val=""/>
      <w:lvlJc w:val="left"/>
      <w:pPr>
        <w:ind w:left="4374" w:hanging="360"/>
      </w:pPr>
      <w:rPr>
        <w:rFonts w:ascii="Wingdings" w:hAnsi="Wingdings" w:hint="default"/>
      </w:rPr>
    </w:lvl>
    <w:lvl w:ilvl="6" w:tplc="04080001" w:tentative="1">
      <w:start w:val="1"/>
      <w:numFmt w:val="bullet"/>
      <w:lvlText w:val=""/>
      <w:lvlJc w:val="left"/>
      <w:pPr>
        <w:ind w:left="5094" w:hanging="360"/>
      </w:pPr>
      <w:rPr>
        <w:rFonts w:ascii="Symbol" w:hAnsi="Symbol" w:hint="default"/>
      </w:rPr>
    </w:lvl>
    <w:lvl w:ilvl="7" w:tplc="04080003" w:tentative="1">
      <w:start w:val="1"/>
      <w:numFmt w:val="bullet"/>
      <w:lvlText w:val="o"/>
      <w:lvlJc w:val="left"/>
      <w:pPr>
        <w:ind w:left="5814" w:hanging="360"/>
      </w:pPr>
      <w:rPr>
        <w:rFonts w:ascii="Courier New" w:hAnsi="Courier New" w:cs="Courier New" w:hint="default"/>
      </w:rPr>
    </w:lvl>
    <w:lvl w:ilvl="8" w:tplc="04080005" w:tentative="1">
      <w:start w:val="1"/>
      <w:numFmt w:val="bullet"/>
      <w:lvlText w:val=""/>
      <w:lvlJc w:val="left"/>
      <w:pPr>
        <w:ind w:left="6534" w:hanging="360"/>
      </w:pPr>
      <w:rPr>
        <w:rFonts w:ascii="Wingdings" w:hAnsi="Wingdings" w:hint="default"/>
      </w:rPr>
    </w:lvl>
  </w:abstractNum>
  <w:abstractNum w:abstractNumId="16">
    <w:nsid w:val="6A9C421B"/>
    <w:multiLevelType w:val="hybridMultilevel"/>
    <w:tmpl w:val="3034AB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6AF46304"/>
    <w:multiLevelType w:val="hybridMultilevel"/>
    <w:tmpl w:val="A880DD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78936EA5"/>
    <w:multiLevelType w:val="hybridMultilevel"/>
    <w:tmpl w:val="E26E186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11"/>
  </w:num>
  <w:num w:numId="4">
    <w:abstractNumId w:val="12"/>
  </w:num>
  <w:num w:numId="5">
    <w:abstractNumId w:val="16"/>
  </w:num>
  <w:num w:numId="6">
    <w:abstractNumId w:val="5"/>
  </w:num>
  <w:num w:numId="7">
    <w:abstractNumId w:val="13"/>
  </w:num>
  <w:num w:numId="8">
    <w:abstractNumId w:val="14"/>
  </w:num>
  <w:num w:numId="9">
    <w:abstractNumId w:val="3"/>
  </w:num>
  <w:num w:numId="10">
    <w:abstractNumId w:val="18"/>
  </w:num>
  <w:num w:numId="11">
    <w:abstractNumId w:val="15"/>
  </w:num>
  <w:num w:numId="12">
    <w:abstractNumId w:val="9"/>
  </w:num>
  <w:num w:numId="13">
    <w:abstractNumId w:val="2"/>
  </w:num>
  <w:num w:numId="14">
    <w:abstractNumId w:val="8"/>
  </w:num>
  <w:num w:numId="15">
    <w:abstractNumId w:val="10"/>
  </w:num>
  <w:num w:numId="16">
    <w:abstractNumId w:val="4"/>
  </w:num>
  <w:num w:numId="17">
    <w:abstractNumId w:val="6"/>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heodoros skylakakis">
    <w15:presenceInfo w15:providerId="Windows Live" w15:userId="0f1b625b181b8a6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embedSystemFonts/>
  <w:hideGrammaticalErrors/>
  <w:attachedTemplate r:id="rId1"/>
  <w:stylePaneFormatFilter w:val="3F01"/>
  <w:defaultTabStop w:val="720"/>
  <w:autoHyphenation/>
  <w:hyphenationZone w:val="284"/>
  <w:doNotHyphenateCaps/>
  <w:evenAndOddHeaders/>
  <w:noPunctuationKerning/>
  <w:characterSpacingControl w:val="doNotCompress"/>
  <w:hdrShapeDefaults>
    <o:shapedefaults v:ext="edit" spidmax="17410"/>
  </w:hdrShapeDefaults>
  <w:footnotePr>
    <w:footnote w:id="-1"/>
    <w:footnote w:id="0"/>
  </w:footnotePr>
  <w:endnotePr>
    <w:endnote w:id="-1"/>
    <w:endnote w:id="0"/>
  </w:endnotePr>
  <w:compat/>
  <w:rsids>
    <w:rsidRoot w:val="00860846"/>
    <w:rsid w:val="00001FA2"/>
    <w:rsid w:val="00002CA7"/>
    <w:rsid w:val="000038E8"/>
    <w:rsid w:val="00003AF3"/>
    <w:rsid w:val="00003B83"/>
    <w:rsid w:val="00003E7D"/>
    <w:rsid w:val="00004132"/>
    <w:rsid w:val="000046CC"/>
    <w:rsid w:val="000048CD"/>
    <w:rsid w:val="000053D4"/>
    <w:rsid w:val="00005975"/>
    <w:rsid w:val="00005992"/>
    <w:rsid w:val="000061BC"/>
    <w:rsid w:val="00006369"/>
    <w:rsid w:val="00007AB1"/>
    <w:rsid w:val="00011884"/>
    <w:rsid w:val="00011AC2"/>
    <w:rsid w:val="00012972"/>
    <w:rsid w:val="000129E6"/>
    <w:rsid w:val="00013577"/>
    <w:rsid w:val="00013581"/>
    <w:rsid w:val="00014099"/>
    <w:rsid w:val="00014BC9"/>
    <w:rsid w:val="00014C14"/>
    <w:rsid w:val="0001552C"/>
    <w:rsid w:val="00017527"/>
    <w:rsid w:val="00020664"/>
    <w:rsid w:val="00020E7B"/>
    <w:rsid w:val="0002134F"/>
    <w:rsid w:val="000224C7"/>
    <w:rsid w:val="00023854"/>
    <w:rsid w:val="00024500"/>
    <w:rsid w:val="00025005"/>
    <w:rsid w:val="000262CF"/>
    <w:rsid w:val="000263B8"/>
    <w:rsid w:val="000268CC"/>
    <w:rsid w:val="000275FD"/>
    <w:rsid w:val="00030228"/>
    <w:rsid w:val="00033025"/>
    <w:rsid w:val="00033BD0"/>
    <w:rsid w:val="00033C6F"/>
    <w:rsid w:val="0003403C"/>
    <w:rsid w:val="00034326"/>
    <w:rsid w:val="00034D96"/>
    <w:rsid w:val="00035B70"/>
    <w:rsid w:val="00036278"/>
    <w:rsid w:val="00036C9F"/>
    <w:rsid w:val="000371FE"/>
    <w:rsid w:val="0003754B"/>
    <w:rsid w:val="0003780F"/>
    <w:rsid w:val="00040D78"/>
    <w:rsid w:val="00041061"/>
    <w:rsid w:val="000417CF"/>
    <w:rsid w:val="000426BD"/>
    <w:rsid w:val="00042B29"/>
    <w:rsid w:val="000435CB"/>
    <w:rsid w:val="000439A3"/>
    <w:rsid w:val="00043F75"/>
    <w:rsid w:val="00044B79"/>
    <w:rsid w:val="0004598E"/>
    <w:rsid w:val="00046881"/>
    <w:rsid w:val="0004768D"/>
    <w:rsid w:val="00047E31"/>
    <w:rsid w:val="00047F2B"/>
    <w:rsid w:val="000508B7"/>
    <w:rsid w:val="0005104D"/>
    <w:rsid w:val="0005295B"/>
    <w:rsid w:val="00053542"/>
    <w:rsid w:val="00053F64"/>
    <w:rsid w:val="000544AC"/>
    <w:rsid w:val="00055023"/>
    <w:rsid w:val="00055531"/>
    <w:rsid w:val="0005626E"/>
    <w:rsid w:val="000564DE"/>
    <w:rsid w:val="00056876"/>
    <w:rsid w:val="00060FF7"/>
    <w:rsid w:val="000614BC"/>
    <w:rsid w:val="00063D3D"/>
    <w:rsid w:val="00064F7A"/>
    <w:rsid w:val="000651BB"/>
    <w:rsid w:val="00066CD4"/>
    <w:rsid w:val="00067947"/>
    <w:rsid w:val="00071BD7"/>
    <w:rsid w:val="00071C9D"/>
    <w:rsid w:val="00072809"/>
    <w:rsid w:val="00073A7B"/>
    <w:rsid w:val="00073ACF"/>
    <w:rsid w:val="00074444"/>
    <w:rsid w:val="000748D9"/>
    <w:rsid w:val="00076103"/>
    <w:rsid w:val="00076798"/>
    <w:rsid w:val="00076835"/>
    <w:rsid w:val="00081704"/>
    <w:rsid w:val="00081AB5"/>
    <w:rsid w:val="00082CBA"/>
    <w:rsid w:val="00082D1F"/>
    <w:rsid w:val="00082E83"/>
    <w:rsid w:val="000831F0"/>
    <w:rsid w:val="0008325E"/>
    <w:rsid w:val="00083CF2"/>
    <w:rsid w:val="000901EE"/>
    <w:rsid w:val="000908D0"/>
    <w:rsid w:val="00092012"/>
    <w:rsid w:val="0009240F"/>
    <w:rsid w:val="00093D9F"/>
    <w:rsid w:val="0009435E"/>
    <w:rsid w:val="00094C9E"/>
    <w:rsid w:val="000952C2"/>
    <w:rsid w:val="000956C7"/>
    <w:rsid w:val="000957C5"/>
    <w:rsid w:val="000975B7"/>
    <w:rsid w:val="00097BAC"/>
    <w:rsid w:val="00097F76"/>
    <w:rsid w:val="000A0165"/>
    <w:rsid w:val="000A0E01"/>
    <w:rsid w:val="000A1191"/>
    <w:rsid w:val="000A1A50"/>
    <w:rsid w:val="000A34CC"/>
    <w:rsid w:val="000A385A"/>
    <w:rsid w:val="000A3E4C"/>
    <w:rsid w:val="000A41FE"/>
    <w:rsid w:val="000A462C"/>
    <w:rsid w:val="000A4791"/>
    <w:rsid w:val="000A6B22"/>
    <w:rsid w:val="000B0B0D"/>
    <w:rsid w:val="000B0D4A"/>
    <w:rsid w:val="000B1A75"/>
    <w:rsid w:val="000B1C09"/>
    <w:rsid w:val="000B2A2F"/>
    <w:rsid w:val="000B2ACB"/>
    <w:rsid w:val="000B33E3"/>
    <w:rsid w:val="000B34AF"/>
    <w:rsid w:val="000B34FE"/>
    <w:rsid w:val="000B3BCF"/>
    <w:rsid w:val="000B3C6B"/>
    <w:rsid w:val="000B3D66"/>
    <w:rsid w:val="000B3E70"/>
    <w:rsid w:val="000B627B"/>
    <w:rsid w:val="000B71B1"/>
    <w:rsid w:val="000B7F35"/>
    <w:rsid w:val="000C0017"/>
    <w:rsid w:val="000C0170"/>
    <w:rsid w:val="000C1248"/>
    <w:rsid w:val="000C23D4"/>
    <w:rsid w:val="000C2A0D"/>
    <w:rsid w:val="000C37F6"/>
    <w:rsid w:val="000C398F"/>
    <w:rsid w:val="000C46E6"/>
    <w:rsid w:val="000C570D"/>
    <w:rsid w:val="000C6BC0"/>
    <w:rsid w:val="000C6FDE"/>
    <w:rsid w:val="000C7268"/>
    <w:rsid w:val="000C72C7"/>
    <w:rsid w:val="000D05B1"/>
    <w:rsid w:val="000D1C5F"/>
    <w:rsid w:val="000D2AF0"/>
    <w:rsid w:val="000D3B0B"/>
    <w:rsid w:val="000D3B3F"/>
    <w:rsid w:val="000D3F4E"/>
    <w:rsid w:val="000D457E"/>
    <w:rsid w:val="000D5094"/>
    <w:rsid w:val="000D5C0D"/>
    <w:rsid w:val="000D654B"/>
    <w:rsid w:val="000D68DC"/>
    <w:rsid w:val="000D7A4B"/>
    <w:rsid w:val="000E429F"/>
    <w:rsid w:val="000E5CEE"/>
    <w:rsid w:val="000E5E14"/>
    <w:rsid w:val="000E7FE0"/>
    <w:rsid w:val="000F0159"/>
    <w:rsid w:val="000F1B8C"/>
    <w:rsid w:val="000F20B3"/>
    <w:rsid w:val="000F2D44"/>
    <w:rsid w:val="000F39EA"/>
    <w:rsid w:val="000F5B4E"/>
    <w:rsid w:val="000F60D0"/>
    <w:rsid w:val="0010172E"/>
    <w:rsid w:val="00101B6F"/>
    <w:rsid w:val="00102031"/>
    <w:rsid w:val="001028A7"/>
    <w:rsid w:val="0010395E"/>
    <w:rsid w:val="00103D6B"/>
    <w:rsid w:val="001042E7"/>
    <w:rsid w:val="00104E76"/>
    <w:rsid w:val="0010708D"/>
    <w:rsid w:val="0011031C"/>
    <w:rsid w:val="00110381"/>
    <w:rsid w:val="00110B7D"/>
    <w:rsid w:val="0011316D"/>
    <w:rsid w:val="00115ED9"/>
    <w:rsid w:val="001165C7"/>
    <w:rsid w:val="0011705A"/>
    <w:rsid w:val="001172AF"/>
    <w:rsid w:val="00117C9F"/>
    <w:rsid w:val="001202AC"/>
    <w:rsid w:val="00121615"/>
    <w:rsid w:val="00122245"/>
    <w:rsid w:val="001222EE"/>
    <w:rsid w:val="001222FA"/>
    <w:rsid w:val="0012247C"/>
    <w:rsid w:val="0012359B"/>
    <w:rsid w:val="00123C75"/>
    <w:rsid w:val="00125951"/>
    <w:rsid w:val="00125C6B"/>
    <w:rsid w:val="00125F40"/>
    <w:rsid w:val="00126059"/>
    <w:rsid w:val="001275C3"/>
    <w:rsid w:val="001278B7"/>
    <w:rsid w:val="001300BF"/>
    <w:rsid w:val="0013173A"/>
    <w:rsid w:val="00131D9B"/>
    <w:rsid w:val="00132B2A"/>
    <w:rsid w:val="00132BB5"/>
    <w:rsid w:val="001338B2"/>
    <w:rsid w:val="00134978"/>
    <w:rsid w:val="00134A4C"/>
    <w:rsid w:val="00135757"/>
    <w:rsid w:val="0013587E"/>
    <w:rsid w:val="00135F46"/>
    <w:rsid w:val="00136025"/>
    <w:rsid w:val="0013735C"/>
    <w:rsid w:val="00140124"/>
    <w:rsid w:val="001402FF"/>
    <w:rsid w:val="00140DEC"/>
    <w:rsid w:val="001415A2"/>
    <w:rsid w:val="00141F97"/>
    <w:rsid w:val="00143A48"/>
    <w:rsid w:val="0014432E"/>
    <w:rsid w:val="0014792D"/>
    <w:rsid w:val="00150362"/>
    <w:rsid w:val="001512B7"/>
    <w:rsid w:val="00151397"/>
    <w:rsid w:val="001515D4"/>
    <w:rsid w:val="00152CD5"/>
    <w:rsid w:val="001555CA"/>
    <w:rsid w:val="00155DE1"/>
    <w:rsid w:val="00155FC1"/>
    <w:rsid w:val="00156FCA"/>
    <w:rsid w:val="00157ECC"/>
    <w:rsid w:val="00157F8C"/>
    <w:rsid w:val="0016025A"/>
    <w:rsid w:val="0016142C"/>
    <w:rsid w:val="00161526"/>
    <w:rsid w:val="001624FB"/>
    <w:rsid w:val="001628C4"/>
    <w:rsid w:val="001630D5"/>
    <w:rsid w:val="00163356"/>
    <w:rsid w:val="0016411D"/>
    <w:rsid w:val="001665DC"/>
    <w:rsid w:val="001667B5"/>
    <w:rsid w:val="00167013"/>
    <w:rsid w:val="00167707"/>
    <w:rsid w:val="00167B91"/>
    <w:rsid w:val="00167E20"/>
    <w:rsid w:val="0017019A"/>
    <w:rsid w:val="0017176F"/>
    <w:rsid w:val="00171862"/>
    <w:rsid w:val="001727E0"/>
    <w:rsid w:val="00172A24"/>
    <w:rsid w:val="00173BBA"/>
    <w:rsid w:val="00173F9D"/>
    <w:rsid w:val="0017639A"/>
    <w:rsid w:val="001769F5"/>
    <w:rsid w:val="00176F9B"/>
    <w:rsid w:val="0018015F"/>
    <w:rsid w:val="001834F6"/>
    <w:rsid w:val="00183B74"/>
    <w:rsid w:val="001845E5"/>
    <w:rsid w:val="00184990"/>
    <w:rsid w:val="001853CC"/>
    <w:rsid w:val="001857FF"/>
    <w:rsid w:val="00186B22"/>
    <w:rsid w:val="00186E1C"/>
    <w:rsid w:val="001871DD"/>
    <w:rsid w:val="001872B3"/>
    <w:rsid w:val="00187A03"/>
    <w:rsid w:val="00190132"/>
    <w:rsid w:val="00191EDB"/>
    <w:rsid w:val="00192266"/>
    <w:rsid w:val="00192541"/>
    <w:rsid w:val="00193A8D"/>
    <w:rsid w:val="00194C9D"/>
    <w:rsid w:val="0019518E"/>
    <w:rsid w:val="001955B0"/>
    <w:rsid w:val="00196753"/>
    <w:rsid w:val="00196FB1"/>
    <w:rsid w:val="00197131"/>
    <w:rsid w:val="00197F73"/>
    <w:rsid w:val="001A07EA"/>
    <w:rsid w:val="001A0F07"/>
    <w:rsid w:val="001A127D"/>
    <w:rsid w:val="001A1498"/>
    <w:rsid w:val="001A2481"/>
    <w:rsid w:val="001A3662"/>
    <w:rsid w:val="001A4946"/>
    <w:rsid w:val="001A59D6"/>
    <w:rsid w:val="001A6491"/>
    <w:rsid w:val="001A7858"/>
    <w:rsid w:val="001B0811"/>
    <w:rsid w:val="001B12B0"/>
    <w:rsid w:val="001B4CAD"/>
    <w:rsid w:val="001B5150"/>
    <w:rsid w:val="001B60A0"/>
    <w:rsid w:val="001B612B"/>
    <w:rsid w:val="001B6A01"/>
    <w:rsid w:val="001B7A8A"/>
    <w:rsid w:val="001C15C1"/>
    <w:rsid w:val="001C1769"/>
    <w:rsid w:val="001C1F6E"/>
    <w:rsid w:val="001C2677"/>
    <w:rsid w:val="001C2978"/>
    <w:rsid w:val="001C4333"/>
    <w:rsid w:val="001C436B"/>
    <w:rsid w:val="001C55C2"/>
    <w:rsid w:val="001C5C80"/>
    <w:rsid w:val="001C6CAD"/>
    <w:rsid w:val="001C7851"/>
    <w:rsid w:val="001C7A8E"/>
    <w:rsid w:val="001D052A"/>
    <w:rsid w:val="001D0B2E"/>
    <w:rsid w:val="001D1016"/>
    <w:rsid w:val="001D1EAE"/>
    <w:rsid w:val="001D1EE3"/>
    <w:rsid w:val="001D2554"/>
    <w:rsid w:val="001D3E14"/>
    <w:rsid w:val="001D40DE"/>
    <w:rsid w:val="001D6731"/>
    <w:rsid w:val="001D7445"/>
    <w:rsid w:val="001D7BF7"/>
    <w:rsid w:val="001D7E83"/>
    <w:rsid w:val="001E0957"/>
    <w:rsid w:val="001E1A72"/>
    <w:rsid w:val="001E30BC"/>
    <w:rsid w:val="001E369A"/>
    <w:rsid w:val="001E3826"/>
    <w:rsid w:val="001E4D5B"/>
    <w:rsid w:val="001E54D5"/>
    <w:rsid w:val="001E55F2"/>
    <w:rsid w:val="001E6517"/>
    <w:rsid w:val="001E6694"/>
    <w:rsid w:val="001E6A3E"/>
    <w:rsid w:val="001E6FEF"/>
    <w:rsid w:val="001E7C48"/>
    <w:rsid w:val="001F07BB"/>
    <w:rsid w:val="001F2298"/>
    <w:rsid w:val="001F353B"/>
    <w:rsid w:val="001F40C1"/>
    <w:rsid w:val="001F452B"/>
    <w:rsid w:val="001F4BCD"/>
    <w:rsid w:val="001F5301"/>
    <w:rsid w:val="001F5A5F"/>
    <w:rsid w:val="001F6BF6"/>
    <w:rsid w:val="001F70FF"/>
    <w:rsid w:val="001F7FC1"/>
    <w:rsid w:val="002028FD"/>
    <w:rsid w:val="00202E19"/>
    <w:rsid w:val="00203196"/>
    <w:rsid w:val="00204497"/>
    <w:rsid w:val="00204A2C"/>
    <w:rsid w:val="00205587"/>
    <w:rsid w:val="00205D12"/>
    <w:rsid w:val="00206ED7"/>
    <w:rsid w:val="00207276"/>
    <w:rsid w:val="0020738E"/>
    <w:rsid w:val="00207689"/>
    <w:rsid w:val="002076A6"/>
    <w:rsid w:val="00207BDD"/>
    <w:rsid w:val="002104C0"/>
    <w:rsid w:val="0021091E"/>
    <w:rsid w:val="00211928"/>
    <w:rsid w:val="00212568"/>
    <w:rsid w:val="00213D54"/>
    <w:rsid w:val="002147B6"/>
    <w:rsid w:val="00214999"/>
    <w:rsid w:val="00214D58"/>
    <w:rsid w:val="00214E7D"/>
    <w:rsid w:val="00216397"/>
    <w:rsid w:val="00216753"/>
    <w:rsid w:val="00216B58"/>
    <w:rsid w:val="00216D95"/>
    <w:rsid w:val="00221AB2"/>
    <w:rsid w:val="00221E6A"/>
    <w:rsid w:val="002221FF"/>
    <w:rsid w:val="002229EA"/>
    <w:rsid w:val="00223255"/>
    <w:rsid w:val="00224075"/>
    <w:rsid w:val="0022409A"/>
    <w:rsid w:val="002246D7"/>
    <w:rsid w:val="00224726"/>
    <w:rsid w:val="0022751B"/>
    <w:rsid w:val="0022772A"/>
    <w:rsid w:val="002278EF"/>
    <w:rsid w:val="002279EB"/>
    <w:rsid w:val="00227EC0"/>
    <w:rsid w:val="002318A3"/>
    <w:rsid w:val="00233443"/>
    <w:rsid w:val="00234069"/>
    <w:rsid w:val="002340BF"/>
    <w:rsid w:val="002346E0"/>
    <w:rsid w:val="002405AB"/>
    <w:rsid w:val="00240B07"/>
    <w:rsid w:val="00240C41"/>
    <w:rsid w:val="00242226"/>
    <w:rsid w:val="0024315F"/>
    <w:rsid w:val="00243B13"/>
    <w:rsid w:val="00244BFA"/>
    <w:rsid w:val="00245481"/>
    <w:rsid w:val="00245C2D"/>
    <w:rsid w:val="00245EE3"/>
    <w:rsid w:val="002466A2"/>
    <w:rsid w:val="002474DE"/>
    <w:rsid w:val="002479FC"/>
    <w:rsid w:val="002508D6"/>
    <w:rsid w:val="00250F73"/>
    <w:rsid w:val="00250FB0"/>
    <w:rsid w:val="00251FFD"/>
    <w:rsid w:val="00253858"/>
    <w:rsid w:val="002545A4"/>
    <w:rsid w:val="00255302"/>
    <w:rsid w:val="002562A4"/>
    <w:rsid w:val="00256607"/>
    <w:rsid w:val="002569FB"/>
    <w:rsid w:val="00257C56"/>
    <w:rsid w:val="00260080"/>
    <w:rsid w:val="00260DB5"/>
    <w:rsid w:val="00261D58"/>
    <w:rsid w:val="00261EA1"/>
    <w:rsid w:val="0026252D"/>
    <w:rsid w:val="00264501"/>
    <w:rsid w:val="00264C17"/>
    <w:rsid w:val="00265771"/>
    <w:rsid w:val="00265A08"/>
    <w:rsid w:val="0026611E"/>
    <w:rsid w:val="002661AB"/>
    <w:rsid w:val="00266D66"/>
    <w:rsid w:val="002671B1"/>
    <w:rsid w:val="00267558"/>
    <w:rsid w:val="00267C96"/>
    <w:rsid w:val="00270845"/>
    <w:rsid w:val="0027090F"/>
    <w:rsid w:val="0027198E"/>
    <w:rsid w:val="002725A5"/>
    <w:rsid w:val="00273215"/>
    <w:rsid w:val="002732D7"/>
    <w:rsid w:val="00273620"/>
    <w:rsid w:val="00275CBE"/>
    <w:rsid w:val="002770DD"/>
    <w:rsid w:val="0028117F"/>
    <w:rsid w:val="00281193"/>
    <w:rsid w:val="0028135D"/>
    <w:rsid w:val="0028157D"/>
    <w:rsid w:val="0028303F"/>
    <w:rsid w:val="0028493E"/>
    <w:rsid w:val="0028594F"/>
    <w:rsid w:val="00285B89"/>
    <w:rsid w:val="00287D2D"/>
    <w:rsid w:val="002904BC"/>
    <w:rsid w:val="00291948"/>
    <w:rsid w:val="002928C0"/>
    <w:rsid w:val="00292A92"/>
    <w:rsid w:val="002938E6"/>
    <w:rsid w:val="00295E24"/>
    <w:rsid w:val="002974A8"/>
    <w:rsid w:val="002A17D6"/>
    <w:rsid w:val="002A1A13"/>
    <w:rsid w:val="002A20B0"/>
    <w:rsid w:val="002A2E47"/>
    <w:rsid w:val="002A3712"/>
    <w:rsid w:val="002A3876"/>
    <w:rsid w:val="002A3945"/>
    <w:rsid w:val="002A66F6"/>
    <w:rsid w:val="002B014F"/>
    <w:rsid w:val="002B019B"/>
    <w:rsid w:val="002B13AA"/>
    <w:rsid w:val="002B18EC"/>
    <w:rsid w:val="002B2034"/>
    <w:rsid w:val="002B3580"/>
    <w:rsid w:val="002B4354"/>
    <w:rsid w:val="002B4A3B"/>
    <w:rsid w:val="002B5ACC"/>
    <w:rsid w:val="002B6331"/>
    <w:rsid w:val="002B7203"/>
    <w:rsid w:val="002C0705"/>
    <w:rsid w:val="002C07AF"/>
    <w:rsid w:val="002C09BC"/>
    <w:rsid w:val="002C1244"/>
    <w:rsid w:val="002C196A"/>
    <w:rsid w:val="002C2256"/>
    <w:rsid w:val="002C329F"/>
    <w:rsid w:val="002C3862"/>
    <w:rsid w:val="002C427F"/>
    <w:rsid w:val="002C55B7"/>
    <w:rsid w:val="002C640A"/>
    <w:rsid w:val="002C73E3"/>
    <w:rsid w:val="002C7B31"/>
    <w:rsid w:val="002C7BCE"/>
    <w:rsid w:val="002D155F"/>
    <w:rsid w:val="002D2250"/>
    <w:rsid w:val="002D2509"/>
    <w:rsid w:val="002D38B1"/>
    <w:rsid w:val="002D5EF4"/>
    <w:rsid w:val="002D6A0B"/>
    <w:rsid w:val="002D765B"/>
    <w:rsid w:val="002D7DE9"/>
    <w:rsid w:val="002E0690"/>
    <w:rsid w:val="002E0B4C"/>
    <w:rsid w:val="002E1007"/>
    <w:rsid w:val="002E212D"/>
    <w:rsid w:val="002E2913"/>
    <w:rsid w:val="002E2E8A"/>
    <w:rsid w:val="002E54C9"/>
    <w:rsid w:val="002E54EB"/>
    <w:rsid w:val="002E5A0E"/>
    <w:rsid w:val="002E6034"/>
    <w:rsid w:val="002E61C5"/>
    <w:rsid w:val="002E61F5"/>
    <w:rsid w:val="002E7AC3"/>
    <w:rsid w:val="002F0109"/>
    <w:rsid w:val="002F0262"/>
    <w:rsid w:val="002F0F07"/>
    <w:rsid w:val="002F2141"/>
    <w:rsid w:val="002F6679"/>
    <w:rsid w:val="00301B22"/>
    <w:rsid w:val="00301B77"/>
    <w:rsid w:val="003037B1"/>
    <w:rsid w:val="00304BB3"/>
    <w:rsid w:val="00305871"/>
    <w:rsid w:val="0030733A"/>
    <w:rsid w:val="00307983"/>
    <w:rsid w:val="0031019E"/>
    <w:rsid w:val="003106C0"/>
    <w:rsid w:val="003116CF"/>
    <w:rsid w:val="00311F5B"/>
    <w:rsid w:val="0031224D"/>
    <w:rsid w:val="003137EB"/>
    <w:rsid w:val="00313D0C"/>
    <w:rsid w:val="0031449C"/>
    <w:rsid w:val="00315CDB"/>
    <w:rsid w:val="00315CF6"/>
    <w:rsid w:val="00320565"/>
    <w:rsid w:val="00320901"/>
    <w:rsid w:val="0032120C"/>
    <w:rsid w:val="0032237C"/>
    <w:rsid w:val="003228A5"/>
    <w:rsid w:val="00323232"/>
    <w:rsid w:val="00323299"/>
    <w:rsid w:val="00323C8B"/>
    <w:rsid w:val="003240E6"/>
    <w:rsid w:val="0032485B"/>
    <w:rsid w:val="00324E61"/>
    <w:rsid w:val="00325C72"/>
    <w:rsid w:val="00330A98"/>
    <w:rsid w:val="003312C7"/>
    <w:rsid w:val="00331559"/>
    <w:rsid w:val="00331672"/>
    <w:rsid w:val="00332687"/>
    <w:rsid w:val="00332C0C"/>
    <w:rsid w:val="00332FEC"/>
    <w:rsid w:val="00335B49"/>
    <w:rsid w:val="00336332"/>
    <w:rsid w:val="00336986"/>
    <w:rsid w:val="00337247"/>
    <w:rsid w:val="003377C3"/>
    <w:rsid w:val="00337B67"/>
    <w:rsid w:val="00340BC0"/>
    <w:rsid w:val="00340F0F"/>
    <w:rsid w:val="00341B1F"/>
    <w:rsid w:val="00341FFF"/>
    <w:rsid w:val="003425E8"/>
    <w:rsid w:val="00344947"/>
    <w:rsid w:val="00345C63"/>
    <w:rsid w:val="00346C6B"/>
    <w:rsid w:val="00346EB4"/>
    <w:rsid w:val="00347BE7"/>
    <w:rsid w:val="0035029C"/>
    <w:rsid w:val="00350E67"/>
    <w:rsid w:val="003515CE"/>
    <w:rsid w:val="003532CC"/>
    <w:rsid w:val="00353CCB"/>
    <w:rsid w:val="00354C5E"/>
    <w:rsid w:val="003551D2"/>
    <w:rsid w:val="00356245"/>
    <w:rsid w:val="00356263"/>
    <w:rsid w:val="0035659E"/>
    <w:rsid w:val="00356DAF"/>
    <w:rsid w:val="003600C3"/>
    <w:rsid w:val="003605AA"/>
    <w:rsid w:val="003607A4"/>
    <w:rsid w:val="00361A44"/>
    <w:rsid w:val="003626E1"/>
    <w:rsid w:val="00362D84"/>
    <w:rsid w:val="00362FB0"/>
    <w:rsid w:val="00362FCD"/>
    <w:rsid w:val="00363BEA"/>
    <w:rsid w:val="00363F4B"/>
    <w:rsid w:val="00364979"/>
    <w:rsid w:val="00367363"/>
    <w:rsid w:val="0036772E"/>
    <w:rsid w:val="0036794E"/>
    <w:rsid w:val="00367E33"/>
    <w:rsid w:val="00372964"/>
    <w:rsid w:val="0037347B"/>
    <w:rsid w:val="003735D9"/>
    <w:rsid w:val="003737CE"/>
    <w:rsid w:val="00374E3F"/>
    <w:rsid w:val="003768C4"/>
    <w:rsid w:val="003769E0"/>
    <w:rsid w:val="00377B88"/>
    <w:rsid w:val="00380F1B"/>
    <w:rsid w:val="00381A01"/>
    <w:rsid w:val="00381C01"/>
    <w:rsid w:val="00383BE4"/>
    <w:rsid w:val="00384087"/>
    <w:rsid w:val="00384F15"/>
    <w:rsid w:val="0038550B"/>
    <w:rsid w:val="00385859"/>
    <w:rsid w:val="003871CC"/>
    <w:rsid w:val="00387FF4"/>
    <w:rsid w:val="00391D96"/>
    <w:rsid w:val="00392F28"/>
    <w:rsid w:val="00394101"/>
    <w:rsid w:val="003942E0"/>
    <w:rsid w:val="00396246"/>
    <w:rsid w:val="003970A8"/>
    <w:rsid w:val="0039754F"/>
    <w:rsid w:val="003A04B1"/>
    <w:rsid w:val="003A128A"/>
    <w:rsid w:val="003A2324"/>
    <w:rsid w:val="003A26E1"/>
    <w:rsid w:val="003A28B6"/>
    <w:rsid w:val="003A3328"/>
    <w:rsid w:val="003A3360"/>
    <w:rsid w:val="003A4785"/>
    <w:rsid w:val="003A6189"/>
    <w:rsid w:val="003A652F"/>
    <w:rsid w:val="003A6BB5"/>
    <w:rsid w:val="003A6C04"/>
    <w:rsid w:val="003A7FBE"/>
    <w:rsid w:val="003B04FE"/>
    <w:rsid w:val="003B3443"/>
    <w:rsid w:val="003B4808"/>
    <w:rsid w:val="003B4A91"/>
    <w:rsid w:val="003B56EB"/>
    <w:rsid w:val="003B594D"/>
    <w:rsid w:val="003B6604"/>
    <w:rsid w:val="003B6719"/>
    <w:rsid w:val="003B68A6"/>
    <w:rsid w:val="003B6A95"/>
    <w:rsid w:val="003C0512"/>
    <w:rsid w:val="003C0FD3"/>
    <w:rsid w:val="003C2716"/>
    <w:rsid w:val="003C2900"/>
    <w:rsid w:val="003C2D04"/>
    <w:rsid w:val="003C30BB"/>
    <w:rsid w:val="003C357A"/>
    <w:rsid w:val="003C4940"/>
    <w:rsid w:val="003C4FD5"/>
    <w:rsid w:val="003C5089"/>
    <w:rsid w:val="003C522A"/>
    <w:rsid w:val="003C5EC2"/>
    <w:rsid w:val="003C60AF"/>
    <w:rsid w:val="003C6A93"/>
    <w:rsid w:val="003C722C"/>
    <w:rsid w:val="003C728A"/>
    <w:rsid w:val="003C7A4A"/>
    <w:rsid w:val="003C7D4E"/>
    <w:rsid w:val="003D057C"/>
    <w:rsid w:val="003D161F"/>
    <w:rsid w:val="003D182B"/>
    <w:rsid w:val="003D2883"/>
    <w:rsid w:val="003D28E2"/>
    <w:rsid w:val="003D2E4C"/>
    <w:rsid w:val="003D3001"/>
    <w:rsid w:val="003D3C09"/>
    <w:rsid w:val="003D3ED6"/>
    <w:rsid w:val="003D49BC"/>
    <w:rsid w:val="003D4C9A"/>
    <w:rsid w:val="003E1E97"/>
    <w:rsid w:val="003E21D9"/>
    <w:rsid w:val="003E2DD7"/>
    <w:rsid w:val="003E31CD"/>
    <w:rsid w:val="003E4CB2"/>
    <w:rsid w:val="003E5385"/>
    <w:rsid w:val="003E64E6"/>
    <w:rsid w:val="003E6F07"/>
    <w:rsid w:val="003E788A"/>
    <w:rsid w:val="003E7B61"/>
    <w:rsid w:val="003F04E4"/>
    <w:rsid w:val="003F111F"/>
    <w:rsid w:val="003F1AC8"/>
    <w:rsid w:val="003F1DF0"/>
    <w:rsid w:val="003F1E98"/>
    <w:rsid w:val="003F310D"/>
    <w:rsid w:val="003F35CB"/>
    <w:rsid w:val="003F3B86"/>
    <w:rsid w:val="003F4657"/>
    <w:rsid w:val="003F4B69"/>
    <w:rsid w:val="003F5799"/>
    <w:rsid w:val="003F64DB"/>
    <w:rsid w:val="003F6B3F"/>
    <w:rsid w:val="00400054"/>
    <w:rsid w:val="0040153E"/>
    <w:rsid w:val="004026BE"/>
    <w:rsid w:val="00402FA5"/>
    <w:rsid w:val="004031F7"/>
    <w:rsid w:val="00404193"/>
    <w:rsid w:val="00405685"/>
    <w:rsid w:val="00405F75"/>
    <w:rsid w:val="004069BD"/>
    <w:rsid w:val="00407E8A"/>
    <w:rsid w:val="00410BB0"/>
    <w:rsid w:val="00412ED6"/>
    <w:rsid w:val="00415185"/>
    <w:rsid w:val="00415389"/>
    <w:rsid w:val="00415535"/>
    <w:rsid w:val="0041612A"/>
    <w:rsid w:val="00416583"/>
    <w:rsid w:val="004168D7"/>
    <w:rsid w:val="00416C70"/>
    <w:rsid w:val="0041765F"/>
    <w:rsid w:val="004207C0"/>
    <w:rsid w:val="004208EC"/>
    <w:rsid w:val="00420F5A"/>
    <w:rsid w:val="004213BC"/>
    <w:rsid w:val="00421928"/>
    <w:rsid w:val="00422F6C"/>
    <w:rsid w:val="0042301B"/>
    <w:rsid w:val="00425335"/>
    <w:rsid w:val="00425FCF"/>
    <w:rsid w:val="00426931"/>
    <w:rsid w:val="004275BB"/>
    <w:rsid w:val="00427C10"/>
    <w:rsid w:val="004305C1"/>
    <w:rsid w:val="00430C68"/>
    <w:rsid w:val="004311BD"/>
    <w:rsid w:val="00431E16"/>
    <w:rsid w:val="00432866"/>
    <w:rsid w:val="00432BA1"/>
    <w:rsid w:val="00432C71"/>
    <w:rsid w:val="00432F00"/>
    <w:rsid w:val="00433015"/>
    <w:rsid w:val="0043398F"/>
    <w:rsid w:val="0043459D"/>
    <w:rsid w:val="00436BD7"/>
    <w:rsid w:val="0043717B"/>
    <w:rsid w:val="0044033E"/>
    <w:rsid w:val="004405DC"/>
    <w:rsid w:val="00440ACD"/>
    <w:rsid w:val="00440EEB"/>
    <w:rsid w:val="004421E5"/>
    <w:rsid w:val="004422E3"/>
    <w:rsid w:val="00443AAA"/>
    <w:rsid w:val="00443CB8"/>
    <w:rsid w:val="00443F8E"/>
    <w:rsid w:val="00444E9E"/>
    <w:rsid w:val="0044507F"/>
    <w:rsid w:val="00445711"/>
    <w:rsid w:val="004461A4"/>
    <w:rsid w:val="00446278"/>
    <w:rsid w:val="0044675A"/>
    <w:rsid w:val="0044685C"/>
    <w:rsid w:val="0044693A"/>
    <w:rsid w:val="00447FC4"/>
    <w:rsid w:val="00450C68"/>
    <w:rsid w:val="004515CC"/>
    <w:rsid w:val="00452B37"/>
    <w:rsid w:val="00452EB1"/>
    <w:rsid w:val="0045387F"/>
    <w:rsid w:val="00453DB7"/>
    <w:rsid w:val="0045759A"/>
    <w:rsid w:val="00461479"/>
    <w:rsid w:val="0046298C"/>
    <w:rsid w:val="00462B54"/>
    <w:rsid w:val="004636DB"/>
    <w:rsid w:val="00465096"/>
    <w:rsid w:val="00466B3E"/>
    <w:rsid w:val="00467B57"/>
    <w:rsid w:val="00467C1A"/>
    <w:rsid w:val="004701EF"/>
    <w:rsid w:val="0047024F"/>
    <w:rsid w:val="0047041D"/>
    <w:rsid w:val="00470670"/>
    <w:rsid w:val="00470BDE"/>
    <w:rsid w:val="00470C0C"/>
    <w:rsid w:val="0047194D"/>
    <w:rsid w:val="0047197B"/>
    <w:rsid w:val="00472AC8"/>
    <w:rsid w:val="00472C4E"/>
    <w:rsid w:val="00474639"/>
    <w:rsid w:val="0047467E"/>
    <w:rsid w:val="00474DD1"/>
    <w:rsid w:val="00475E79"/>
    <w:rsid w:val="00476C30"/>
    <w:rsid w:val="004770C1"/>
    <w:rsid w:val="0047741C"/>
    <w:rsid w:val="00477B5B"/>
    <w:rsid w:val="00477B90"/>
    <w:rsid w:val="00480004"/>
    <w:rsid w:val="00480D2F"/>
    <w:rsid w:val="00484819"/>
    <w:rsid w:val="00484DFE"/>
    <w:rsid w:val="004856C8"/>
    <w:rsid w:val="00485746"/>
    <w:rsid w:val="00485C68"/>
    <w:rsid w:val="004868D8"/>
    <w:rsid w:val="00486C3F"/>
    <w:rsid w:val="00486D89"/>
    <w:rsid w:val="00486F04"/>
    <w:rsid w:val="0049303C"/>
    <w:rsid w:val="00494791"/>
    <w:rsid w:val="00494B40"/>
    <w:rsid w:val="00496F34"/>
    <w:rsid w:val="00497E3F"/>
    <w:rsid w:val="004A1274"/>
    <w:rsid w:val="004A1DA1"/>
    <w:rsid w:val="004A28F8"/>
    <w:rsid w:val="004A29A4"/>
    <w:rsid w:val="004A2EDA"/>
    <w:rsid w:val="004A36C8"/>
    <w:rsid w:val="004A4314"/>
    <w:rsid w:val="004A5AF3"/>
    <w:rsid w:val="004A5B90"/>
    <w:rsid w:val="004A6453"/>
    <w:rsid w:val="004A6CB0"/>
    <w:rsid w:val="004A7E75"/>
    <w:rsid w:val="004B0578"/>
    <w:rsid w:val="004B05F0"/>
    <w:rsid w:val="004B0D06"/>
    <w:rsid w:val="004B11FE"/>
    <w:rsid w:val="004B2F8C"/>
    <w:rsid w:val="004B332F"/>
    <w:rsid w:val="004B4485"/>
    <w:rsid w:val="004B5052"/>
    <w:rsid w:val="004B5CA4"/>
    <w:rsid w:val="004B6A5A"/>
    <w:rsid w:val="004B6DE9"/>
    <w:rsid w:val="004B7DFD"/>
    <w:rsid w:val="004C0531"/>
    <w:rsid w:val="004C108C"/>
    <w:rsid w:val="004C1FA1"/>
    <w:rsid w:val="004C1FC9"/>
    <w:rsid w:val="004C3C5C"/>
    <w:rsid w:val="004C3FDC"/>
    <w:rsid w:val="004C42C5"/>
    <w:rsid w:val="004C4518"/>
    <w:rsid w:val="004C5BC0"/>
    <w:rsid w:val="004C5FB0"/>
    <w:rsid w:val="004C6532"/>
    <w:rsid w:val="004D01D0"/>
    <w:rsid w:val="004D01E5"/>
    <w:rsid w:val="004D0499"/>
    <w:rsid w:val="004D0C60"/>
    <w:rsid w:val="004D1D8B"/>
    <w:rsid w:val="004D2E4D"/>
    <w:rsid w:val="004D3205"/>
    <w:rsid w:val="004D36B9"/>
    <w:rsid w:val="004D39C2"/>
    <w:rsid w:val="004D4D87"/>
    <w:rsid w:val="004D4EAA"/>
    <w:rsid w:val="004D553D"/>
    <w:rsid w:val="004D569F"/>
    <w:rsid w:val="004D5AB7"/>
    <w:rsid w:val="004D7176"/>
    <w:rsid w:val="004D7CD3"/>
    <w:rsid w:val="004E0B7E"/>
    <w:rsid w:val="004E2F2C"/>
    <w:rsid w:val="004E31F2"/>
    <w:rsid w:val="004E352A"/>
    <w:rsid w:val="004E4673"/>
    <w:rsid w:val="004E558C"/>
    <w:rsid w:val="004E5682"/>
    <w:rsid w:val="004E61E7"/>
    <w:rsid w:val="004E69E9"/>
    <w:rsid w:val="004E6C31"/>
    <w:rsid w:val="004E7810"/>
    <w:rsid w:val="004F0EDB"/>
    <w:rsid w:val="004F0F46"/>
    <w:rsid w:val="004F169A"/>
    <w:rsid w:val="004F1BB6"/>
    <w:rsid w:val="004F1F11"/>
    <w:rsid w:val="004F2246"/>
    <w:rsid w:val="004F34A1"/>
    <w:rsid w:val="004F3554"/>
    <w:rsid w:val="004F40E8"/>
    <w:rsid w:val="004F4F20"/>
    <w:rsid w:val="004F586E"/>
    <w:rsid w:val="004F61CF"/>
    <w:rsid w:val="004F68A2"/>
    <w:rsid w:val="004F70E9"/>
    <w:rsid w:val="00500317"/>
    <w:rsid w:val="005009D9"/>
    <w:rsid w:val="005011FE"/>
    <w:rsid w:val="00501231"/>
    <w:rsid w:val="0050219E"/>
    <w:rsid w:val="005021D2"/>
    <w:rsid w:val="005040A9"/>
    <w:rsid w:val="0050420C"/>
    <w:rsid w:val="00504220"/>
    <w:rsid w:val="005058D4"/>
    <w:rsid w:val="00505CCB"/>
    <w:rsid w:val="005067D1"/>
    <w:rsid w:val="0051116F"/>
    <w:rsid w:val="00511CBB"/>
    <w:rsid w:val="00511ED0"/>
    <w:rsid w:val="005122F8"/>
    <w:rsid w:val="00513282"/>
    <w:rsid w:val="0051368C"/>
    <w:rsid w:val="00513743"/>
    <w:rsid w:val="00513E17"/>
    <w:rsid w:val="00513FB9"/>
    <w:rsid w:val="005145B1"/>
    <w:rsid w:val="00514AA6"/>
    <w:rsid w:val="005153B4"/>
    <w:rsid w:val="005167C9"/>
    <w:rsid w:val="005177B5"/>
    <w:rsid w:val="00517D31"/>
    <w:rsid w:val="00522B02"/>
    <w:rsid w:val="00523442"/>
    <w:rsid w:val="00523A06"/>
    <w:rsid w:val="00523F09"/>
    <w:rsid w:val="00524B70"/>
    <w:rsid w:val="0052669D"/>
    <w:rsid w:val="00530D3D"/>
    <w:rsid w:val="005310DB"/>
    <w:rsid w:val="00531B4F"/>
    <w:rsid w:val="00532B73"/>
    <w:rsid w:val="0053369F"/>
    <w:rsid w:val="00533A37"/>
    <w:rsid w:val="00533F8A"/>
    <w:rsid w:val="005348BA"/>
    <w:rsid w:val="00534E42"/>
    <w:rsid w:val="005352B5"/>
    <w:rsid w:val="00535E35"/>
    <w:rsid w:val="0053631F"/>
    <w:rsid w:val="0053639F"/>
    <w:rsid w:val="00536994"/>
    <w:rsid w:val="00536DA1"/>
    <w:rsid w:val="00537E36"/>
    <w:rsid w:val="00537E81"/>
    <w:rsid w:val="00541A2D"/>
    <w:rsid w:val="00541FFF"/>
    <w:rsid w:val="005442EE"/>
    <w:rsid w:val="00544F5C"/>
    <w:rsid w:val="005451CC"/>
    <w:rsid w:val="005457F6"/>
    <w:rsid w:val="0054665B"/>
    <w:rsid w:val="00546768"/>
    <w:rsid w:val="005477BF"/>
    <w:rsid w:val="005506DB"/>
    <w:rsid w:val="00550E9E"/>
    <w:rsid w:val="00550EA0"/>
    <w:rsid w:val="00551714"/>
    <w:rsid w:val="005517F1"/>
    <w:rsid w:val="005523D8"/>
    <w:rsid w:val="00552A07"/>
    <w:rsid w:val="00552F6B"/>
    <w:rsid w:val="0055376D"/>
    <w:rsid w:val="005546C1"/>
    <w:rsid w:val="005546E5"/>
    <w:rsid w:val="0055508B"/>
    <w:rsid w:val="00555CFC"/>
    <w:rsid w:val="005564D8"/>
    <w:rsid w:val="00556BFB"/>
    <w:rsid w:val="005572EE"/>
    <w:rsid w:val="0055731F"/>
    <w:rsid w:val="00557D7F"/>
    <w:rsid w:val="00560705"/>
    <w:rsid w:val="005609D1"/>
    <w:rsid w:val="0056106D"/>
    <w:rsid w:val="00561256"/>
    <w:rsid w:val="00561D15"/>
    <w:rsid w:val="005623CA"/>
    <w:rsid w:val="00562FE5"/>
    <w:rsid w:val="00563667"/>
    <w:rsid w:val="00570539"/>
    <w:rsid w:val="00570B12"/>
    <w:rsid w:val="00571288"/>
    <w:rsid w:val="005721C8"/>
    <w:rsid w:val="005743C5"/>
    <w:rsid w:val="00574F49"/>
    <w:rsid w:val="00575197"/>
    <w:rsid w:val="00576F35"/>
    <w:rsid w:val="005779CC"/>
    <w:rsid w:val="00580C48"/>
    <w:rsid w:val="00581AF9"/>
    <w:rsid w:val="005824F0"/>
    <w:rsid w:val="00583A39"/>
    <w:rsid w:val="00583AD3"/>
    <w:rsid w:val="00584C4C"/>
    <w:rsid w:val="00585274"/>
    <w:rsid w:val="00586582"/>
    <w:rsid w:val="0058770F"/>
    <w:rsid w:val="00587FC2"/>
    <w:rsid w:val="0059048B"/>
    <w:rsid w:val="00592724"/>
    <w:rsid w:val="00593D91"/>
    <w:rsid w:val="00593F37"/>
    <w:rsid w:val="00594043"/>
    <w:rsid w:val="00594B95"/>
    <w:rsid w:val="0059518D"/>
    <w:rsid w:val="00596421"/>
    <w:rsid w:val="00596BF1"/>
    <w:rsid w:val="00596FBD"/>
    <w:rsid w:val="0059739E"/>
    <w:rsid w:val="00597CE0"/>
    <w:rsid w:val="005A00E1"/>
    <w:rsid w:val="005A02C4"/>
    <w:rsid w:val="005A0C50"/>
    <w:rsid w:val="005A1100"/>
    <w:rsid w:val="005A2004"/>
    <w:rsid w:val="005A309B"/>
    <w:rsid w:val="005A37A5"/>
    <w:rsid w:val="005A43D1"/>
    <w:rsid w:val="005A460D"/>
    <w:rsid w:val="005A5369"/>
    <w:rsid w:val="005A5A67"/>
    <w:rsid w:val="005A5CA5"/>
    <w:rsid w:val="005A6F27"/>
    <w:rsid w:val="005A7678"/>
    <w:rsid w:val="005B07C9"/>
    <w:rsid w:val="005B07D5"/>
    <w:rsid w:val="005B11A9"/>
    <w:rsid w:val="005B1305"/>
    <w:rsid w:val="005B13E3"/>
    <w:rsid w:val="005B258A"/>
    <w:rsid w:val="005B30D7"/>
    <w:rsid w:val="005B59AF"/>
    <w:rsid w:val="005B5E94"/>
    <w:rsid w:val="005B6328"/>
    <w:rsid w:val="005B6D9B"/>
    <w:rsid w:val="005B6DDD"/>
    <w:rsid w:val="005B7BF4"/>
    <w:rsid w:val="005B7E50"/>
    <w:rsid w:val="005C05E1"/>
    <w:rsid w:val="005C06E8"/>
    <w:rsid w:val="005C087C"/>
    <w:rsid w:val="005C0D9B"/>
    <w:rsid w:val="005C0E1F"/>
    <w:rsid w:val="005C0ED0"/>
    <w:rsid w:val="005C1FA6"/>
    <w:rsid w:val="005C2307"/>
    <w:rsid w:val="005C2950"/>
    <w:rsid w:val="005C2D49"/>
    <w:rsid w:val="005C3A37"/>
    <w:rsid w:val="005C3B7B"/>
    <w:rsid w:val="005C41E3"/>
    <w:rsid w:val="005C444B"/>
    <w:rsid w:val="005C45CE"/>
    <w:rsid w:val="005C5924"/>
    <w:rsid w:val="005D2D36"/>
    <w:rsid w:val="005D4266"/>
    <w:rsid w:val="005D4F46"/>
    <w:rsid w:val="005D55A9"/>
    <w:rsid w:val="005D5C90"/>
    <w:rsid w:val="005D658E"/>
    <w:rsid w:val="005D72D4"/>
    <w:rsid w:val="005D7374"/>
    <w:rsid w:val="005D778C"/>
    <w:rsid w:val="005E0A10"/>
    <w:rsid w:val="005E1226"/>
    <w:rsid w:val="005E1356"/>
    <w:rsid w:val="005E22A8"/>
    <w:rsid w:val="005E2CAF"/>
    <w:rsid w:val="005E4097"/>
    <w:rsid w:val="005E516A"/>
    <w:rsid w:val="005E56B1"/>
    <w:rsid w:val="005E5B3E"/>
    <w:rsid w:val="005E666E"/>
    <w:rsid w:val="005E74A1"/>
    <w:rsid w:val="005F0C5A"/>
    <w:rsid w:val="005F0F98"/>
    <w:rsid w:val="005F0FD9"/>
    <w:rsid w:val="005F1B3A"/>
    <w:rsid w:val="005F234C"/>
    <w:rsid w:val="005F396C"/>
    <w:rsid w:val="005F3C35"/>
    <w:rsid w:val="005F50F8"/>
    <w:rsid w:val="005F539E"/>
    <w:rsid w:val="005F576F"/>
    <w:rsid w:val="005F6FAC"/>
    <w:rsid w:val="0060029A"/>
    <w:rsid w:val="006007C7"/>
    <w:rsid w:val="00600A3F"/>
    <w:rsid w:val="00600E47"/>
    <w:rsid w:val="006018B9"/>
    <w:rsid w:val="00601FDC"/>
    <w:rsid w:val="0060357F"/>
    <w:rsid w:val="00603B5C"/>
    <w:rsid w:val="00605562"/>
    <w:rsid w:val="00606A8F"/>
    <w:rsid w:val="00606DB8"/>
    <w:rsid w:val="006070E9"/>
    <w:rsid w:val="0060739E"/>
    <w:rsid w:val="00607A06"/>
    <w:rsid w:val="00607FB0"/>
    <w:rsid w:val="00610DA8"/>
    <w:rsid w:val="00611503"/>
    <w:rsid w:val="00611968"/>
    <w:rsid w:val="0061214F"/>
    <w:rsid w:val="00612E97"/>
    <w:rsid w:val="006135B1"/>
    <w:rsid w:val="006144CE"/>
    <w:rsid w:val="006163EF"/>
    <w:rsid w:val="006167DA"/>
    <w:rsid w:val="006202B1"/>
    <w:rsid w:val="00621235"/>
    <w:rsid w:val="00621A89"/>
    <w:rsid w:val="00622322"/>
    <w:rsid w:val="00623AA6"/>
    <w:rsid w:val="0062475D"/>
    <w:rsid w:val="00625C00"/>
    <w:rsid w:val="00626C39"/>
    <w:rsid w:val="0062718C"/>
    <w:rsid w:val="00627745"/>
    <w:rsid w:val="00632C26"/>
    <w:rsid w:val="00632E72"/>
    <w:rsid w:val="0063326B"/>
    <w:rsid w:val="006334A9"/>
    <w:rsid w:val="00634571"/>
    <w:rsid w:val="0063518B"/>
    <w:rsid w:val="006353BA"/>
    <w:rsid w:val="006358E1"/>
    <w:rsid w:val="00635928"/>
    <w:rsid w:val="006361BE"/>
    <w:rsid w:val="006361EA"/>
    <w:rsid w:val="00636A8C"/>
    <w:rsid w:val="00637396"/>
    <w:rsid w:val="00640549"/>
    <w:rsid w:val="00640B72"/>
    <w:rsid w:val="0064247C"/>
    <w:rsid w:val="006426EF"/>
    <w:rsid w:val="00642802"/>
    <w:rsid w:val="00642AD5"/>
    <w:rsid w:val="00644D95"/>
    <w:rsid w:val="00644F5F"/>
    <w:rsid w:val="0064513E"/>
    <w:rsid w:val="00645785"/>
    <w:rsid w:val="00647140"/>
    <w:rsid w:val="00650DE7"/>
    <w:rsid w:val="006530D2"/>
    <w:rsid w:val="0065353D"/>
    <w:rsid w:val="006538F4"/>
    <w:rsid w:val="00653F0D"/>
    <w:rsid w:val="00654049"/>
    <w:rsid w:val="0065406A"/>
    <w:rsid w:val="00654A44"/>
    <w:rsid w:val="00654CAA"/>
    <w:rsid w:val="00655156"/>
    <w:rsid w:val="006574CA"/>
    <w:rsid w:val="00657834"/>
    <w:rsid w:val="00657D68"/>
    <w:rsid w:val="006601D6"/>
    <w:rsid w:val="00660A03"/>
    <w:rsid w:val="00660D6A"/>
    <w:rsid w:val="006626BA"/>
    <w:rsid w:val="006633C9"/>
    <w:rsid w:val="006661B0"/>
    <w:rsid w:val="006664BE"/>
    <w:rsid w:val="0066673B"/>
    <w:rsid w:val="00666C47"/>
    <w:rsid w:val="006672CE"/>
    <w:rsid w:val="0067224C"/>
    <w:rsid w:val="00672E27"/>
    <w:rsid w:val="006731AD"/>
    <w:rsid w:val="0067349F"/>
    <w:rsid w:val="00673738"/>
    <w:rsid w:val="00674D73"/>
    <w:rsid w:val="00675118"/>
    <w:rsid w:val="0067531F"/>
    <w:rsid w:val="00676A23"/>
    <w:rsid w:val="0067703A"/>
    <w:rsid w:val="00677364"/>
    <w:rsid w:val="00677DE2"/>
    <w:rsid w:val="00677E3C"/>
    <w:rsid w:val="00680A06"/>
    <w:rsid w:val="00682819"/>
    <w:rsid w:val="006842BA"/>
    <w:rsid w:val="006847E1"/>
    <w:rsid w:val="006848D7"/>
    <w:rsid w:val="00686119"/>
    <w:rsid w:val="006862AB"/>
    <w:rsid w:val="00686970"/>
    <w:rsid w:val="00687B62"/>
    <w:rsid w:val="00691114"/>
    <w:rsid w:val="00691C45"/>
    <w:rsid w:val="006926C0"/>
    <w:rsid w:val="006941AE"/>
    <w:rsid w:val="006943AE"/>
    <w:rsid w:val="006943FC"/>
    <w:rsid w:val="0069527E"/>
    <w:rsid w:val="00695721"/>
    <w:rsid w:val="006957AE"/>
    <w:rsid w:val="006957EC"/>
    <w:rsid w:val="00697593"/>
    <w:rsid w:val="00697B53"/>
    <w:rsid w:val="00697FE0"/>
    <w:rsid w:val="006A0379"/>
    <w:rsid w:val="006A13A5"/>
    <w:rsid w:val="006A1F2A"/>
    <w:rsid w:val="006A2399"/>
    <w:rsid w:val="006A243A"/>
    <w:rsid w:val="006A2CB4"/>
    <w:rsid w:val="006A3B30"/>
    <w:rsid w:val="006A3C0D"/>
    <w:rsid w:val="006A58BF"/>
    <w:rsid w:val="006A5C32"/>
    <w:rsid w:val="006A65DF"/>
    <w:rsid w:val="006A7704"/>
    <w:rsid w:val="006B0CB2"/>
    <w:rsid w:val="006B2382"/>
    <w:rsid w:val="006B2D58"/>
    <w:rsid w:val="006B2F95"/>
    <w:rsid w:val="006B3448"/>
    <w:rsid w:val="006B364C"/>
    <w:rsid w:val="006B406D"/>
    <w:rsid w:val="006B43F4"/>
    <w:rsid w:val="006B4781"/>
    <w:rsid w:val="006B48F6"/>
    <w:rsid w:val="006B5804"/>
    <w:rsid w:val="006B6335"/>
    <w:rsid w:val="006B63AA"/>
    <w:rsid w:val="006B7F2D"/>
    <w:rsid w:val="006C04A0"/>
    <w:rsid w:val="006C1736"/>
    <w:rsid w:val="006C1B6A"/>
    <w:rsid w:val="006C1C9F"/>
    <w:rsid w:val="006C2473"/>
    <w:rsid w:val="006C2545"/>
    <w:rsid w:val="006C3E24"/>
    <w:rsid w:val="006C3EE8"/>
    <w:rsid w:val="006C460B"/>
    <w:rsid w:val="006C4804"/>
    <w:rsid w:val="006C5A2D"/>
    <w:rsid w:val="006C5FE3"/>
    <w:rsid w:val="006C693D"/>
    <w:rsid w:val="006C769B"/>
    <w:rsid w:val="006C7E03"/>
    <w:rsid w:val="006C7F53"/>
    <w:rsid w:val="006D0DE3"/>
    <w:rsid w:val="006D143E"/>
    <w:rsid w:val="006D14BF"/>
    <w:rsid w:val="006D28AD"/>
    <w:rsid w:val="006D2E13"/>
    <w:rsid w:val="006D3F64"/>
    <w:rsid w:val="006D559D"/>
    <w:rsid w:val="006D6C6D"/>
    <w:rsid w:val="006D7EF3"/>
    <w:rsid w:val="006E0311"/>
    <w:rsid w:val="006E04D4"/>
    <w:rsid w:val="006E0671"/>
    <w:rsid w:val="006E0C89"/>
    <w:rsid w:val="006E1037"/>
    <w:rsid w:val="006E150E"/>
    <w:rsid w:val="006E20BC"/>
    <w:rsid w:val="006E234F"/>
    <w:rsid w:val="006E2836"/>
    <w:rsid w:val="006E2C44"/>
    <w:rsid w:val="006E2E52"/>
    <w:rsid w:val="006E4119"/>
    <w:rsid w:val="006E4375"/>
    <w:rsid w:val="006E526F"/>
    <w:rsid w:val="006E6019"/>
    <w:rsid w:val="006E63A7"/>
    <w:rsid w:val="006E6CEB"/>
    <w:rsid w:val="006E718D"/>
    <w:rsid w:val="006E785F"/>
    <w:rsid w:val="006F0262"/>
    <w:rsid w:val="006F02A5"/>
    <w:rsid w:val="006F07B4"/>
    <w:rsid w:val="006F0E59"/>
    <w:rsid w:val="006F1BB6"/>
    <w:rsid w:val="006F1F1A"/>
    <w:rsid w:val="006F22B9"/>
    <w:rsid w:val="006F3457"/>
    <w:rsid w:val="006F3E6D"/>
    <w:rsid w:val="006F41D3"/>
    <w:rsid w:val="006F447A"/>
    <w:rsid w:val="006F59BD"/>
    <w:rsid w:val="006F6A72"/>
    <w:rsid w:val="006F7B02"/>
    <w:rsid w:val="006F7DA9"/>
    <w:rsid w:val="00700701"/>
    <w:rsid w:val="00700CEF"/>
    <w:rsid w:val="00703159"/>
    <w:rsid w:val="007033FB"/>
    <w:rsid w:val="00704E86"/>
    <w:rsid w:val="00705116"/>
    <w:rsid w:val="007059B5"/>
    <w:rsid w:val="00705AA0"/>
    <w:rsid w:val="0070623A"/>
    <w:rsid w:val="007068A1"/>
    <w:rsid w:val="00706C65"/>
    <w:rsid w:val="00707015"/>
    <w:rsid w:val="00710043"/>
    <w:rsid w:val="0071039D"/>
    <w:rsid w:val="007104A3"/>
    <w:rsid w:val="007111B9"/>
    <w:rsid w:val="00712317"/>
    <w:rsid w:val="00712F86"/>
    <w:rsid w:val="0071361E"/>
    <w:rsid w:val="00715C5B"/>
    <w:rsid w:val="00717243"/>
    <w:rsid w:val="007206EC"/>
    <w:rsid w:val="00721AF9"/>
    <w:rsid w:val="00721C53"/>
    <w:rsid w:val="00722853"/>
    <w:rsid w:val="00725208"/>
    <w:rsid w:val="00725E79"/>
    <w:rsid w:val="007264BA"/>
    <w:rsid w:val="007277C8"/>
    <w:rsid w:val="00730D5E"/>
    <w:rsid w:val="00730E83"/>
    <w:rsid w:val="00731185"/>
    <w:rsid w:val="007318E7"/>
    <w:rsid w:val="00732208"/>
    <w:rsid w:val="007322B1"/>
    <w:rsid w:val="007324A7"/>
    <w:rsid w:val="00733486"/>
    <w:rsid w:val="00733B7C"/>
    <w:rsid w:val="0073438C"/>
    <w:rsid w:val="0073448A"/>
    <w:rsid w:val="00734B88"/>
    <w:rsid w:val="00734D83"/>
    <w:rsid w:val="00735C23"/>
    <w:rsid w:val="007360F2"/>
    <w:rsid w:val="00737CA2"/>
    <w:rsid w:val="00737E80"/>
    <w:rsid w:val="00740CA4"/>
    <w:rsid w:val="0074392C"/>
    <w:rsid w:val="00743CFD"/>
    <w:rsid w:val="007446D5"/>
    <w:rsid w:val="0074527A"/>
    <w:rsid w:val="00745B1D"/>
    <w:rsid w:val="00746427"/>
    <w:rsid w:val="0074679A"/>
    <w:rsid w:val="00746908"/>
    <w:rsid w:val="00746965"/>
    <w:rsid w:val="00747539"/>
    <w:rsid w:val="00750980"/>
    <w:rsid w:val="00751596"/>
    <w:rsid w:val="00751882"/>
    <w:rsid w:val="00751DD9"/>
    <w:rsid w:val="00752917"/>
    <w:rsid w:val="00752FFE"/>
    <w:rsid w:val="00753A1F"/>
    <w:rsid w:val="00754EF0"/>
    <w:rsid w:val="007553C2"/>
    <w:rsid w:val="00755797"/>
    <w:rsid w:val="007562FB"/>
    <w:rsid w:val="007573D4"/>
    <w:rsid w:val="00757655"/>
    <w:rsid w:val="00757F0B"/>
    <w:rsid w:val="00760274"/>
    <w:rsid w:val="007606D2"/>
    <w:rsid w:val="007608A8"/>
    <w:rsid w:val="00761396"/>
    <w:rsid w:val="00764DD8"/>
    <w:rsid w:val="00767841"/>
    <w:rsid w:val="00767A50"/>
    <w:rsid w:val="007704E8"/>
    <w:rsid w:val="00770593"/>
    <w:rsid w:val="007734E6"/>
    <w:rsid w:val="00773A24"/>
    <w:rsid w:val="00773B61"/>
    <w:rsid w:val="00774D65"/>
    <w:rsid w:val="00775607"/>
    <w:rsid w:val="00775D36"/>
    <w:rsid w:val="0077625E"/>
    <w:rsid w:val="00776303"/>
    <w:rsid w:val="007767DE"/>
    <w:rsid w:val="00777344"/>
    <w:rsid w:val="007774B5"/>
    <w:rsid w:val="00777535"/>
    <w:rsid w:val="00784606"/>
    <w:rsid w:val="00784EAD"/>
    <w:rsid w:val="007861B6"/>
    <w:rsid w:val="0078652F"/>
    <w:rsid w:val="007904E1"/>
    <w:rsid w:val="0079069C"/>
    <w:rsid w:val="00790828"/>
    <w:rsid w:val="00790AC5"/>
    <w:rsid w:val="00790DE4"/>
    <w:rsid w:val="00791164"/>
    <w:rsid w:val="00791E86"/>
    <w:rsid w:val="00792915"/>
    <w:rsid w:val="00793143"/>
    <w:rsid w:val="00793C31"/>
    <w:rsid w:val="00794391"/>
    <w:rsid w:val="0079440C"/>
    <w:rsid w:val="00796E15"/>
    <w:rsid w:val="00797129"/>
    <w:rsid w:val="007979E4"/>
    <w:rsid w:val="00797A49"/>
    <w:rsid w:val="007A0160"/>
    <w:rsid w:val="007A0199"/>
    <w:rsid w:val="007A143F"/>
    <w:rsid w:val="007A15C2"/>
    <w:rsid w:val="007A3B88"/>
    <w:rsid w:val="007A4C78"/>
    <w:rsid w:val="007A531A"/>
    <w:rsid w:val="007A5564"/>
    <w:rsid w:val="007A56AB"/>
    <w:rsid w:val="007A5DC4"/>
    <w:rsid w:val="007A649C"/>
    <w:rsid w:val="007A64D8"/>
    <w:rsid w:val="007B0172"/>
    <w:rsid w:val="007B07A4"/>
    <w:rsid w:val="007B08E1"/>
    <w:rsid w:val="007B0FC5"/>
    <w:rsid w:val="007B19A2"/>
    <w:rsid w:val="007B21D1"/>
    <w:rsid w:val="007B27A4"/>
    <w:rsid w:val="007B5572"/>
    <w:rsid w:val="007B57CA"/>
    <w:rsid w:val="007B6D27"/>
    <w:rsid w:val="007B7729"/>
    <w:rsid w:val="007C04C6"/>
    <w:rsid w:val="007C10CB"/>
    <w:rsid w:val="007C2310"/>
    <w:rsid w:val="007C2695"/>
    <w:rsid w:val="007C2818"/>
    <w:rsid w:val="007C2CC7"/>
    <w:rsid w:val="007C48F5"/>
    <w:rsid w:val="007C4F5E"/>
    <w:rsid w:val="007C6FB5"/>
    <w:rsid w:val="007C7080"/>
    <w:rsid w:val="007C72A8"/>
    <w:rsid w:val="007C7E33"/>
    <w:rsid w:val="007D0C38"/>
    <w:rsid w:val="007D186A"/>
    <w:rsid w:val="007D18C1"/>
    <w:rsid w:val="007D29EA"/>
    <w:rsid w:val="007D331F"/>
    <w:rsid w:val="007D3834"/>
    <w:rsid w:val="007D3862"/>
    <w:rsid w:val="007D5730"/>
    <w:rsid w:val="007D5EBD"/>
    <w:rsid w:val="007D5F14"/>
    <w:rsid w:val="007D5FE9"/>
    <w:rsid w:val="007D63FC"/>
    <w:rsid w:val="007D6DBB"/>
    <w:rsid w:val="007D6E33"/>
    <w:rsid w:val="007D70CF"/>
    <w:rsid w:val="007D716A"/>
    <w:rsid w:val="007D74E1"/>
    <w:rsid w:val="007D79CB"/>
    <w:rsid w:val="007D7BD6"/>
    <w:rsid w:val="007D7D6E"/>
    <w:rsid w:val="007E208A"/>
    <w:rsid w:val="007E21FE"/>
    <w:rsid w:val="007E2FE3"/>
    <w:rsid w:val="007E359C"/>
    <w:rsid w:val="007E370D"/>
    <w:rsid w:val="007E386A"/>
    <w:rsid w:val="007E3A02"/>
    <w:rsid w:val="007E3C12"/>
    <w:rsid w:val="007E3FE5"/>
    <w:rsid w:val="007E5097"/>
    <w:rsid w:val="007E5BAF"/>
    <w:rsid w:val="007E5C2C"/>
    <w:rsid w:val="007E5E73"/>
    <w:rsid w:val="007E621A"/>
    <w:rsid w:val="007E660C"/>
    <w:rsid w:val="007E7172"/>
    <w:rsid w:val="007F1F39"/>
    <w:rsid w:val="007F42AF"/>
    <w:rsid w:val="007F4D16"/>
    <w:rsid w:val="007F50CE"/>
    <w:rsid w:val="007F53F3"/>
    <w:rsid w:val="007F5BBF"/>
    <w:rsid w:val="007F7C94"/>
    <w:rsid w:val="00800BB6"/>
    <w:rsid w:val="008013C1"/>
    <w:rsid w:val="00801691"/>
    <w:rsid w:val="00801A4A"/>
    <w:rsid w:val="00803626"/>
    <w:rsid w:val="00805A99"/>
    <w:rsid w:val="00805C67"/>
    <w:rsid w:val="00806754"/>
    <w:rsid w:val="008067A2"/>
    <w:rsid w:val="00807370"/>
    <w:rsid w:val="00807678"/>
    <w:rsid w:val="00807C31"/>
    <w:rsid w:val="008100EB"/>
    <w:rsid w:val="0081068B"/>
    <w:rsid w:val="00811784"/>
    <w:rsid w:val="0081693A"/>
    <w:rsid w:val="00817063"/>
    <w:rsid w:val="00817387"/>
    <w:rsid w:val="0082090E"/>
    <w:rsid w:val="00820BB9"/>
    <w:rsid w:val="0082104D"/>
    <w:rsid w:val="008212C3"/>
    <w:rsid w:val="008213D1"/>
    <w:rsid w:val="00821AC2"/>
    <w:rsid w:val="00821F6E"/>
    <w:rsid w:val="008230B1"/>
    <w:rsid w:val="00825198"/>
    <w:rsid w:val="008252EE"/>
    <w:rsid w:val="00827257"/>
    <w:rsid w:val="00827354"/>
    <w:rsid w:val="00827B11"/>
    <w:rsid w:val="008308E7"/>
    <w:rsid w:val="00831C7A"/>
    <w:rsid w:val="00833ECC"/>
    <w:rsid w:val="00834B0F"/>
    <w:rsid w:val="00834E61"/>
    <w:rsid w:val="00835387"/>
    <w:rsid w:val="00836608"/>
    <w:rsid w:val="00837F11"/>
    <w:rsid w:val="00840471"/>
    <w:rsid w:val="008409E0"/>
    <w:rsid w:val="00840A04"/>
    <w:rsid w:val="00841D02"/>
    <w:rsid w:val="008421E2"/>
    <w:rsid w:val="0084230A"/>
    <w:rsid w:val="00843014"/>
    <w:rsid w:val="00843D93"/>
    <w:rsid w:val="00843E22"/>
    <w:rsid w:val="008449BC"/>
    <w:rsid w:val="00844F9A"/>
    <w:rsid w:val="00845525"/>
    <w:rsid w:val="0084675A"/>
    <w:rsid w:val="00846AC0"/>
    <w:rsid w:val="0084795D"/>
    <w:rsid w:val="0085012E"/>
    <w:rsid w:val="008509C4"/>
    <w:rsid w:val="008510EB"/>
    <w:rsid w:val="00851B76"/>
    <w:rsid w:val="008521C6"/>
    <w:rsid w:val="00852B58"/>
    <w:rsid w:val="00852E98"/>
    <w:rsid w:val="00856571"/>
    <w:rsid w:val="008568F9"/>
    <w:rsid w:val="008578AA"/>
    <w:rsid w:val="00857967"/>
    <w:rsid w:val="00857B7A"/>
    <w:rsid w:val="008605F8"/>
    <w:rsid w:val="00860846"/>
    <w:rsid w:val="00860E95"/>
    <w:rsid w:val="00860EC0"/>
    <w:rsid w:val="0086109D"/>
    <w:rsid w:val="00861A34"/>
    <w:rsid w:val="00861E67"/>
    <w:rsid w:val="00863645"/>
    <w:rsid w:val="008638A5"/>
    <w:rsid w:val="0086445A"/>
    <w:rsid w:val="00864A30"/>
    <w:rsid w:val="00865294"/>
    <w:rsid w:val="00865D88"/>
    <w:rsid w:val="008667A5"/>
    <w:rsid w:val="008678C8"/>
    <w:rsid w:val="00871757"/>
    <w:rsid w:val="00871BBE"/>
    <w:rsid w:val="00872045"/>
    <w:rsid w:val="00872C81"/>
    <w:rsid w:val="00875F08"/>
    <w:rsid w:val="00876523"/>
    <w:rsid w:val="008771D5"/>
    <w:rsid w:val="008776EB"/>
    <w:rsid w:val="0088036B"/>
    <w:rsid w:val="00881E6A"/>
    <w:rsid w:val="008825E0"/>
    <w:rsid w:val="00882FF0"/>
    <w:rsid w:val="0088406F"/>
    <w:rsid w:val="00884649"/>
    <w:rsid w:val="008854F6"/>
    <w:rsid w:val="008857B4"/>
    <w:rsid w:val="0088646B"/>
    <w:rsid w:val="00886F9A"/>
    <w:rsid w:val="00887846"/>
    <w:rsid w:val="008879FA"/>
    <w:rsid w:val="008905A9"/>
    <w:rsid w:val="00891D3A"/>
    <w:rsid w:val="00892232"/>
    <w:rsid w:val="00892F1A"/>
    <w:rsid w:val="00893069"/>
    <w:rsid w:val="008941B6"/>
    <w:rsid w:val="00894318"/>
    <w:rsid w:val="008959D2"/>
    <w:rsid w:val="00896FD8"/>
    <w:rsid w:val="008970C8"/>
    <w:rsid w:val="008A057E"/>
    <w:rsid w:val="008A07B5"/>
    <w:rsid w:val="008A110D"/>
    <w:rsid w:val="008A21EF"/>
    <w:rsid w:val="008A2CEC"/>
    <w:rsid w:val="008A33A2"/>
    <w:rsid w:val="008A3B9A"/>
    <w:rsid w:val="008A588A"/>
    <w:rsid w:val="008A5C18"/>
    <w:rsid w:val="008A5F71"/>
    <w:rsid w:val="008A7B5B"/>
    <w:rsid w:val="008A7C43"/>
    <w:rsid w:val="008B0566"/>
    <w:rsid w:val="008B0C87"/>
    <w:rsid w:val="008B1BEE"/>
    <w:rsid w:val="008B66A4"/>
    <w:rsid w:val="008B7EA0"/>
    <w:rsid w:val="008B7F37"/>
    <w:rsid w:val="008C02F3"/>
    <w:rsid w:val="008C03E9"/>
    <w:rsid w:val="008C0468"/>
    <w:rsid w:val="008C08FD"/>
    <w:rsid w:val="008C12F7"/>
    <w:rsid w:val="008C2894"/>
    <w:rsid w:val="008C2BCC"/>
    <w:rsid w:val="008C389E"/>
    <w:rsid w:val="008C3BFB"/>
    <w:rsid w:val="008C3C5C"/>
    <w:rsid w:val="008C44E6"/>
    <w:rsid w:val="008C491F"/>
    <w:rsid w:val="008C52C7"/>
    <w:rsid w:val="008C54DD"/>
    <w:rsid w:val="008C61D3"/>
    <w:rsid w:val="008C6941"/>
    <w:rsid w:val="008C6FD3"/>
    <w:rsid w:val="008C7D96"/>
    <w:rsid w:val="008D197A"/>
    <w:rsid w:val="008D206D"/>
    <w:rsid w:val="008D2708"/>
    <w:rsid w:val="008D32A2"/>
    <w:rsid w:val="008D5602"/>
    <w:rsid w:val="008D7E18"/>
    <w:rsid w:val="008E0A98"/>
    <w:rsid w:val="008E0B2F"/>
    <w:rsid w:val="008E0CC4"/>
    <w:rsid w:val="008E14C5"/>
    <w:rsid w:val="008E3F61"/>
    <w:rsid w:val="008E493D"/>
    <w:rsid w:val="008E562B"/>
    <w:rsid w:val="008E58C0"/>
    <w:rsid w:val="008E6600"/>
    <w:rsid w:val="008E6797"/>
    <w:rsid w:val="008E6E7D"/>
    <w:rsid w:val="008E7888"/>
    <w:rsid w:val="008F1DF4"/>
    <w:rsid w:val="008F24A5"/>
    <w:rsid w:val="008F346F"/>
    <w:rsid w:val="008F7198"/>
    <w:rsid w:val="008F783E"/>
    <w:rsid w:val="008F79A8"/>
    <w:rsid w:val="008F7A8D"/>
    <w:rsid w:val="00901E0C"/>
    <w:rsid w:val="00901F93"/>
    <w:rsid w:val="00902216"/>
    <w:rsid w:val="00902D24"/>
    <w:rsid w:val="00904206"/>
    <w:rsid w:val="00905146"/>
    <w:rsid w:val="00905617"/>
    <w:rsid w:val="00905F63"/>
    <w:rsid w:val="00907319"/>
    <w:rsid w:val="00907638"/>
    <w:rsid w:val="0091077E"/>
    <w:rsid w:val="00910A5E"/>
    <w:rsid w:val="00911368"/>
    <w:rsid w:val="00912FE8"/>
    <w:rsid w:val="009147BE"/>
    <w:rsid w:val="00914D7F"/>
    <w:rsid w:val="00915881"/>
    <w:rsid w:val="00916827"/>
    <w:rsid w:val="0091737B"/>
    <w:rsid w:val="00917AAB"/>
    <w:rsid w:val="00921174"/>
    <w:rsid w:val="0092253E"/>
    <w:rsid w:val="00923FB9"/>
    <w:rsid w:val="009249AE"/>
    <w:rsid w:val="00924A2B"/>
    <w:rsid w:val="00924AB2"/>
    <w:rsid w:val="009262D5"/>
    <w:rsid w:val="00926B8A"/>
    <w:rsid w:val="00927595"/>
    <w:rsid w:val="00927A17"/>
    <w:rsid w:val="00927BD5"/>
    <w:rsid w:val="009305A7"/>
    <w:rsid w:val="00931094"/>
    <w:rsid w:val="009313B1"/>
    <w:rsid w:val="00931687"/>
    <w:rsid w:val="009327EC"/>
    <w:rsid w:val="00932C7D"/>
    <w:rsid w:val="00933755"/>
    <w:rsid w:val="00934327"/>
    <w:rsid w:val="009355A1"/>
    <w:rsid w:val="009367F7"/>
    <w:rsid w:val="00936A57"/>
    <w:rsid w:val="009373FD"/>
    <w:rsid w:val="00943592"/>
    <w:rsid w:val="0094384B"/>
    <w:rsid w:val="00944BFB"/>
    <w:rsid w:val="00945BD5"/>
    <w:rsid w:val="00947ADC"/>
    <w:rsid w:val="00947CC9"/>
    <w:rsid w:val="00950A4E"/>
    <w:rsid w:val="009515D4"/>
    <w:rsid w:val="009517DF"/>
    <w:rsid w:val="00951B54"/>
    <w:rsid w:val="009523CD"/>
    <w:rsid w:val="0095263C"/>
    <w:rsid w:val="00952717"/>
    <w:rsid w:val="00952DB6"/>
    <w:rsid w:val="00952FA4"/>
    <w:rsid w:val="00953FD4"/>
    <w:rsid w:val="009542AD"/>
    <w:rsid w:val="00955746"/>
    <w:rsid w:val="00956957"/>
    <w:rsid w:val="00956BFE"/>
    <w:rsid w:val="00960007"/>
    <w:rsid w:val="0096190E"/>
    <w:rsid w:val="0096257D"/>
    <w:rsid w:val="0096315D"/>
    <w:rsid w:val="009633D0"/>
    <w:rsid w:val="009633FC"/>
    <w:rsid w:val="00964122"/>
    <w:rsid w:val="009641EF"/>
    <w:rsid w:val="00965D5C"/>
    <w:rsid w:val="0096606F"/>
    <w:rsid w:val="009661B9"/>
    <w:rsid w:val="00966214"/>
    <w:rsid w:val="00966494"/>
    <w:rsid w:val="00966D66"/>
    <w:rsid w:val="00967106"/>
    <w:rsid w:val="009711DD"/>
    <w:rsid w:val="0097230D"/>
    <w:rsid w:val="00972631"/>
    <w:rsid w:val="009733AD"/>
    <w:rsid w:val="009736F9"/>
    <w:rsid w:val="00975BEA"/>
    <w:rsid w:val="00976125"/>
    <w:rsid w:val="00976D6E"/>
    <w:rsid w:val="00976F16"/>
    <w:rsid w:val="00976F9B"/>
    <w:rsid w:val="00980327"/>
    <w:rsid w:val="00980388"/>
    <w:rsid w:val="00980CA4"/>
    <w:rsid w:val="009838FB"/>
    <w:rsid w:val="00984169"/>
    <w:rsid w:val="009843E5"/>
    <w:rsid w:val="00984F99"/>
    <w:rsid w:val="00985813"/>
    <w:rsid w:val="00985B9A"/>
    <w:rsid w:val="00985D7E"/>
    <w:rsid w:val="009877FA"/>
    <w:rsid w:val="0099302F"/>
    <w:rsid w:val="00993690"/>
    <w:rsid w:val="00993BB6"/>
    <w:rsid w:val="00993FD0"/>
    <w:rsid w:val="009954EE"/>
    <w:rsid w:val="00995D12"/>
    <w:rsid w:val="009968E1"/>
    <w:rsid w:val="00996F70"/>
    <w:rsid w:val="009975F7"/>
    <w:rsid w:val="009A0174"/>
    <w:rsid w:val="009A0548"/>
    <w:rsid w:val="009A05C9"/>
    <w:rsid w:val="009A0A86"/>
    <w:rsid w:val="009A26AD"/>
    <w:rsid w:val="009A2CBC"/>
    <w:rsid w:val="009A37BC"/>
    <w:rsid w:val="009A3C73"/>
    <w:rsid w:val="009A401D"/>
    <w:rsid w:val="009A5A06"/>
    <w:rsid w:val="009A5CDB"/>
    <w:rsid w:val="009A5E37"/>
    <w:rsid w:val="009A5E50"/>
    <w:rsid w:val="009A60A0"/>
    <w:rsid w:val="009A7B50"/>
    <w:rsid w:val="009B00E2"/>
    <w:rsid w:val="009B1D85"/>
    <w:rsid w:val="009B2251"/>
    <w:rsid w:val="009B2352"/>
    <w:rsid w:val="009B267F"/>
    <w:rsid w:val="009B27D9"/>
    <w:rsid w:val="009B346B"/>
    <w:rsid w:val="009B3AE7"/>
    <w:rsid w:val="009B47EC"/>
    <w:rsid w:val="009B5DCA"/>
    <w:rsid w:val="009B72E5"/>
    <w:rsid w:val="009C03A6"/>
    <w:rsid w:val="009C0F3C"/>
    <w:rsid w:val="009C19A8"/>
    <w:rsid w:val="009C31AC"/>
    <w:rsid w:val="009C40E9"/>
    <w:rsid w:val="009C5D60"/>
    <w:rsid w:val="009C696E"/>
    <w:rsid w:val="009C6D12"/>
    <w:rsid w:val="009C724C"/>
    <w:rsid w:val="009D373C"/>
    <w:rsid w:val="009D4085"/>
    <w:rsid w:val="009D60C5"/>
    <w:rsid w:val="009D6A81"/>
    <w:rsid w:val="009D7698"/>
    <w:rsid w:val="009D77A7"/>
    <w:rsid w:val="009D7A15"/>
    <w:rsid w:val="009E074F"/>
    <w:rsid w:val="009E1C94"/>
    <w:rsid w:val="009E1CE4"/>
    <w:rsid w:val="009E1F25"/>
    <w:rsid w:val="009E2F82"/>
    <w:rsid w:val="009E3D24"/>
    <w:rsid w:val="009E4182"/>
    <w:rsid w:val="009E58FE"/>
    <w:rsid w:val="009E5BB6"/>
    <w:rsid w:val="009F0B60"/>
    <w:rsid w:val="009F0E82"/>
    <w:rsid w:val="009F19D2"/>
    <w:rsid w:val="009F1DBC"/>
    <w:rsid w:val="009F1F62"/>
    <w:rsid w:val="009F2DFC"/>
    <w:rsid w:val="009F3C7C"/>
    <w:rsid w:val="009F3ECC"/>
    <w:rsid w:val="009F43EC"/>
    <w:rsid w:val="009F4439"/>
    <w:rsid w:val="009F543F"/>
    <w:rsid w:val="009F66A5"/>
    <w:rsid w:val="009F6BF3"/>
    <w:rsid w:val="009F753E"/>
    <w:rsid w:val="009F7EA1"/>
    <w:rsid w:val="00A007A3"/>
    <w:rsid w:val="00A00B16"/>
    <w:rsid w:val="00A00C18"/>
    <w:rsid w:val="00A00EA7"/>
    <w:rsid w:val="00A00FFC"/>
    <w:rsid w:val="00A013C1"/>
    <w:rsid w:val="00A0266F"/>
    <w:rsid w:val="00A02B3F"/>
    <w:rsid w:val="00A03929"/>
    <w:rsid w:val="00A03A41"/>
    <w:rsid w:val="00A03B27"/>
    <w:rsid w:val="00A04705"/>
    <w:rsid w:val="00A06EC7"/>
    <w:rsid w:val="00A07260"/>
    <w:rsid w:val="00A10511"/>
    <w:rsid w:val="00A10816"/>
    <w:rsid w:val="00A1108F"/>
    <w:rsid w:val="00A11ABC"/>
    <w:rsid w:val="00A122DC"/>
    <w:rsid w:val="00A1339C"/>
    <w:rsid w:val="00A13945"/>
    <w:rsid w:val="00A13CDB"/>
    <w:rsid w:val="00A149A9"/>
    <w:rsid w:val="00A157C3"/>
    <w:rsid w:val="00A15BE3"/>
    <w:rsid w:val="00A16394"/>
    <w:rsid w:val="00A16899"/>
    <w:rsid w:val="00A1714A"/>
    <w:rsid w:val="00A17D48"/>
    <w:rsid w:val="00A21532"/>
    <w:rsid w:val="00A21B8D"/>
    <w:rsid w:val="00A22845"/>
    <w:rsid w:val="00A2358F"/>
    <w:rsid w:val="00A235BF"/>
    <w:rsid w:val="00A256F8"/>
    <w:rsid w:val="00A258AB"/>
    <w:rsid w:val="00A25DB3"/>
    <w:rsid w:val="00A263E0"/>
    <w:rsid w:val="00A269E8"/>
    <w:rsid w:val="00A26D86"/>
    <w:rsid w:val="00A27CA3"/>
    <w:rsid w:val="00A3085B"/>
    <w:rsid w:val="00A30D2A"/>
    <w:rsid w:val="00A32265"/>
    <w:rsid w:val="00A323A6"/>
    <w:rsid w:val="00A323C4"/>
    <w:rsid w:val="00A32779"/>
    <w:rsid w:val="00A3295A"/>
    <w:rsid w:val="00A35E06"/>
    <w:rsid w:val="00A36159"/>
    <w:rsid w:val="00A37203"/>
    <w:rsid w:val="00A3746D"/>
    <w:rsid w:val="00A374C5"/>
    <w:rsid w:val="00A37721"/>
    <w:rsid w:val="00A37AAE"/>
    <w:rsid w:val="00A407D9"/>
    <w:rsid w:val="00A419DB"/>
    <w:rsid w:val="00A42DA1"/>
    <w:rsid w:val="00A43421"/>
    <w:rsid w:val="00A43525"/>
    <w:rsid w:val="00A438ED"/>
    <w:rsid w:val="00A43A7E"/>
    <w:rsid w:val="00A455C0"/>
    <w:rsid w:val="00A4623E"/>
    <w:rsid w:val="00A47039"/>
    <w:rsid w:val="00A472A5"/>
    <w:rsid w:val="00A4772A"/>
    <w:rsid w:val="00A5025F"/>
    <w:rsid w:val="00A5234A"/>
    <w:rsid w:val="00A53DC9"/>
    <w:rsid w:val="00A543EF"/>
    <w:rsid w:val="00A544A7"/>
    <w:rsid w:val="00A54E17"/>
    <w:rsid w:val="00A5650A"/>
    <w:rsid w:val="00A56EA5"/>
    <w:rsid w:val="00A57DE4"/>
    <w:rsid w:val="00A6048A"/>
    <w:rsid w:val="00A609AF"/>
    <w:rsid w:val="00A60EB8"/>
    <w:rsid w:val="00A610F7"/>
    <w:rsid w:val="00A6221E"/>
    <w:rsid w:val="00A62CD7"/>
    <w:rsid w:val="00A62E0E"/>
    <w:rsid w:val="00A62E96"/>
    <w:rsid w:val="00A64D99"/>
    <w:rsid w:val="00A66B0A"/>
    <w:rsid w:val="00A67AD1"/>
    <w:rsid w:val="00A701C7"/>
    <w:rsid w:val="00A70699"/>
    <w:rsid w:val="00A707F6"/>
    <w:rsid w:val="00A70B9F"/>
    <w:rsid w:val="00A715A8"/>
    <w:rsid w:val="00A71B80"/>
    <w:rsid w:val="00A74050"/>
    <w:rsid w:val="00A742F9"/>
    <w:rsid w:val="00A74634"/>
    <w:rsid w:val="00A74997"/>
    <w:rsid w:val="00A753EB"/>
    <w:rsid w:val="00A760F8"/>
    <w:rsid w:val="00A76EAC"/>
    <w:rsid w:val="00A76ED1"/>
    <w:rsid w:val="00A7761D"/>
    <w:rsid w:val="00A77C67"/>
    <w:rsid w:val="00A80BA6"/>
    <w:rsid w:val="00A820FC"/>
    <w:rsid w:val="00A8229C"/>
    <w:rsid w:val="00A82307"/>
    <w:rsid w:val="00A826A2"/>
    <w:rsid w:val="00A83B52"/>
    <w:rsid w:val="00A83BC8"/>
    <w:rsid w:val="00A84313"/>
    <w:rsid w:val="00A847D1"/>
    <w:rsid w:val="00A86739"/>
    <w:rsid w:val="00A874B2"/>
    <w:rsid w:val="00A87577"/>
    <w:rsid w:val="00A87588"/>
    <w:rsid w:val="00A876F8"/>
    <w:rsid w:val="00A90304"/>
    <w:rsid w:val="00A90ABD"/>
    <w:rsid w:val="00A90DB0"/>
    <w:rsid w:val="00A90E90"/>
    <w:rsid w:val="00A919EE"/>
    <w:rsid w:val="00A91E06"/>
    <w:rsid w:val="00A9285F"/>
    <w:rsid w:val="00A94674"/>
    <w:rsid w:val="00A94DAA"/>
    <w:rsid w:val="00A94DE2"/>
    <w:rsid w:val="00A9615E"/>
    <w:rsid w:val="00A967FE"/>
    <w:rsid w:val="00A9783F"/>
    <w:rsid w:val="00AA1206"/>
    <w:rsid w:val="00AA1905"/>
    <w:rsid w:val="00AA1D31"/>
    <w:rsid w:val="00AA29C8"/>
    <w:rsid w:val="00AA3075"/>
    <w:rsid w:val="00AA364E"/>
    <w:rsid w:val="00AA5262"/>
    <w:rsid w:val="00AA582E"/>
    <w:rsid w:val="00AA5920"/>
    <w:rsid w:val="00AA5AF6"/>
    <w:rsid w:val="00AA6B11"/>
    <w:rsid w:val="00AA6BF5"/>
    <w:rsid w:val="00AA6CA7"/>
    <w:rsid w:val="00AA70C7"/>
    <w:rsid w:val="00AA7394"/>
    <w:rsid w:val="00AA73DA"/>
    <w:rsid w:val="00AB1115"/>
    <w:rsid w:val="00AB111C"/>
    <w:rsid w:val="00AB2344"/>
    <w:rsid w:val="00AB2439"/>
    <w:rsid w:val="00AB2E84"/>
    <w:rsid w:val="00AB4218"/>
    <w:rsid w:val="00AB4820"/>
    <w:rsid w:val="00AB5732"/>
    <w:rsid w:val="00AB665C"/>
    <w:rsid w:val="00AC0012"/>
    <w:rsid w:val="00AC0A8A"/>
    <w:rsid w:val="00AC0B5B"/>
    <w:rsid w:val="00AC3352"/>
    <w:rsid w:val="00AC3F5C"/>
    <w:rsid w:val="00AC6B76"/>
    <w:rsid w:val="00AC72F3"/>
    <w:rsid w:val="00AC745C"/>
    <w:rsid w:val="00AC7B89"/>
    <w:rsid w:val="00AD1273"/>
    <w:rsid w:val="00AD19B6"/>
    <w:rsid w:val="00AD2475"/>
    <w:rsid w:val="00AD359B"/>
    <w:rsid w:val="00AD365B"/>
    <w:rsid w:val="00AD38FE"/>
    <w:rsid w:val="00AD5657"/>
    <w:rsid w:val="00AD633D"/>
    <w:rsid w:val="00AD662D"/>
    <w:rsid w:val="00AD6941"/>
    <w:rsid w:val="00AD7731"/>
    <w:rsid w:val="00AD7FEF"/>
    <w:rsid w:val="00AE066A"/>
    <w:rsid w:val="00AE11DE"/>
    <w:rsid w:val="00AE1962"/>
    <w:rsid w:val="00AE1EE7"/>
    <w:rsid w:val="00AE2212"/>
    <w:rsid w:val="00AE25C0"/>
    <w:rsid w:val="00AE369D"/>
    <w:rsid w:val="00AE4F94"/>
    <w:rsid w:val="00AE57CC"/>
    <w:rsid w:val="00AE6E21"/>
    <w:rsid w:val="00AE7778"/>
    <w:rsid w:val="00AE7F58"/>
    <w:rsid w:val="00AF00AE"/>
    <w:rsid w:val="00AF04CD"/>
    <w:rsid w:val="00AF0B68"/>
    <w:rsid w:val="00AF2F87"/>
    <w:rsid w:val="00AF3E0F"/>
    <w:rsid w:val="00AF5291"/>
    <w:rsid w:val="00AF60D7"/>
    <w:rsid w:val="00AF6723"/>
    <w:rsid w:val="00AF6B02"/>
    <w:rsid w:val="00AF72F0"/>
    <w:rsid w:val="00AF7CED"/>
    <w:rsid w:val="00B0036C"/>
    <w:rsid w:val="00B02042"/>
    <w:rsid w:val="00B04ED3"/>
    <w:rsid w:val="00B063C4"/>
    <w:rsid w:val="00B067F4"/>
    <w:rsid w:val="00B06BAA"/>
    <w:rsid w:val="00B06C91"/>
    <w:rsid w:val="00B07059"/>
    <w:rsid w:val="00B071F8"/>
    <w:rsid w:val="00B119F6"/>
    <w:rsid w:val="00B124F8"/>
    <w:rsid w:val="00B13237"/>
    <w:rsid w:val="00B13902"/>
    <w:rsid w:val="00B141F3"/>
    <w:rsid w:val="00B158AE"/>
    <w:rsid w:val="00B159AE"/>
    <w:rsid w:val="00B161ED"/>
    <w:rsid w:val="00B16381"/>
    <w:rsid w:val="00B2001A"/>
    <w:rsid w:val="00B21141"/>
    <w:rsid w:val="00B21E23"/>
    <w:rsid w:val="00B223DE"/>
    <w:rsid w:val="00B22466"/>
    <w:rsid w:val="00B22BE5"/>
    <w:rsid w:val="00B23B40"/>
    <w:rsid w:val="00B23B96"/>
    <w:rsid w:val="00B23E59"/>
    <w:rsid w:val="00B24BE7"/>
    <w:rsid w:val="00B25EF5"/>
    <w:rsid w:val="00B2687D"/>
    <w:rsid w:val="00B26E3A"/>
    <w:rsid w:val="00B305B1"/>
    <w:rsid w:val="00B30E13"/>
    <w:rsid w:val="00B3295A"/>
    <w:rsid w:val="00B32AD2"/>
    <w:rsid w:val="00B33E41"/>
    <w:rsid w:val="00B33F7D"/>
    <w:rsid w:val="00B346B2"/>
    <w:rsid w:val="00B34AF3"/>
    <w:rsid w:val="00B34BC2"/>
    <w:rsid w:val="00B35338"/>
    <w:rsid w:val="00B37C2D"/>
    <w:rsid w:val="00B4140F"/>
    <w:rsid w:val="00B415D3"/>
    <w:rsid w:val="00B416E4"/>
    <w:rsid w:val="00B43C9C"/>
    <w:rsid w:val="00B44EBD"/>
    <w:rsid w:val="00B458F4"/>
    <w:rsid w:val="00B45E34"/>
    <w:rsid w:val="00B46724"/>
    <w:rsid w:val="00B47877"/>
    <w:rsid w:val="00B5056F"/>
    <w:rsid w:val="00B50FF9"/>
    <w:rsid w:val="00B51444"/>
    <w:rsid w:val="00B514D0"/>
    <w:rsid w:val="00B51A4C"/>
    <w:rsid w:val="00B51B67"/>
    <w:rsid w:val="00B543DE"/>
    <w:rsid w:val="00B55691"/>
    <w:rsid w:val="00B558D1"/>
    <w:rsid w:val="00B562D5"/>
    <w:rsid w:val="00B5773F"/>
    <w:rsid w:val="00B57AF6"/>
    <w:rsid w:val="00B62742"/>
    <w:rsid w:val="00B63679"/>
    <w:rsid w:val="00B64EB2"/>
    <w:rsid w:val="00B652DA"/>
    <w:rsid w:val="00B67136"/>
    <w:rsid w:val="00B673B8"/>
    <w:rsid w:val="00B70131"/>
    <w:rsid w:val="00B719C9"/>
    <w:rsid w:val="00B73BD3"/>
    <w:rsid w:val="00B7472A"/>
    <w:rsid w:val="00B7699D"/>
    <w:rsid w:val="00B7720B"/>
    <w:rsid w:val="00B80B5F"/>
    <w:rsid w:val="00B81457"/>
    <w:rsid w:val="00B82E15"/>
    <w:rsid w:val="00B8345A"/>
    <w:rsid w:val="00B83975"/>
    <w:rsid w:val="00B83CD3"/>
    <w:rsid w:val="00B84874"/>
    <w:rsid w:val="00B85052"/>
    <w:rsid w:val="00B85791"/>
    <w:rsid w:val="00B86AA8"/>
    <w:rsid w:val="00B872AC"/>
    <w:rsid w:val="00B87873"/>
    <w:rsid w:val="00B91733"/>
    <w:rsid w:val="00B939FE"/>
    <w:rsid w:val="00B94CF9"/>
    <w:rsid w:val="00B955C5"/>
    <w:rsid w:val="00B96F1B"/>
    <w:rsid w:val="00BA1396"/>
    <w:rsid w:val="00BA1ABA"/>
    <w:rsid w:val="00BA2527"/>
    <w:rsid w:val="00BA2DF5"/>
    <w:rsid w:val="00BA333B"/>
    <w:rsid w:val="00BA35D1"/>
    <w:rsid w:val="00BA45F7"/>
    <w:rsid w:val="00BA49A0"/>
    <w:rsid w:val="00BA589C"/>
    <w:rsid w:val="00BA72FE"/>
    <w:rsid w:val="00BB07CE"/>
    <w:rsid w:val="00BB081D"/>
    <w:rsid w:val="00BB0AFC"/>
    <w:rsid w:val="00BB0B3D"/>
    <w:rsid w:val="00BB100C"/>
    <w:rsid w:val="00BB1E7C"/>
    <w:rsid w:val="00BB2117"/>
    <w:rsid w:val="00BB340A"/>
    <w:rsid w:val="00BB3EEA"/>
    <w:rsid w:val="00BB7262"/>
    <w:rsid w:val="00BC166E"/>
    <w:rsid w:val="00BC16F9"/>
    <w:rsid w:val="00BC23BF"/>
    <w:rsid w:val="00BC24A6"/>
    <w:rsid w:val="00BC5591"/>
    <w:rsid w:val="00BC5904"/>
    <w:rsid w:val="00BC7686"/>
    <w:rsid w:val="00BD0D18"/>
    <w:rsid w:val="00BD1040"/>
    <w:rsid w:val="00BD14A6"/>
    <w:rsid w:val="00BD1883"/>
    <w:rsid w:val="00BD1987"/>
    <w:rsid w:val="00BD2073"/>
    <w:rsid w:val="00BD4212"/>
    <w:rsid w:val="00BD428C"/>
    <w:rsid w:val="00BD42E8"/>
    <w:rsid w:val="00BD4DA9"/>
    <w:rsid w:val="00BE0153"/>
    <w:rsid w:val="00BE0DA4"/>
    <w:rsid w:val="00BE15F4"/>
    <w:rsid w:val="00BE23E9"/>
    <w:rsid w:val="00BE2A4E"/>
    <w:rsid w:val="00BE510B"/>
    <w:rsid w:val="00BE5772"/>
    <w:rsid w:val="00BE6A99"/>
    <w:rsid w:val="00BE6D02"/>
    <w:rsid w:val="00BF2BCE"/>
    <w:rsid w:val="00BF2FA0"/>
    <w:rsid w:val="00BF33A9"/>
    <w:rsid w:val="00BF4161"/>
    <w:rsid w:val="00BF5D48"/>
    <w:rsid w:val="00BF5F4D"/>
    <w:rsid w:val="00BF6155"/>
    <w:rsid w:val="00BF69BE"/>
    <w:rsid w:val="00BF6D87"/>
    <w:rsid w:val="00BF6E76"/>
    <w:rsid w:val="00BF7607"/>
    <w:rsid w:val="00C011FE"/>
    <w:rsid w:val="00C01376"/>
    <w:rsid w:val="00C02064"/>
    <w:rsid w:val="00C024E4"/>
    <w:rsid w:val="00C02E47"/>
    <w:rsid w:val="00C03048"/>
    <w:rsid w:val="00C034DC"/>
    <w:rsid w:val="00C044BC"/>
    <w:rsid w:val="00C06042"/>
    <w:rsid w:val="00C06185"/>
    <w:rsid w:val="00C10398"/>
    <w:rsid w:val="00C10FA3"/>
    <w:rsid w:val="00C11761"/>
    <w:rsid w:val="00C11992"/>
    <w:rsid w:val="00C12908"/>
    <w:rsid w:val="00C13149"/>
    <w:rsid w:val="00C13E03"/>
    <w:rsid w:val="00C14C60"/>
    <w:rsid w:val="00C15C36"/>
    <w:rsid w:val="00C177FC"/>
    <w:rsid w:val="00C2069F"/>
    <w:rsid w:val="00C209BF"/>
    <w:rsid w:val="00C20DC2"/>
    <w:rsid w:val="00C21230"/>
    <w:rsid w:val="00C21460"/>
    <w:rsid w:val="00C21F75"/>
    <w:rsid w:val="00C220B1"/>
    <w:rsid w:val="00C22BC8"/>
    <w:rsid w:val="00C2386A"/>
    <w:rsid w:val="00C23D0B"/>
    <w:rsid w:val="00C245BC"/>
    <w:rsid w:val="00C24771"/>
    <w:rsid w:val="00C2527D"/>
    <w:rsid w:val="00C25798"/>
    <w:rsid w:val="00C261FF"/>
    <w:rsid w:val="00C2778D"/>
    <w:rsid w:val="00C278DF"/>
    <w:rsid w:val="00C301A5"/>
    <w:rsid w:val="00C31AAC"/>
    <w:rsid w:val="00C31DE6"/>
    <w:rsid w:val="00C333E3"/>
    <w:rsid w:val="00C33856"/>
    <w:rsid w:val="00C342E5"/>
    <w:rsid w:val="00C348DB"/>
    <w:rsid w:val="00C35071"/>
    <w:rsid w:val="00C3521C"/>
    <w:rsid w:val="00C35978"/>
    <w:rsid w:val="00C35DAC"/>
    <w:rsid w:val="00C36429"/>
    <w:rsid w:val="00C36620"/>
    <w:rsid w:val="00C3719B"/>
    <w:rsid w:val="00C40C3D"/>
    <w:rsid w:val="00C41035"/>
    <w:rsid w:val="00C42D86"/>
    <w:rsid w:val="00C440FE"/>
    <w:rsid w:val="00C46734"/>
    <w:rsid w:val="00C4752B"/>
    <w:rsid w:val="00C50E91"/>
    <w:rsid w:val="00C51556"/>
    <w:rsid w:val="00C54169"/>
    <w:rsid w:val="00C55B6E"/>
    <w:rsid w:val="00C565F3"/>
    <w:rsid w:val="00C5695B"/>
    <w:rsid w:val="00C56B6E"/>
    <w:rsid w:val="00C56FF3"/>
    <w:rsid w:val="00C57558"/>
    <w:rsid w:val="00C57C8C"/>
    <w:rsid w:val="00C57CE7"/>
    <w:rsid w:val="00C60636"/>
    <w:rsid w:val="00C606A1"/>
    <w:rsid w:val="00C60DE4"/>
    <w:rsid w:val="00C621BE"/>
    <w:rsid w:val="00C62739"/>
    <w:rsid w:val="00C627A6"/>
    <w:rsid w:val="00C63817"/>
    <w:rsid w:val="00C63D18"/>
    <w:rsid w:val="00C64078"/>
    <w:rsid w:val="00C64144"/>
    <w:rsid w:val="00C649F1"/>
    <w:rsid w:val="00C65054"/>
    <w:rsid w:val="00C662DB"/>
    <w:rsid w:val="00C67247"/>
    <w:rsid w:val="00C676CA"/>
    <w:rsid w:val="00C67BBF"/>
    <w:rsid w:val="00C7077F"/>
    <w:rsid w:val="00C707FC"/>
    <w:rsid w:val="00C71141"/>
    <w:rsid w:val="00C715BB"/>
    <w:rsid w:val="00C7197F"/>
    <w:rsid w:val="00C72738"/>
    <w:rsid w:val="00C73873"/>
    <w:rsid w:val="00C7392D"/>
    <w:rsid w:val="00C74965"/>
    <w:rsid w:val="00C749FF"/>
    <w:rsid w:val="00C75724"/>
    <w:rsid w:val="00C77304"/>
    <w:rsid w:val="00C7772C"/>
    <w:rsid w:val="00C8002D"/>
    <w:rsid w:val="00C82BB5"/>
    <w:rsid w:val="00C82E80"/>
    <w:rsid w:val="00C83BE4"/>
    <w:rsid w:val="00C84DA3"/>
    <w:rsid w:val="00C86795"/>
    <w:rsid w:val="00C87FC1"/>
    <w:rsid w:val="00C90D30"/>
    <w:rsid w:val="00C91014"/>
    <w:rsid w:val="00C91895"/>
    <w:rsid w:val="00C94137"/>
    <w:rsid w:val="00C94ADF"/>
    <w:rsid w:val="00C9545B"/>
    <w:rsid w:val="00C95E84"/>
    <w:rsid w:val="00C96ADE"/>
    <w:rsid w:val="00CA08A2"/>
    <w:rsid w:val="00CA0EA4"/>
    <w:rsid w:val="00CA0F94"/>
    <w:rsid w:val="00CA1549"/>
    <w:rsid w:val="00CA1895"/>
    <w:rsid w:val="00CA1A3D"/>
    <w:rsid w:val="00CA232F"/>
    <w:rsid w:val="00CA30ED"/>
    <w:rsid w:val="00CA3847"/>
    <w:rsid w:val="00CA438D"/>
    <w:rsid w:val="00CA4C28"/>
    <w:rsid w:val="00CA517A"/>
    <w:rsid w:val="00CA5918"/>
    <w:rsid w:val="00CA79D4"/>
    <w:rsid w:val="00CA7B10"/>
    <w:rsid w:val="00CA7D29"/>
    <w:rsid w:val="00CB007C"/>
    <w:rsid w:val="00CB1107"/>
    <w:rsid w:val="00CB1FA7"/>
    <w:rsid w:val="00CB25E5"/>
    <w:rsid w:val="00CB3163"/>
    <w:rsid w:val="00CB3D58"/>
    <w:rsid w:val="00CB46AE"/>
    <w:rsid w:val="00CB5090"/>
    <w:rsid w:val="00CB53B7"/>
    <w:rsid w:val="00CB55D5"/>
    <w:rsid w:val="00CB7575"/>
    <w:rsid w:val="00CB76D1"/>
    <w:rsid w:val="00CC056C"/>
    <w:rsid w:val="00CC0C2C"/>
    <w:rsid w:val="00CC14A0"/>
    <w:rsid w:val="00CC278A"/>
    <w:rsid w:val="00CC3B14"/>
    <w:rsid w:val="00CC49FF"/>
    <w:rsid w:val="00CC4FE5"/>
    <w:rsid w:val="00CD0976"/>
    <w:rsid w:val="00CD0D2F"/>
    <w:rsid w:val="00CD2804"/>
    <w:rsid w:val="00CD2ACD"/>
    <w:rsid w:val="00CD2D8A"/>
    <w:rsid w:val="00CD343E"/>
    <w:rsid w:val="00CD3AF6"/>
    <w:rsid w:val="00CD4A6A"/>
    <w:rsid w:val="00CD721B"/>
    <w:rsid w:val="00CE08B8"/>
    <w:rsid w:val="00CE0B88"/>
    <w:rsid w:val="00CE0C3F"/>
    <w:rsid w:val="00CE1B0A"/>
    <w:rsid w:val="00CE1DBC"/>
    <w:rsid w:val="00CE2116"/>
    <w:rsid w:val="00CE27C2"/>
    <w:rsid w:val="00CE2D84"/>
    <w:rsid w:val="00CE34B5"/>
    <w:rsid w:val="00CE3EF7"/>
    <w:rsid w:val="00CE4984"/>
    <w:rsid w:val="00CE4A5C"/>
    <w:rsid w:val="00CE568C"/>
    <w:rsid w:val="00CE59BC"/>
    <w:rsid w:val="00CE5C7F"/>
    <w:rsid w:val="00CE6C14"/>
    <w:rsid w:val="00CE779E"/>
    <w:rsid w:val="00CE7D6F"/>
    <w:rsid w:val="00CF046D"/>
    <w:rsid w:val="00CF12F9"/>
    <w:rsid w:val="00CF1801"/>
    <w:rsid w:val="00CF1ACD"/>
    <w:rsid w:val="00CF1B7B"/>
    <w:rsid w:val="00CF201F"/>
    <w:rsid w:val="00CF3B89"/>
    <w:rsid w:val="00CF3BE5"/>
    <w:rsid w:val="00CF40B0"/>
    <w:rsid w:val="00CF45D3"/>
    <w:rsid w:val="00CF6CDC"/>
    <w:rsid w:val="00CF6FCF"/>
    <w:rsid w:val="00CF707E"/>
    <w:rsid w:val="00CF7FD3"/>
    <w:rsid w:val="00D00002"/>
    <w:rsid w:val="00D008F4"/>
    <w:rsid w:val="00D00DD2"/>
    <w:rsid w:val="00D0152F"/>
    <w:rsid w:val="00D0190E"/>
    <w:rsid w:val="00D020EE"/>
    <w:rsid w:val="00D02963"/>
    <w:rsid w:val="00D04329"/>
    <w:rsid w:val="00D04B0F"/>
    <w:rsid w:val="00D061F5"/>
    <w:rsid w:val="00D070CD"/>
    <w:rsid w:val="00D10629"/>
    <w:rsid w:val="00D12332"/>
    <w:rsid w:val="00D12695"/>
    <w:rsid w:val="00D13A44"/>
    <w:rsid w:val="00D13AB8"/>
    <w:rsid w:val="00D13C32"/>
    <w:rsid w:val="00D14152"/>
    <w:rsid w:val="00D15AB8"/>
    <w:rsid w:val="00D15AF6"/>
    <w:rsid w:val="00D1646C"/>
    <w:rsid w:val="00D16D95"/>
    <w:rsid w:val="00D172EF"/>
    <w:rsid w:val="00D17E78"/>
    <w:rsid w:val="00D20C1A"/>
    <w:rsid w:val="00D21297"/>
    <w:rsid w:val="00D214F0"/>
    <w:rsid w:val="00D21C71"/>
    <w:rsid w:val="00D22F19"/>
    <w:rsid w:val="00D23948"/>
    <w:rsid w:val="00D2478D"/>
    <w:rsid w:val="00D24FB6"/>
    <w:rsid w:val="00D2596A"/>
    <w:rsid w:val="00D26044"/>
    <w:rsid w:val="00D26121"/>
    <w:rsid w:val="00D30B59"/>
    <w:rsid w:val="00D30BFC"/>
    <w:rsid w:val="00D30EE1"/>
    <w:rsid w:val="00D3111D"/>
    <w:rsid w:val="00D31A70"/>
    <w:rsid w:val="00D31B01"/>
    <w:rsid w:val="00D33B8E"/>
    <w:rsid w:val="00D33C1C"/>
    <w:rsid w:val="00D33D4F"/>
    <w:rsid w:val="00D362F2"/>
    <w:rsid w:val="00D363F9"/>
    <w:rsid w:val="00D368EF"/>
    <w:rsid w:val="00D36C55"/>
    <w:rsid w:val="00D3711A"/>
    <w:rsid w:val="00D37A92"/>
    <w:rsid w:val="00D40825"/>
    <w:rsid w:val="00D40B57"/>
    <w:rsid w:val="00D41127"/>
    <w:rsid w:val="00D4281F"/>
    <w:rsid w:val="00D4290F"/>
    <w:rsid w:val="00D4370E"/>
    <w:rsid w:val="00D43B35"/>
    <w:rsid w:val="00D440F8"/>
    <w:rsid w:val="00D44537"/>
    <w:rsid w:val="00D476C6"/>
    <w:rsid w:val="00D47DC3"/>
    <w:rsid w:val="00D5053D"/>
    <w:rsid w:val="00D50801"/>
    <w:rsid w:val="00D51FC9"/>
    <w:rsid w:val="00D52628"/>
    <w:rsid w:val="00D53AD9"/>
    <w:rsid w:val="00D55DF5"/>
    <w:rsid w:val="00D56F41"/>
    <w:rsid w:val="00D56FFD"/>
    <w:rsid w:val="00D6212E"/>
    <w:rsid w:val="00D62508"/>
    <w:rsid w:val="00D629BD"/>
    <w:rsid w:val="00D63639"/>
    <w:rsid w:val="00D63FCB"/>
    <w:rsid w:val="00D64352"/>
    <w:rsid w:val="00D64BA0"/>
    <w:rsid w:val="00D651CF"/>
    <w:rsid w:val="00D661DE"/>
    <w:rsid w:val="00D66547"/>
    <w:rsid w:val="00D666D7"/>
    <w:rsid w:val="00D668F2"/>
    <w:rsid w:val="00D66F9C"/>
    <w:rsid w:val="00D70372"/>
    <w:rsid w:val="00D704C1"/>
    <w:rsid w:val="00D705FF"/>
    <w:rsid w:val="00D70841"/>
    <w:rsid w:val="00D70BD8"/>
    <w:rsid w:val="00D71071"/>
    <w:rsid w:val="00D710D3"/>
    <w:rsid w:val="00D71250"/>
    <w:rsid w:val="00D718F6"/>
    <w:rsid w:val="00D721A5"/>
    <w:rsid w:val="00D721D5"/>
    <w:rsid w:val="00D723B5"/>
    <w:rsid w:val="00D724BE"/>
    <w:rsid w:val="00D72D45"/>
    <w:rsid w:val="00D732BB"/>
    <w:rsid w:val="00D73C35"/>
    <w:rsid w:val="00D745C7"/>
    <w:rsid w:val="00D74B65"/>
    <w:rsid w:val="00D75119"/>
    <w:rsid w:val="00D75E72"/>
    <w:rsid w:val="00D76D4C"/>
    <w:rsid w:val="00D76DD2"/>
    <w:rsid w:val="00D77A3D"/>
    <w:rsid w:val="00D81FF9"/>
    <w:rsid w:val="00D8263A"/>
    <w:rsid w:val="00D839BC"/>
    <w:rsid w:val="00D83ED6"/>
    <w:rsid w:val="00D853A1"/>
    <w:rsid w:val="00D855EA"/>
    <w:rsid w:val="00D864FF"/>
    <w:rsid w:val="00D86F4C"/>
    <w:rsid w:val="00D8748C"/>
    <w:rsid w:val="00D87881"/>
    <w:rsid w:val="00D87AD3"/>
    <w:rsid w:val="00D907AB"/>
    <w:rsid w:val="00D9187B"/>
    <w:rsid w:val="00D91B5D"/>
    <w:rsid w:val="00D926E9"/>
    <w:rsid w:val="00D929AC"/>
    <w:rsid w:val="00D934A2"/>
    <w:rsid w:val="00D938A0"/>
    <w:rsid w:val="00D93963"/>
    <w:rsid w:val="00D93A06"/>
    <w:rsid w:val="00D94238"/>
    <w:rsid w:val="00D96BB6"/>
    <w:rsid w:val="00D96F21"/>
    <w:rsid w:val="00D97783"/>
    <w:rsid w:val="00D977E7"/>
    <w:rsid w:val="00D97965"/>
    <w:rsid w:val="00D97D78"/>
    <w:rsid w:val="00D97D88"/>
    <w:rsid w:val="00DA0872"/>
    <w:rsid w:val="00DA0B64"/>
    <w:rsid w:val="00DA2159"/>
    <w:rsid w:val="00DA3ABA"/>
    <w:rsid w:val="00DA3B50"/>
    <w:rsid w:val="00DA3B5E"/>
    <w:rsid w:val="00DA43A4"/>
    <w:rsid w:val="00DA54AC"/>
    <w:rsid w:val="00DA589E"/>
    <w:rsid w:val="00DA58B6"/>
    <w:rsid w:val="00DA5D13"/>
    <w:rsid w:val="00DA7257"/>
    <w:rsid w:val="00DA72A8"/>
    <w:rsid w:val="00DA7CE5"/>
    <w:rsid w:val="00DB05CA"/>
    <w:rsid w:val="00DB084C"/>
    <w:rsid w:val="00DB110A"/>
    <w:rsid w:val="00DB2A5B"/>
    <w:rsid w:val="00DB3136"/>
    <w:rsid w:val="00DB392B"/>
    <w:rsid w:val="00DB3F3A"/>
    <w:rsid w:val="00DB4203"/>
    <w:rsid w:val="00DB4A7A"/>
    <w:rsid w:val="00DB4B59"/>
    <w:rsid w:val="00DB6441"/>
    <w:rsid w:val="00DB6BDE"/>
    <w:rsid w:val="00DB7899"/>
    <w:rsid w:val="00DC0B45"/>
    <w:rsid w:val="00DC20E7"/>
    <w:rsid w:val="00DC24EC"/>
    <w:rsid w:val="00DC2B6A"/>
    <w:rsid w:val="00DC35B2"/>
    <w:rsid w:val="00DC4453"/>
    <w:rsid w:val="00DC50B0"/>
    <w:rsid w:val="00DC52D9"/>
    <w:rsid w:val="00DC5853"/>
    <w:rsid w:val="00DC696E"/>
    <w:rsid w:val="00DC7CA9"/>
    <w:rsid w:val="00DD0510"/>
    <w:rsid w:val="00DD0F41"/>
    <w:rsid w:val="00DD1C4D"/>
    <w:rsid w:val="00DD21FA"/>
    <w:rsid w:val="00DD2CD3"/>
    <w:rsid w:val="00DD54AB"/>
    <w:rsid w:val="00DD5716"/>
    <w:rsid w:val="00DD590A"/>
    <w:rsid w:val="00DD5C7F"/>
    <w:rsid w:val="00DD6019"/>
    <w:rsid w:val="00DD61D0"/>
    <w:rsid w:val="00DD6454"/>
    <w:rsid w:val="00DD6DAA"/>
    <w:rsid w:val="00DD75E9"/>
    <w:rsid w:val="00DD770F"/>
    <w:rsid w:val="00DE0EA7"/>
    <w:rsid w:val="00DE295A"/>
    <w:rsid w:val="00DE35D6"/>
    <w:rsid w:val="00DE39A6"/>
    <w:rsid w:val="00DE3CA5"/>
    <w:rsid w:val="00DE413D"/>
    <w:rsid w:val="00DE45B4"/>
    <w:rsid w:val="00DE4D8C"/>
    <w:rsid w:val="00DE616C"/>
    <w:rsid w:val="00DE7902"/>
    <w:rsid w:val="00DE7BD7"/>
    <w:rsid w:val="00DE7F4C"/>
    <w:rsid w:val="00DF00E1"/>
    <w:rsid w:val="00DF1557"/>
    <w:rsid w:val="00DF243D"/>
    <w:rsid w:val="00DF6347"/>
    <w:rsid w:val="00DF720F"/>
    <w:rsid w:val="00DF7746"/>
    <w:rsid w:val="00DF7974"/>
    <w:rsid w:val="00E00A3D"/>
    <w:rsid w:val="00E010F7"/>
    <w:rsid w:val="00E01754"/>
    <w:rsid w:val="00E01E9C"/>
    <w:rsid w:val="00E0212C"/>
    <w:rsid w:val="00E021AF"/>
    <w:rsid w:val="00E0253E"/>
    <w:rsid w:val="00E0347C"/>
    <w:rsid w:val="00E03A1D"/>
    <w:rsid w:val="00E05F8A"/>
    <w:rsid w:val="00E0608A"/>
    <w:rsid w:val="00E06589"/>
    <w:rsid w:val="00E06670"/>
    <w:rsid w:val="00E06BF1"/>
    <w:rsid w:val="00E06F25"/>
    <w:rsid w:val="00E070F2"/>
    <w:rsid w:val="00E07E5E"/>
    <w:rsid w:val="00E115C7"/>
    <w:rsid w:val="00E13282"/>
    <w:rsid w:val="00E13DAC"/>
    <w:rsid w:val="00E15002"/>
    <w:rsid w:val="00E15566"/>
    <w:rsid w:val="00E16972"/>
    <w:rsid w:val="00E16D22"/>
    <w:rsid w:val="00E20442"/>
    <w:rsid w:val="00E20BE1"/>
    <w:rsid w:val="00E20EE8"/>
    <w:rsid w:val="00E21E2C"/>
    <w:rsid w:val="00E224A3"/>
    <w:rsid w:val="00E22C08"/>
    <w:rsid w:val="00E23DDC"/>
    <w:rsid w:val="00E24679"/>
    <w:rsid w:val="00E25AE0"/>
    <w:rsid w:val="00E30C8C"/>
    <w:rsid w:val="00E317C6"/>
    <w:rsid w:val="00E3222E"/>
    <w:rsid w:val="00E32363"/>
    <w:rsid w:val="00E32B3A"/>
    <w:rsid w:val="00E345F1"/>
    <w:rsid w:val="00E35568"/>
    <w:rsid w:val="00E36164"/>
    <w:rsid w:val="00E37306"/>
    <w:rsid w:val="00E40461"/>
    <w:rsid w:val="00E40F2D"/>
    <w:rsid w:val="00E41160"/>
    <w:rsid w:val="00E41CAA"/>
    <w:rsid w:val="00E42715"/>
    <w:rsid w:val="00E4357A"/>
    <w:rsid w:val="00E43F2A"/>
    <w:rsid w:val="00E4498A"/>
    <w:rsid w:val="00E4571F"/>
    <w:rsid w:val="00E45F4E"/>
    <w:rsid w:val="00E46209"/>
    <w:rsid w:val="00E467D6"/>
    <w:rsid w:val="00E46D92"/>
    <w:rsid w:val="00E47258"/>
    <w:rsid w:val="00E47665"/>
    <w:rsid w:val="00E5003E"/>
    <w:rsid w:val="00E5007D"/>
    <w:rsid w:val="00E503A3"/>
    <w:rsid w:val="00E51036"/>
    <w:rsid w:val="00E5176F"/>
    <w:rsid w:val="00E51A35"/>
    <w:rsid w:val="00E51B46"/>
    <w:rsid w:val="00E5222C"/>
    <w:rsid w:val="00E524A2"/>
    <w:rsid w:val="00E5286C"/>
    <w:rsid w:val="00E53C21"/>
    <w:rsid w:val="00E53F3F"/>
    <w:rsid w:val="00E545C6"/>
    <w:rsid w:val="00E54D4E"/>
    <w:rsid w:val="00E55D48"/>
    <w:rsid w:val="00E56331"/>
    <w:rsid w:val="00E57C26"/>
    <w:rsid w:val="00E608F1"/>
    <w:rsid w:val="00E60B98"/>
    <w:rsid w:val="00E640B3"/>
    <w:rsid w:val="00E643AA"/>
    <w:rsid w:val="00E65867"/>
    <w:rsid w:val="00E658FB"/>
    <w:rsid w:val="00E67031"/>
    <w:rsid w:val="00E67917"/>
    <w:rsid w:val="00E67AD7"/>
    <w:rsid w:val="00E67D76"/>
    <w:rsid w:val="00E707DF"/>
    <w:rsid w:val="00E71691"/>
    <w:rsid w:val="00E71FC1"/>
    <w:rsid w:val="00E72935"/>
    <w:rsid w:val="00E72D5B"/>
    <w:rsid w:val="00E72EC7"/>
    <w:rsid w:val="00E73739"/>
    <w:rsid w:val="00E7562B"/>
    <w:rsid w:val="00E75A8D"/>
    <w:rsid w:val="00E7653B"/>
    <w:rsid w:val="00E765D9"/>
    <w:rsid w:val="00E766BE"/>
    <w:rsid w:val="00E76DF3"/>
    <w:rsid w:val="00E7725F"/>
    <w:rsid w:val="00E77662"/>
    <w:rsid w:val="00E778A0"/>
    <w:rsid w:val="00E8043A"/>
    <w:rsid w:val="00E8093B"/>
    <w:rsid w:val="00E80BE2"/>
    <w:rsid w:val="00E83855"/>
    <w:rsid w:val="00E83960"/>
    <w:rsid w:val="00E83A3B"/>
    <w:rsid w:val="00E84072"/>
    <w:rsid w:val="00E84860"/>
    <w:rsid w:val="00E84B88"/>
    <w:rsid w:val="00E873AB"/>
    <w:rsid w:val="00E8786A"/>
    <w:rsid w:val="00E900E1"/>
    <w:rsid w:val="00E904CC"/>
    <w:rsid w:val="00E91754"/>
    <w:rsid w:val="00E924F8"/>
    <w:rsid w:val="00E92551"/>
    <w:rsid w:val="00E9395E"/>
    <w:rsid w:val="00E94F09"/>
    <w:rsid w:val="00E951A2"/>
    <w:rsid w:val="00E955BF"/>
    <w:rsid w:val="00E95A5A"/>
    <w:rsid w:val="00E95E27"/>
    <w:rsid w:val="00E96E35"/>
    <w:rsid w:val="00E97826"/>
    <w:rsid w:val="00EA153E"/>
    <w:rsid w:val="00EA15ED"/>
    <w:rsid w:val="00EA1811"/>
    <w:rsid w:val="00EA2424"/>
    <w:rsid w:val="00EA3005"/>
    <w:rsid w:val="00EA369F"/>
    <w:rsid w:val="00EA421E"/>
    <w:rsid w:val="00EA44E4"/>
    <w:rsid w:val="00EA5279"/>
    <w:rsid w:val="00EA6FB8"/>
    <w:rsid w:val="00EB1E2F"/>
    <w:rsid w:val="00EB2837"/>
    <w:rsid w:val="00EB2E7F"/>
    <w:rsid w:val="00EB4AAC"/>
    <w:rsid w:val="00EB4F5D"/>
    <w:rsid w:val="00EB5E5D"/>
    <w:rsid w:val="00EB67EA"/>
    <w:rsid w:val="00EB67FA"/>
    <w:rsid w:val="00EB7476"/>
    <w:rsid w:val="00EC065A"/>
    <w:rsid w:val="00EC0819"/>
    <w:rsid w:val="00EC16B0"/>
    <w:rsid w:val="00EC24F5"/>
    <w:rsid w:val="00EC29FD"/>
    <w:rsid w:val="00EC3518"/>
    <w:rsid w:val="00EC3905"/>
    <w:rsid w:val="00EC46BC"/>
    <w:rsid w:val="00EC514F"/>
    <w:rsid w:val="00EC695D"/>
    <w:rsid w:val="00EC712F"/>
    <w:rsid w:val="00EC73E7"/>
    <w:rsid w:val="00EC7C46"/>
    <w:rsid w:val="00ED0A33"/>
    <w:rsid w:val="00ED1485"/>
    <w:rsid w:val="00ED22B7"/>
    <w:rsid w:val="00ED2365"/>
    <w:rsid w:val="00ED316C"/>
    <w:rsid w:val="00ED39A5"/>
    <w:rsid w:val="00ED3E94"/>
    <w:rsid w:val="00ED40E1"/>
    <w:rsid w:val="00ED4ECA"/>
    <w:rsid w:val="00ED5681"/>
    <w:rsid w:val="00ED61A6"/>
    <w:rsid w:val="00ED65B7"/>
    <w:rsid w:val="00ED676F"/>
    <w:rsid w:val="00ED6F38"/>
    <w:rsid w:val="00EE00EF"/>
    <w:rsid w:val="00EE03A3"/>
    <w:rsid w:val="00EE0515"/>
    <w:rsid w:val="00EE0A94"/>
    <w:rsid w:val="00EE0AC3"/>
    <w:rsid w:val="00EE170A"/>
    <w:rsid w:val="00EE19B9"/>
    <w:rsid w:val="00EE1A89"/>
    <w:rsid w:val="00EE4704"/>
    <w:rsid w:val="00EE4BDF"/>
    <w:rsid w:val="00EE68AA"/>
    <w:rsid w:val="00EE7B4C"/>
    <w:rsid w:val="00EF257D"/>
    <w:rsid w:val="00EF2E84"/>
    <w:rsid w:val="00EF42A4"/>
    <w:rsid w:val="00EF4C6E"/>
    <w:rsid w:val="00EF4C95"/>
    <w:rsid w:val="00EF5FE2"/>
    <w:rsid w:val="00EF68F3"/>
    <w:rsid w:val="00EF6C2B"/>
    <w:rsid w:val="00F007CA"/>
    <w:rsid w:val="00F00E87"/>
    <w:rsid w:val="00F02631"/>
    <w:rsid w:val="00F026B6"/>
    <w:rsid w:val="00F02B5A"/>
    <w:rsid w:val="00F03C42"/>
    <w:rsid w:val="00F04391"/>
    <w:rsid w:val="00F04692"/>
    <w:rsid w:val="00F04D5A"/>
    <w:rsid w:val="00F0534B"/>
    <w:rsid w:val="00F05384"/>
    <w:rsid w:val="00F06833"/>
    <w:rsid w:val="00F07C26"/>
    <w:rsid w:val="00F10E29"/>
    <w:rsid w:val="00F11151"/>
    <w:rsid w:val="00F1131D"/>
    <w:rsid w:val="00F11A0B"/>
    <w:rsid w:val="00F1234B"/>
    <w:rsid w:val="00F125D4"/>
    <w:rsid w:val="00F12840"/>
    <w:rsid w:val="00F12E22"/>
    <w:rsid w:val="00F14695"/>
    <w:rsid w:val="00F14A3A"/>
    <w:rsid w:val="00F158F2"/>
    <w:rsid w:val="00F15D07"/>
    <w:rsid w:val="00F178BF"/>
    <w:rsid w:val="00F20D71"/>
    <w:rsid w:val="00F22007"/>
    <w:rsid w:val="00F233CC"/>
    <w:rsid w:val="00F23936"/>
    <w:rsid w:val="00F23BC0"/>
    <w:rsid w:val="00F23BDB"/>
    <w:rsid w:val="00F248B4"/>
    <w:rsid w:val="00F25501"/>
    <w:rsid w:val="00F25BF5"/>
    <w:rsid w:val="00F26059"/>
    <w:rsid w:val="00F26557"/>
    <w:rsid w:val="00F27B2A"/>
    <w:rsid w:val="00F310B6"/>
    <w:rsid w:val="00F314C7"/>
    <w:rsid w:val="00F32222"/>
    <w:rsid w:val="00F33C9B"/>
    <w:rsid w:val="00F343FC"/>
    <w:rsid w:val="00F35881"/>
    <w:rsid w:val="00F35DD0"/>
    <w:rsid w:val="00F3617D"/>
    <w:rsid w:val="00F36D3C"/>
    <w:rsid w:val="00F36D99"/>
    <w:rsid w:val="00F37373"/>
    <w:rsid w:val="00F37B26"/>
    <w:rsid w:val="00F37DDD"/>
    <w:rsid w:val="00F41D67"/>
    <w:rsid w:val="00F421E8"/>
    <w:rsid w:val="00F43422"/>
    <w:rsid w:val="00F434DB"/>
    <w:rsid w:val="00F43F13"/>
    <w:rsid w:val="00F459BB"/>
    <w:rsid w:val="00F463A0"/>
    <w:rsid w:val="00F469A0"/>
    <w:rsid w:val="00F4701B"/>
    <w:rsid w:val="00F47807"/>
    <w:rsid w:val="00F47827"/>
    <w:rsid w:val="00F502E6"/>
    <w:rsid w:val="00F505F9"/>
    <w:rsid w:val="00F5272C"/>
    <w:rsid w:val="00F531B2"/>
    <w:rsid w:val="00F5330F"/>
    <w:rsid w:val="00F53494"/>
    <w:rsid w:val="00F54FC2"/>
    <w:rsid w:val="00F5540C"/>
    <w:rsid w:val="00F5595F"/>
    <w:rsid w:val="00F562C2"/>
    <w:rsid w:val="00F568DC"/>
    <w:rsid w:val="00F57102"/>
    <w:rsid w:val="00F60CDB"/>
    <w:rsid w:val="00F61D92"/>
    <w:rsid w:val="00F62450"/>
    <w:rsid w:val="00F63FF6"/>
    <w:rsid w:val="00F640A3"/>
    <w:rsid w:val="00F64148"/>
    <w:rsid w:val="00F648A5"/>
    <w:rsid w:val="00F64BA6"/>
    <w:rsid w:val="00F64F76"/>
    <w:rsid w:val="00F66028"/>
    <w:rsid w:val="00F663CE"/>
    <w:rsid w:val="00F663E7"/>
    <w:rsid w:val="00F66A80"/>
    <w:rsid w:val="00F66EF2"/>
    <w:rsid w:val="00F70525"/>
    <w:rsid w:val="00F71447"/>
    <w:rsid w:val="00F71A3D"/>
    <w:rsid w:val="00F72430"/>
    <w:rsid w:val="00F725C1"/>
    <w:rsid w:val="00F729FE"/>
    <w:rsid w:val="00F72B93"/>
    <w:rsid w:val="00F72BFA"/>
    <w:rsid w:val="00F7324A"/>
    <w:rsid w:val="00F7412D"/>
    <w:rsid w:val="00F74224"/>
    <w:rsid w:val="00F75E55"/>
    <w:rsid w:val="00F763EF"/>
    <w:rsid w:val="00F7691B"/>
    <w:rsid w:val="00F778D3"/>
    <w:rsid w:val="00F778F2"/>
    <w:rsid w:val="00F77C18"/>
    <w:rsid w:val="00F77E85"/>
    <w:rsid w:val="00F805B9"/>
    <w:rsid w:val="00F80997"/>
    <w:rsid w:val="00F80AA6"/>
    <w:rsid w:val="00F80CD2"/>
    <w:rsid w:val="00F82934"/>
    <w:rsid w:val="00F83364"/>
    <w:rsid w:val="00F8388D"/>
    <w:rsid w:val="00F84FD9"/>
    <w:rsid w:val="00F855BB"/>
    <w:rsid w:val="00F86787"/>
    <w:rsid w:val="00F91237"/>
    <w:rsid w:val="00F91298"/>
    <w:rsid w:val="00F92059"/>
    <w:rsid w:val="00F9237C"/>
    <w:rsid w:val="00F92BE8"/>
    <w:rsid w:val="00F92E41"/>
    <w:rsid w:val="00F94E52"/>
    <w:rsid w:val="00F95435"/>
    <w:rsid w:val="00F954FD"/>
    <w:rsid w:val="00F95A50"/>
    <w:rsid w:val="00F95E63"/>
    <w:rsid w:val="00F96A03"/>
    <w:rsid w:val="00F973C6"/>
    <w:rsid w:val="00FA0874"/>
    <w:rsid w:val="00FA1DA9"/>
    <w:rsid w:val="00FA3355"/>
    <w:rsid w:val="00FA491B"/>
    <w:rsid w:val="00FA4F02"/>
    <w:rsid w:val="00FA63B6"/>
    <w:rsid w:val="00FA689F"/>
    <w:rsid w:val="00FA7108"/>
    <w:rsid w:val="00FA7AA3"/>
    <w:rsid w:val="00FB1816"/>
    <w:rsid w:val="00FB19C7"/>
    <w:rsid w:val="00FB3050"/>
    <w:rsid w:val="00FB36DF"/>
    <w:rsid w:val="00FB3840"/>
    <w:rsid w:val="00FB4673"/>
    <w:rsid w:val="00FB4FF5"/>
    <w:rsid w:val="00FB5560"/>
    <w:rsid w:val="00FB7254"/>
    <w:rsid w:val="00FB7E1D"/>
    <w:rsid w:val="00FC0071"/>
    <w:rsid w:val="00FC104F"/>
    <w:rsid w:val="00FC1D15"/>
    <w:rsid w:val="00FC3E13"/>
    <w:rsid w:val="00FC4DBE"/>
    <w:rsid w:val="00FC5D63"/>
    <w:rsid w:val="00FC6C64"/>
    <w:rsid w:val="00FD0161"/>
    <w:rsid w:val="00FD05B7"/>
    <w:rsid w:val="00FD1707"/>
    <w:rsid w:val="00FD21BC"/>
    <w:rsid w:val="00FD2585"/>
    <w:rsid w:val="00FD306F"/>
    <w:rsid w:val="00FD33F1"/>
    <w:rsid w:val="00FD4406"/>
    <w:rsid w:val="00FD6E15"/>
    <w:rsid w:val="00FD6F19"/>
    <w:rsid w:val="00FD70B3"/>
    <w:rsid w:val="00FD7862"/>
    <w:rsid w:val="00FE01EB"/>
    <w:rsid w:val="00FE0483"/>
    <w:rsid w:val="00FE0570"/>
    <w:rsid w:val="00FE16A7"/>
    <w:rsid w:val="00FE299F"/>
    <w:rsid w:val="00FE2F72"/>
    <w:rsid w:val="00FE359A"/>
    <w:rsid w:val="00FE42E0"/>
    <w:rsid w:val="00FE4CC7"/>
    <w:rsid w:val="00FE5141"/>
    <w:rsid w:val="00FE5794"/>
    <w:rsid w:val="00FE6D72"/>
    <w:rsid w:val="00FE75FD"/>
    <w:rsid w:val="00FE7E83"/>
    <w:rsid w:val="00FF0C67"/>
    <w:rsid w:val="00FF174C"/>
    <w:rsid w:val="00FF20BF"/>
    <w:rsid w:val="00FF2422"/>
    <w:rsid w:val="00FF2EBB"/>
    <w:rsid w:val="00FF35C1"/>
    <w:rsid w:val="00FF367E"/>
    <w:rsid w:val="00FF39A2"/>
    <w:rsid w:val="00FF3DF3"/>
    <w:rsid w:val="00FF41B6"/>
    <w:rsid w:val="00FF4300"/>
    <w:rsid w:val="00FF4BAE"/>
    <w:rsid w:val="00FF4CFD"/>
    <w:rsid w:val="00FF6185"/>
    <w:rsid w:val="00FF6B1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Normal (Web)" w:uiPriority="99"/>
    <w:lsdException w:name="HTML Preformatted" w:uiPriority="99"/>
    <w:lsdException w:name="No Lis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0C3"/>
    <w:rPr>
      <w:sz w:val="24"/>
      <w:szCs w:val="24"/>
    </w:rPr>
  </w:style>
  <w:style w:type="paragraph" w:styleId="1">
    <w:name w:val="heading 1"/>
    <w:basedOn w:val="a"/>
    <w:next w:val="a"/>
    <w:link w:val="1Char"/>
    <w:qFormat/>
    <w:rsid w:val="002E0B4C"/>
    <w:pPr>
      <w:keepNext/>
      <w:spacing w:before="240" w:after="60"/>
      <w:outlineLvl w:val="0"/>
    </w:pPr>
    <w:rPr>
      <w:rFonts w:ascii="Arial" w:hAnsi="Arial"/>
      <w:b/>
      <w:bCs/>
      <w:kern w:val="32"/>
      <w:sz w:val="32"/>
      <w:szCs w:val="32"/>
    </w:rPr>
  </w:style>
  <w:style w:type="paragraph" w:styleId="2">
    <w:name w:val="heading 2"/>
    <w:basedOn w:val="a"/>
    <w:next w:val="a"/>
    <w:link w:val="2Char"/>
    <w:qFormat/>
    <w:rsid w:val="002E0B4C"/>
    <w:pPr>
      <w:keepNext/>
      <w:spacing w:before="240" w:after="60"/>
      <w:outlineLvl w:val="1"/>
    </w:pPr>
    <w:rPr>
      <w:rFonts w:ascii="Arial" w:hAnsi="Arial"/>
      <w:b/>
      <w:bCs/>
      <w:i/>
      <w:iCs/>
      <w:sz w:val="28"/>
      <w:szCs w:val="28"/>
    </w:rPr>
  </w:style>
  <w:style w:type="paragraph" w:styleId="3">
    <w:name w:val="heading 3"/>
    <w:basedOn w:val="a"/>
    <w:next w:val="a"/>
    <w:link w:val="3Char"/>
    <w:qFormat/>
    <w:rsid w:val="002E0B4C"/>
    <w:pPr>
      <w:keepNext/>
      <w:spacing w:before="240" w:after="60"/>
      <w:outlineLvl w:val="2"/>
    </w:pPr>
    <w:rPr>
      <w:rFonts w:ascii="Arial" w:hAnsi="Arial"/>
      <w:b/>
      <w:bCs/>
      <w:sz w:val="26"/>
      <w:szCs w:val="26"/>
    </w:rPr>
  </w:style>
  <w:style w:type="paragraph" w:styleId="4">
    <w:name w:val="heading 4"/>
    <w:basedOn w:val="a"/>
    <w:next w:val="a"/>
    <w:link w:val="4Char"/>
    <w:qFormat/>
    <w:rsid w:val="002E0B4C"/>
    <w:pPr>
      <w:keepNext/>
      <w:jc w:val="both"/>
      <w:outlineLvl w:val="3"/>
    </w:pPr>
    <w:rPr>
      <w:rFonts w:ascii="Arial Narrow" w:hAnsi="Arial Narrow"/>
      <w:b/>
      <w:color w:val="003366"/>
      <w:sz w:val="22"/>
      <w:szCs w:val="22"/>
    </w:rPr>
  </w:style>
  <w:style w:type="paragraph" w:styleId="5">
    <w:name w:val="heading 5"/>
    <w:basedOn w:val="a"/>
    <w:next w:val="a"/>
    <w:link w:val="5Char"/>
    <w:qFormat/>
    <w:rsid w:val="002E0B4C"/>
    <w:pPr>
      <w:keepNext/>
      <w:jc w:val="both"/>
      <w:outlineLvl w:val="4"/>
    </w:pPr>
    <w:rPr>
      <w:rFonts w:ascii="Arial Narrow" w:hAnsi="Arial Narrow"/>
      <w:b/>
      <w:szCs w:val="22"/>
    </w:rPr>
  </w:style>
  <w:style w:type="paragraph" w:styleId="6">
    <w:name w:val="heading 6"/>
    <w:basedOn w:val="a"/>
    <w:next w:val="a"/>
    <w:link w:val="6Char"/>
    <w:qFormat/>
    <w:rsid w:val="002E0B4C"/>
    <w:pPr>
      <w:keepNext/>
      <w:jc w:val="both"/>
      <w:outlineLvl w:val="5"/>
    </w:pPr>
    <w:rPr>
      <w:rFonts w:ascii="Arial Narrow" w:hAnsi="Arial Narrow"/>
      <w:b/>
      <w:sz w:val="22"/>
      <w:szCs w:val="22"/>
    </w:rPr>
  </w:style>
  <w:style w:type="paragraph" w:styleId="7">
    <w:name w:val="heading 7"/>
    <w:basedOn w:val="a"/>
    <w:next w:val="a"/>
    <w:link w:val="7Char"/>
    <w:qFormat/>
    <w:rsid w:val="002E0B4C"/>
    <w:pPr>
      <w:keepNext/>
      <w:jc w:val="both"/>
      <w:outlineLvl w:val="6"/>
    </w:pPr>
    <w:rPr>
      <w:rFonts w:ascii="Arial Narrow" w:hAnsi="Arial Narrow"/>
      <w:b/>
      <w:i/>
      <w:sz w:val="22"/>
      <w:szCs w:val="22"/>
    </w:rPr>
  </w:style>
  <w:style w:type="paragraph" w:styleId="8">
    <w:name w:val="heading 8"/>
    <w:basedOn w:val="a"/>
    <w:next w:val="a"/>
    <w:link w:val="8Char"/>
    <w:qFormat/>
    <w:rsid w:val="002E0B4C"/>
    <w:pPr>
      <w:keepNext/>
      <w:spacing w:before="100" w:beforeAutospacing="1" w:after="100" w:afterAutospacing="1"/>
      <w:jc w:val="both"/>
      <w:outlineLvl w:val="7"/>
    </w:pPr>
    <w:rPr>
      <w:rFonts w:ascii="Arial Narrow" w:hAnsi="Arial Narrow"/>
      <w:b/>
      <w:sz w:val="16"/>
      <w:szCs w:val="16"/>
    </w:rPr>
  </w:style>
  <w:style w:type="paragraph" w:styleId="9">
    <w:name w:val="heading 9"/>
    <w:basedOn w:val="a"/>
    <w:next w:val="a"/>
    <w:link w:val="9Char"/>
    <w:qFormat/>
    <w:rsid w:val="002E0B4C"/>
    <w:pPr>
      <w:keepNext/>
      <w:jc w:val="both"/>
      <w:outlineLvl w:val="8"/>
    </w:pPr>
    <w:rPr>
      <w:rFonts w:ascii="Arial Narrow" w:hAnsi="Arial Narrow"/>
      <w:b/>
      <w:color w:val="000080"/>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E0B4C"/>
    <w:pPr>
      <w:tabs>
        <w:tab w:val="center" w:pos="4153"/>
        <w:tab w:val="right" w:pos="8306"/>
      </w:tabs>
    </w:pPr>
  </w:style>
  <w:style w:type="paragraph" w:styleId="a4">
    <w:name w:val="footer"/>
    <w:basedOn w:val="a"/>
    <w:link w:val="Char0"/>
    <w:rsid w:val="002E0B4C"/>
    <w:pPr>
      <w:tabs>
        <w:tab w:val="center" w:pos="4153"/>
        <w:tab w:val="right" w:pos="8306"/>
      </w:tabs>
    </w:pPr>
  </w:style>
  <w:style w:type="character" w:styleId="a5">
    <w:name w:val="page number"/>
    <w:basedOn w:val="a0"/>
    <w:rsid w:val="002E0B4C"/>
  </w:style>
  <w:style w:type="paragraph" w:styleId="a6">
    <w:name w:val="Balloon Text"/>
    <w:basedOn w:val="a"/>
    <w:link w:val="Char1"/>
    <w:semiHidden/>
    <w:rsid w:val="002E0B4C"/>
    <w:rPr>
      <w:rFonts w:ascii="Tahoma" w:hAnsi="Tahoma"/>
      <w:sz w:val="16"/>
      <w:szCs w:val="16"/>
    </w:rPr>
  </w:style>
  <w:style w:type="paragraph" w:styleId="a7">
    <w:name w:val="Body Text Indent"/>
    <w:basedOn w:val="a"/>
    <w:link w:val="Char2"/>
    <w:rsid w:val="002E0B4C"/>
    <w:pPr>
      <w:ind w:left="720" w:hanging="720"/>
      <w:jc w:val="both"/>
    </w:pPr>
    <w:rPr>
      <w:sz w:val="22"/>
      <w:szCs w:val="22"/>
    </w:rPr>
  </w:style>
  <w:style w:type="paragraph" w:styleId="a8">
    <w:name w:val="Body Text"/>
    <w:basedOn w:val="a"/>
    <w:link w:val="Char3"/>
    <w:rsid w:val="002E0B4C"/>
    <w:pPr>
      <w:jc w:val="both"/>
    </w:pPr>
    <w:rPr>
      <w:sz w:val="22"/>
      <w:szCs w:val="22"/>
    </w:rPr>
  </w:style>
  <w:style w:type="paragraph" w:styleId="20">
    <w:name w:val="Body Text Indent 2"/>
    <w:basedOn w:val="a"/>
    <w:link w:val="2Char0"/>
    <w:rsid w:val="002E0B4C"/>
    <w:pPr>
      <w:ind w:left="284"/>
      <w:jc w:val="both"/>
    </w:pPr>
    <w:rPr>
      <w:sz w:val="22"/>
      <w:szCs w:val="22"/>
    </w:rPr>
  </w:style>
  <w:style w:type="paragraph" w:styleId="a9">
    <w:name w:val="Plain Text"/>
    <w:basedOn w:val="a"/>
    <w:link w:val="Char4"/>
    <w:uiPriority w:val="99"/>
    <w:rsid w:val="002E0B4C"/>
    <w:rPr>
      <w:rFonts w:ascii="Courier New" w:hAnsi="Courier New"/>
      <w:sz w:val="20"/>
      <w:szCs w:val="20"/>
    </w:rPr>
  </w:style>
  <w:style w:type="paragraph" w:styleId="21">
    <w:name w:val="Body Text 2"/>
    <w:basedOn w:val="a"/>
    <w:link w:val="2Char1"/>
    <w:rsid w:val="002E0B4C"/>
    <w:pPr>
      <w:spacing w:after="120" w:line="480" w:lineRule="auto"/>
    </w:pPr>
  </w:style>
  <w:style w:type="paragraph" w:styleId="aa">
    <w:name w:val="footnote text"/>
    <w:aliases w:val="Footnote,Fußnote,Fodnotetekst Tegn Tegn Tegn Tegn Tegn Tegn Tegn Char Char,Fodnotetekst Tegn Tegn Tegn Tegn Tegn Tegn Tegn Char Char Char Char,Fodnotetekst Tegn Tegn Tegn Tegn Tegn Tegn Tegn,lábléc,C26 Footnote body, Char,Char"/>
    <w:basedOn w:val="a"/>
    <w:link w:val="Char5"/>
    <w:uiPriority w:val="99"/>
    <w:qFormat/>
    <w:rsid w:val="002E0B4C"/>
    <w:rPr>
      <w:sz w:val="20"/>
      <w:szCs w:val="20"/>
      <w:lang w:val="en-GB"/>
    </w:rPr>
  </w:style>
  <w:style w:type="character" w:styleId="ab">
    <w:name w:val="footnote reference"/>
    <w:aliases w:val="Footnote Reference Number,Footnote Reference_LVL6,Footnote Reference_LVL61,Footnote Reference_LVL62,Footnote Reference_LVL63,Footnote Reference_LVL64,C26 Footnote Number,Footnote Reference_LVL65,Footnote symbol,Footnote Reference1"/>
    <w:uiPriority w:val="99"/>
    <w:qFormat/>
    <w:rsid w:val="002E0B4C"/>
    <w:rPr>
      <w:vertAlign w:val="superscript"/>
    </w:rPr>
  </w:style>
  <w:style w:type="table" w:styleId="ac">
    <w:name w:val="Table Grid"/>
    <w:basedOn w:val="a1"/>
    <w:uiPriority w:val="59"/>
    <w:rsid w:val="00D445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5">
    <w:name w:val="Κείμενο υποσημείωσης Char"/>
    <w:aliases w:val="Footnote Char,Fußnote Char,Fodnotetekst Tegn Tegn Tegn Tegn Tegn Tegn Tegn Char Char Char,Fodnotetekst Tegn Tegn Tegn Tegn Tegn Tegn Tegn Char Char Char Char Char,Fodnotetekst Tegn Tegn Tegn Tegn Tegn Tegn Tegn Char,lábléc Char"/>
    <w:link w:val="aa"/>
    <w:uiPriority w:val="99"/>
    <w:rsid w:val="00476C30"/>
    <w:rPr>
      <w:lang w:val="en-GB" w:eastAsia="el-GR" w:bidi="ar-SA"/>
    </w:rPr>
  </w:style>
  <w:style w:type="character" w:styleId="ad">
    <w:name w:val="annotation reference"/>
    <w:semiHidden/>
    <w:rsid w:val="00610DA8"/>
    <w:rPr>
      <w:sz w:val="16"/>
      <w:szCs w:val="16"/>
    </w:rPr>
  </w:style>
  <w:style w:type="paragraph" w:styleId="ae">
    <w:name w:val="annotation text"/>
    <w:basedOn w:val="a"/>
    <w:link w:val="Char6"/>
    <w:semiHidden/>
    <w:rsid w:val="00610DA8"/>
    <w:rPr>
      <w:sz w:val="20"/>
      <w:szCs w:val="20"/>
    </w:rPr>
  </w:style>
  <w:style w:type="paragraph" w:styleId="af">
    <w:name w:val="annotation subject"/>
    <w:basedOn w:val="ae"/>
    <w:next w:val="ae"/>
    <w:link w:val="Char7"/>
    <w:semiHidden/>
    <w:rsid w:val="00610DA8"/>
    <w:rPr>
      <w:b/>
      <w:bCs/>
    </w:rPr>
  </w:style>
  <w:style w:type="paragraph" w:styleId="af0">
    <w:name w:val="List Paragraph"/>
    <w:basedOn w:val="a"/>
    <w:uiPriority w:val="34"/>
    <w:qFormat/>
    <w:rsid w:val="00875F08"/>
    <w:pPr>
      <w:spacing w:after="200" w:line="276" w:lineRule="auto"/>
      <w:ind w:left="720"/>
      <w:contextualSpacing/>
    </w:pPr>
    <w:rPr>
      <w:rFonts w:ascii="Calibri" w:eastAsia="Calibri" w:hAnsi="Calibri"/>
      <w:sz w:val="22"/>
      <w:szCs w:val="22"/>
      <w:lang w:eastAsia="en-US"/>
    </w:rPr>
  </w:style>
  <w:style w:type="paragraph" w:customStyle="1" w:styleId="CharCharCharCharCharCharCharCharCharCharCharCharChar">
    <w:name w:val="Char Char Char Char Char Char Char Char Char Char Char Char Char"/>
    <w:basedOn w:val="a"/>
    <w:rsid w:val="00F64BA6"/>
    <w:pPr>
      <w:spacing w:after="160" w:line="240" w:lineRule="exact"/>
      <w:jc w:val="both"/>
    </w:pPr>
    <w:rPr>
      <w:rFonts w:ascii="Verdana" w:hAnsi="Verdana"/>
      <w:sz w:val="20"/>
      <w:szCs w:val="20"/>
      <w:lang w:val="en-US" w:eastAsia="en-US"/>
    </w:rPr>
  </w:style>
  <w:style w:type="paragraph" w:styleId="Web">
    <w:name w:val="Normal (Web)"/>
    <w:basedOn w:val="a"/>
    <w:uiPriority w:val="99"/>
    <w:unhideWhenUsed/>
    <w:rsid w:val="00707015"/>
    <w:pPr>
      <w:spacing w:before="100" w:beforeAutospacing="1" w:after="100" w:afterAutospacing="1"/>
    </w:pPr>
    <w:rPr>
      <w:lang w:val="en-US" w:bidi="en-US"/>
    </w:rPr>
  </w:style>
  <w:style w:type="character" w:styleId="af1">
    <w:name w:val="line number"/>
    <w:basedOn w:val="a0"/>
    <w:rsid w:val="00707015"/>
  </w:style>
  <w:style w:type="paragraph" w:styleId="af2">
    <w:name w:val="No Spacing"/>
    <w:link w:val="Char8"/>
    <w:uiPriority w:val="1"/>
    <w:qFormat/>
    <w:rsid w:val="00C56FF3"/>
    <w:rPr>
      <w:rFonts w:ascii="Calibri" w:eastAsia="Calibri" w:hAnsi="Calibri"/>
      <w:sz w:val="22"/>
      <w:szCs w:val="22"/>
      <w:lang w:eastAsia="en-US"/>
    </w:rPr>
  </w:style>
  <w:style w:type="character" w:customStyle="1" w:styleId="af3">
    <w:name w:val="Σύμβολο υποσημείωσης"/>
    <w:rsid w:val="00835387"/>
    <w:rPr>
      <w:vertAlign w:val="superscript"/>
    </w:rPr>
  </w:style>
  <w:style w:type="character" w:customStyle="1" w:styleId="10">
    <w:name w:val="Παραπομπή υποσημείωσης1"/>
    <w:rsid w:val="00835387"/>
    <w:rPr>
      <w:vertAlign w:val="superscript"/>
    </w:rPr>
  </w:style>
  <w:style w:type="paragraph" w:styleId="af4">
    <w:name w:val="Revision"/>
    <w:hidden/>
    <w:uiPriority w:val="99"/>
    <w:semiHidden/>
    <w:rsid w:val="0056106D"/>
    <w:rPr>
      <w:sz w:val="24"/>
      <w:szCs w:val="24"/>
    </w:rPr>
  </w:style>
  <w:style w:type="paragraph" w:styleId="af5">
    <w:name w:val="endnote text"/>
    <w:basedOn w:val="a"/>
    <w:link w:val="Char9"/>
    <w:semiHidden/>
    <w:unhideWhenUsed/>
    <w:rsid w:val="00F12840"/>
    <w:rPr>
      <w:sz w:val="20"/>
      <w:szCs w:val="20"/>
    </w:rPr>
  </w:style>
  <w:style w:type="character" w:customStyle="1" w:styleId="Char9">
    <w:name w:val="Κείμενο σημείωσης τέλους Char"/>
    <w:basedOn w:val="a0"/>
    <w:link w:val="af5"/>
    <w:semiHidden/>
    <w:rsid w:val="00F12840"/>
  </w:style>
  <w:style w:type="character" w:styleId="af6">
    <w:name w:val="endnote reference"/>
    <w:semiHidden/>
    <w:unhideWhenUsed/>
    <w:rsid w:val="00F12840"/>
    <w:rPr>
      <w:vertAlign w:val="superscript"/>
    </w:rPr>
  </w:style>
  <w:style w:type="paragraph" w:customStyle="1" w:styleId="aplo">
    <w:name w:val="aplo"/>
    <w:basedOn w:val="a"/>
    <w:rsid w:val="004F40E8"/>
    <w:pPr>
      <w:tabs>
        <w:tab w:val="left" w:pos="567"/>
      </w:tabs>
      <w:spacing w:before="120"/>
      <w:jc w:val="both"/>
    </w:pPr>
    <w:rPr>
      <w:sz w:val="22"/>
      <w:szCs w:val="20"/>
      <w:lang w:val="en-GB"/>
    </w:rPr>
  </w:style>
  <w:style w:type="paragraph" w:styleId="af7">
    <w:name w:val="Title"/>
    <w:basedOn w:val="a"/>
    <w:link w:val="Chara"/>
    <w:qFormat/>
    <w:rsid w:val="004F40E8"/>
    <w:pPr>
      <w:jc w:val="center"/>
    </w:pPr>
    <w:rPr>
      <w:b/>
      <w:bCs/>
      <w:lang w:eastAsia="en-US"/>
    </w:rPr>
  </w:style>
  <w:style w:type="character" w:customStyle="1" w:styleId="Chara">
    <w:name w:val="Τίτλος Char"/>
    <w:link w:val="af7"/>
    <w:rsid w:val="004F40E8"/>
    <w:rPr>
      <w:b/>
      <w:bCs/>
      <w:sz w:val="24"/>
      <w:szCs w:val="24"/>
      <w:lang w:eastAsia="en-US"/>
    </w:rPr>
  </w:style>
  <w:style w:type="numbering" w:customStyle="1" w:styleId="11">
    <w:name w:val="Χωρίς λίστα1"/>
    <w:next w:val="a2"/>
    <w:semiHidden/>
    <w:rsid w:val="004F40E8"/>
  </w:style>
  <w:style w:type="paragraph" w:customStyle="1" w:styleId="keimeno">
    <w:name w:val="keimeno"/>
    <w:basedOn w:val="a"/>
    <w:rsid w:val="004F40E8"/>
    <w:pPr>
      <w:jc w:val="both"/>
    </w:pPr>
    <w:rPr>
      <w:rFonts w:ascii="Arial" w:hAnsi="Arial"/>
      <w:sz w:val="22"/>
      <w:szCs w:val="20"/>
    </w:rPr>
  </w:style>
  <w:style w:type="paragraph" w:styleId="30">
    <w:name w:val="Body Text 3"/>
    <w:basedOn w:val="a"/>
    <w:link w:val="3Char0"/>
    <w:rsid w:val="004F40E8"/>
    <w:pPr>
      <w:jc w:val="both"/>
    </w:pPr>
    <w:rPr>
      <w:sz w:val="22"/>
      <w:szCs w:val="20"/>
    </w:rPr>
  </w:style>
  <w:style w:type="character" w:customStyle="1" w:styleId="3Char0">
    <w:name w:val="Σώμα κείμενου 3 Char"/>
    <w:link w:val="30"/>
    <w:rsid w:val="004F40E8"/>
    <w:rPr>
      <w:sz w:val="22"/>
    </w:rPr>
  </w:style>
  <w:style w:type="paragraph" w:customStyle="1" w:styleId="Giota">
    <w:name w:val="Giota"/>
    <w:basedOn w:val="a"/>
    <w:rsid w:val="004F40E8"/>
    <w:pPr>
      <w:tabs>
        <w:tab w:val="left" w:pos="567"/>
        <w:tab w:val="left" w:pos="1134"/>
        <w:tab w:val="left" w:pos="1701"/>
      </w:tabs>
      <w:jc w:val="both"/>
    </w:pPr>
    <w:rPr>
      <w:rFonts w:ascii="Arial" w:hAnsi="Arial"/>
      <w:sz w:val="18"/>
      <w:szCs w:val="20"/>
    </w:rPr>
  </w:style>
  <w:style w:type="paragraph" w:customStyle="1" w:styleId="12">
    <w:name w:val="Στυλ1"/>
    <w:basedOn w:val="a"/>
    <w:rsid w:val="004F40E8"/>
    <w:pPr>
      <w:spacing w:before="120"/>
      <w:ind w:firstLine="567"/>
    </w:pPr>
    <w:rPr>
      <w:rFonts w:ascii="Arial" w:hAnsi="Arial"/>
      <w:sz w:val="20"/>
      <w:szCs w:val="20"/>
    </w:rPr>
  </w:style>
  <w:style w:type="paragraph" w:styleId="31">
    <w:name w:val="Body Text Indent 3"/>
    <w:basedOn w:val="a"/>
    <w:link w:val="3Char1"/>
    <w:rsid w:val="004F40E8"/>
    <w:pPr>
      <w:tabs>
        <w:tab w:val="num" w:pos="652"/>
      </w:tabs>
      <w:spacing w:after="120"/>
      <w:ind w:left="652" w:hanging="652"/>
      <w:jc w:val="both"/>
    </w:pPr>
    <w:rPr>
      <w:sz w:val="22"/>
      <w:szCs w:val="20"/>
    </w:rPr>
  </w:style>
  <w:style w:type="character" w:customStyle="1" w:styleId="3Char1">
    <w:name w:val="Σώμα κείμενου με εσοχή 3 Char"/>
    <w:link w:val="31"/>
    <w:rsid w:val="004F40E8"/>
    <w:rPr>
      <w:sz w:val="22"/>
    </w:rPr>
  </w:style>
  <w:style w:type="character" w:styleId="-">
    <w:name w:val="Hyperlink"/>
    <w:uiPriority w:val="99"/>
    <w:rsid w:val="004F40E8"/>
    <w:rPr>
      <w:color w:val="0000FF"/>
      <w:u w:val="single"/>
    </w:rPr>
  </w:style>
  <w:style w:type="paragraph" w:customStyle="1" w:styleId="CharCharCharChar">
    <w:name w:val="Char Char Char Char"/>
    <w:basedOn w:val="a"/>
    <w:rsid w:val="004F40E8"/>
    <w:pPr>
      <w:spacing w:after="160" w:line="240" w:lineRule="exact"/>
      <w:jc w:val="both"/>
    </w:pPr>
    <w:rPr>
      <w:rFonts w:ascii="Verdana" w:hAnsi="Verdana"/>
      <w:sz w:val="20"/>
      <w:szCs w:val="20"/>
      <w:lang w:val="en-US" w:eastAsia="en-US"/>
    </w:rPr>
  </w:style>
  <w:style w:type="character" w:styleId="af8">
    <w:name w:val="Strong"/>
    <w:qFormat/>
    <w:rsid w:val="004F40E8"/>
    <w:rPr>
      <w:b/>
      <w:bCs/>
    </w:rPr>
  </w:style>
  <w:style w:type="paragraph" w:customStyle="1" w:styleId="Default">
    <w:name w:val="Default"/>
    <w:rsid w:val="004F40E8"/>
    <w:pPr>
      <w:autoSpaceDE w:val="0"/>
      <w:autoSpaceDN w:val="0"/>
      <w:adjustRightInd w:val="0"/>
    </w:pPr>
    <w:rPr>
      <w:rFonts w:eastAsia="Calibri"/>
      <w:color w:val="000000"/>
      <w:sz w:val="24"/>
      <w:szCs w:val="24"/>
      <w:lang w:eastAsia="en-US"/>
    </w:rPr>
  </w:style>
  <w:style w:type="paragraph" w:styleId="-HTML">
    <w:name w:val="HTML Preformatted"/>
    <w:basedOn w:val="a"/>
    <w:link w:val="-HTMLChar"/>
    <w:uiPriority w:val="99"/>
    <w:unhideWhenUsed/>
    <w:rsid w:val="004F4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Char">
    <w:name w:val="Προ-διαμορφωμένο HTML Char"/>
    <w:link w:val="-HTML"/>
    <w:uiPriority w:val="99"/>
    <w:rsid w:val="004F40E8"/>
    <w:rPr>
      <w:rFonts w:ascii="Courier New" w:hAnsi="Courier New" w:cs="Courier New"/>
    </w:rPr>
  </w:style>
  <w:style w:type="character" w:styleId="-0">
    <w:name w:val="FollowedHyperlink"/>
    <w:uiPriority w:val="99"/>
    <w:unhideWhenUsed/>
    <w:rsid w:val="004F40E8"/>
    <w:rPr>
      <w:color w:val="800080"/>
      <w:u w:val="single"/>
    </w:rPr>
  </w:style>
  <w:style w:type="paragraph" w:customStyle="1" w:styleId="font5">
    <w:name w:val="font5"/>
    <w:basedOn w:val="a"/>
    <w:rsid w:val="004F40E8"/>
    <w:pPr>
      <w:spacing w:before="100" w:beforeAutospacing="1" w:after="100" w:afterAutospacing="1"/>
    </w:pPr>
    <w:rPr>
      <w:rFonts w:ascii="Tahoma" w:hAnsi="Tahoma" w:cs="Tahoma"/>
      <w:b/>
      <w:bCs/>
      <w:color w:val="000000"/>
      <w:sz w:val="18"/>
      <w:szCs w:val="18"/>
    </w:rPr>
  </w:style>
  <w:style w:type="paragraph" w:customStyle="1" w:styleId="font6">
    <w:name w:val="font6"/>
    <w:basedOn w:val="a"/>
    <w:rsid w:val="004F40E8"/>
    <w:pPr>
      <w:spacing w:before="100" w:beforeAutospacing="1" w:after="100" w:afterAutospacing="1"/>
    </w:pPr>
    <w:rPr>
      <w:rFonts w:ascii="Tahoma" w:hAnsi="Tahoma" w:cs="Tahoma"/>
      <w:color w:val="000000"/>
      <w:sz w:val="18"/>
      <w:szCs w:val="18"/>
    </w:rPr>
  </w:style>
  <w:style w:type="paragraph" w:customStyle="1" w:styleId="font7">
    <w:name w:val="font7"/>
    <w:basedOn w:val="a"/>
    <w:rsid w:val="004F40E8"/>
    <w:pPr>
      <w:spacing w:before="100" w:beforeAutospacing="1" w:after="100" w:afterAutospacing="1"/>
    </w:pPr>
    <w:rPr>
      <w:rFonts w:ascii="Segoe UI" w:hAnsi="Segoe UI" w:cs="Segoe UI"/>
      <w:b/>
      <w:bCs/>
      <w:i/>
      <w:iCs/>
      <w:sz w:val="16"/>
      <w:szCs w:val="16"/>
    </w:rPr>
  </w:style>
  <w:style w:type="paragraph" w:customStyle="1" w:styleId="xl52827">
    <w:name w:val="xl52827"/>
    <w:basedOn w:val="a"/>
    <w:rsid w:val="004F40E8"/>
    <w:pPr>
      <w:spacing w:before="100" w:beforeAutospacing="1" w:after="100" w:afterAutospacing="1"/>
      <w:textAlignment w:val="center"/>
    </w:pPr>
    <w:rPr>
      <w:rFonts w:ascii="Segoe UI" w:hAnsi="Segoe UI" w:cs="Segoe UI"/>
      <w:sz w:val="16"/>
      <w:szCs w:val="16"/>
    </w:rPr>
  </w:style>
  <w:style w:type="paragraph" w:customStyle="1" w:styleId="xl52828">
    <w:name w:val="xl52828"/>
    <w:basedOn w:val="a"/>
    <w:rsid w:val="004F40E8"/>
    <w:pPr>
      <w:shd w:val="clear" w:color="000000" w:fill="BFBFBF"/>
      <w:spacing w:before="100" w:beforeAutospacing="1" w:after="100" w:afterAutospacing="1"/>
      <w:textAlignment w:val="center"/>
    </w:pPr>
    <w:rPr>
      <w:rFonts w:ascii="Segoe UI" w:hAnsi="Segoe UI" w:cs="Segoe UI"/>
      <w:sz w:val="16"/>
      <w:szCs w:val="16"/>
    </w:rPr>
  </w:style>
  <w:style w:type="paragraph" w:customStyle="1" w:styleId="xl52829">
    <w:name w:val="xl52829"/>
    <w:basedOn w:val="a"/>
    <w:rsid w:val="004F40E8"/>
    <w:pPr>
      <w:pBdr>
        <w:left w:val="single" w:sz="4" w:space="0" w:color="auto"/>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830">
    <w:name w:val="xl52830"/>
    <w:basedOn w:val="a"/>
    <w:rsid w:val="004F40E8"/>
    <w:pPr>
      <w:pBdr>
        <w:left w:val="single" w:sz="4" w:space="0" w:color="auto"/>
        <w:righ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831">
    <w:name w:val="xl52831"/>
    <w:basedOn w:val="a"/>
    <w:rsid w:val="004F40E8"/>
    <w:pPr>
      <w:spacing w:before="100" w:beforeAutospacing="1" w:after="100" w:afterAutospacing="1"/>
      <w:textAlignment w:val="center"/>
    </w:pPr>
    <w:rPr>
      <w:rFonts w:ascii="Segoe UI" w:hAnsi="Segoe UI" w:cs="Segoe UI"/>
      <w:b/>
      <w:bCs/>
      <w:sz w:val="16"/>
      <w:szCs w:val="16"/>
    </w:rPr>
  </w:style>
  <w:style w:type="paragraph" w:customStyle="1" w:styleId="xl52832">
    <w:name w:val="xl52832"/>
    <w:basedOn w:val="a"/>
    <w:rsid w:val="004F40E8"/>
    <w:pPr>
      <w:shd w:val="clear" w:color="000000" w:fill="BFBFBF"/>
      <w:spacing w:before="100" w:beforeAutospacing="1" w:after="100" w:afterAutospacing="1"/>
      <w:textAlignment w:val="center"/>
    </w:pPr>
    <w:rPr>
      <w:rFonts w:ascii="Segoe UI" w:hAnsi="Segoe UI" w:cs="Segoe UI"/>
      <w:b/>
      <w:bCs/>
      <w:sz w:val="16"/>
      <w:szCs w:val="16"/>
    </w:rPr>
  </w:style>
  <w:style w:type="paragraph" w:customStyle="1" w:styleId="xl52833">
    <w:name w:val="xl52833"/>
    <w:basedOn w:val="a"/>
    <w:rsid w:val="004F40E8"/>
    <w:pPr>
      <w:pBdr>
        <w:left w:val="single" w:sz="4" w:space="0" w:color="auto"/>
        <w:right w:val="single" w:sz="4" w:space="0" w:color="auto"/>
      </w:pBdr>
      <w:spacing w:before="100" w:beforeAutospacing="1" w:after="100" w:afterAutospacing="1"/>
      <w:jc w:val="center"/>
      <w:textAlignment w:val="center"/>
    </w:pPr>
    <w:rPr>
      <w:rFonts w:ascii="Segoe UI" w:hAnsi="Segoe UI" w:cs="Segoe UI"/>
      <w:b/>
      <w:bCs/>
      <w:sz w:val="16"/>
      <w:szCs w:val="16"/>
    </w:rPr>
  </w:style>
  <w:style w:type="paragraph" w:customStyle="1" w:styleId="xl52834">
    <w:name w:val="xl52834"/>
    <w:basedOn w:val="a"/>
    <w:rsid w:val="004F40E8"/>
    <w:pPr>
      <w:pBdr>
        <w:left w:val="single" w:sz="4" w:space="0" w:color="auto"/>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835">
    <w:name w:val="xl52835"/>
    <w:basedOn w:val="a"/>
    <w:rsid w:val="004F40E8"/>
    <w:pPr>
      <w:pBdr>
        <w:left w:val="single" w:sz="4" w:space="0" w:color="auto"/>
        <w:right w:val="single" w:sz="8" w:space="0" w:color="auto"/>
      </w:pBdr>
      <w:spacing w:before="100" w:beforeAutospacing="1" w:after="100" w:afterAutospacing="1"/>
      <w:jc w:val="center"/>
      <w:textAlignment w:val="center"/>
    </w:pPr>
    <w:rPr>
      <w:rFonts w:ascii="Segoe UI" w:hAnsi="Segoe UI" w:cs="Segoe UI"/>
      <w:b/>
      <w:bCs/>
      <w:sz w:val="16"/>
      <w:szCs w:val="16"/>
    </w:rPr>
  </w:style>
  <w:style w:type="paragraph" w:customStyle="1" w:styleId="xl52836">
    <w:name w:val="xl52836"/>
    <w:basedOn w:val="a"/>
    <w:rsid w:val="004F40E8"/>
    <w:pPr>
      <w:spacing w:before="100" w:beforeAutospacing="1" w:after="100" w:afterAutospacing="1"/>
      <w:textAlignment w:val="center"/>
    </w:pPr>
    <w:rPr>
      <w:rFonts w:ascii="Segoe UI" w:hAnsi="Segoe UI" w:cs="Segoe UI"/>
      <w:color w:val="C00000"/>
      <w:sz w:val="16"/>
      <w:szCs w:val="16"/>
    </w:rPr>
  </w:style>
  <w:style w:type="paragraph" w:customStyle="1" w:styleId="xl52837">
    <w:name w:val="xl52837"/>
    <w:basedOn w:val="a"/>
    <w:rsid w:val="004F40E8"/>
    <w:pPr>
      <w:pBdr>
        <w:left w:val="single" w:sz="4" w:space="0" w:color="auto"/>
        <w:right w:val="single" w:sz="4" w:space="0" w:color="auto"/>
      </w:pBdr>
      <w:shd w:val="clear" w:color="000000" w:fill="FFFFFF"/>
      <w:spacing w:before="100" w:beforeAutospacing="1" w:after="100" w:afterAutospacing="1"/>
      <w:jc w:val="center"/>
      <w:textAlignment w:val="center"/>
    </w:pPr>
    <w:rPr>
      <w:rFonts w:ascii="Segoe UI" w:hAnsi="Segoe UI" w:cs="Segoe UI"/>
      <w:b/>
      <w:bCs/>
      <w:sz w:val="16"/>
      <w:szCs w:val="16"/>
    </w:rPr>
  </w:style>
  <w:style w:type="paragraph" w:customStyle="1" w:styleId="xl52838">
    <w:name w:val="xl52838"/>
    <w:basedOn w:val="a"/>
    <w:rsid w:val="004F40E8"/>
    <w:pPr>
      <w:pBdr>
        <w:left w:val="single" w:sz="4" w:space="0" w:color="auto"/>
        <w:right w:val="single" w:sz="8" w:space="0" w:color="auto"/>
      </w:pBdr>
      <w:shd w:val="clear" w:color="000000" w:fill="FFFFFF"/>
      <w:spacing w:before="100" w:beforeAutospacing="1" w:after="100" w:afterAutospacing="1"/>
      <w:jc w:val="center"/>
      <w:textAlignment w:val="center"/>
    </w:pPr>
    <w:rPr>
      <w:rFonts w:ascii="Segoe UI" w:hAnsi="Segoe UI" w:cs="Segoe UI"/>
      <w:b/>
      <w:bCs/>
      <w:sz w:val="16"/>
      <w:szCs w:val="16"/>
    </w:rPr>
  </w:style>
  <w:style w:type="paragraph" w:customStyle="1" w:styleId="xl52839">
    <w:name w:val="xl52839"/>
    <w:basedOn w:val="a"/>
    <w:rsid w:val="004F40E8"/>
    <w:pPr>
      <w:shd w:val="clear" w:color="000000" w:fill="FFFFFF"/>
      <w:spacing w:before="100" w:beforeAutospacing="1" w:after="100" w:afterAutospacing="1"/>
      <w:textAlignment w:val="center"/>
    </w:pPr>
    <w:rPr>
      <w:rFonts w:ascii="Segoe UI" w:hAnsi="Segoe UI" w:cs="Segoe UI"/>
      <w:b/>
      <w:bCs/>
      <w:sz w:val="16"/>
      <w:szCs w:val="16"/>
    </w:rPr>
  </w:style>
  <w:style w:type="paragraph" w:customStyle="1" w:styleId="xl52840">
    <w:name w:val="xl52840"/>
    <w:basedOn w:val="a"/>
    <w:rsid w:val="004F40E8"/>
    <w:pPr>
      <w:spacing w:before="100" w:beforeAutospacing="1" w:after="100" w:afterAutospacing="1"/>
      <w:textAlignment w:val="center"/>
    </w:pPr>
    <w:rPr>
      <w:rFonts w:ascii="Segoe UI" w:hAnsi="Segoe UI" w:cs="Segoe UI"/>
      <w:sz w:val="16"/>
      <w:szCs w:val="16"/>
    </w:rPr>
  </w:style>
  <w:style w:type="paragraph" w:customStyle="1" w:styleId="xl52841">
    <w:name w:val="xl52841"/>
    <w:basedOn w:val="a"/>
    <w:rsid w:val="004F40E8"/>
    <w:pPr>
      <w:pBdr>
        <w:left w:val="single" w:sz="4" w:space="0" w:color="auto"/>
        <w:righ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842">
    <w:name w:val="xl52842"/>
    <w:basedOn w:val="a"/>
    <w:rsid w:val="004F40E8"/>
    <w:pPr>
      <w:pBdr>
        <w:left w:val="single" w:sz="4" w:space="0" w:color="auto"/>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843">
    <w:name w:val="xl52843"/>
    <w:basedOn w:val="a"/>
    <w:rsid w:val="004F40E8"/>
    <w:pPr>
      <w:pBdr>
        <w:left w:val="single" w:sz="4" w:space="0" w:color="auto"/>
        <w:righ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844">
    <w:name w:val="xl52844"/>
    <w:basedOn w:val="a"/>
    <w:rsid w:val="004F40E8"/>
    <w:pPr>
      <w:spacing w:before="100" w:beforeAutospacing="1" w:after="100" w:afterAutospacing="1"/>
      <w:jc w:val="center"/>
      <w:textAlignment w:val="center"/>
    </w:pPr>
    <w:rPr>
      <w:rFonts w:ascii="Segoe UI" w:hAnsi="Segoe UI" w:cs="Segoe UI"/>
      <w:sz w:val="16"/>
      <w:szCs w:val="16"/>
    </w:rPr>
  </w:style>
  <w:style w:type="paragraph" w:customStyle="1" w:styleId="xl52845">
    <w:name w:val="xl52845"/>
    <w:basedOn w:val="a"/>
    <w:rsid w:val="004F40E8"/>
    <w:pPr>
      <w:pBdr>
        <w:left w:val="single" w:sz="4" w:space="0" w:color="auto"/>
        <w:right w:val="single" w:sz="4" w:space="0" w:color="auto"/>
      </w:pBdr>
      <w:spacing w:before="100" w:beforeAutospacing="1" w:after="100" w:afterAutospacing="1"/>
      <w:jc w:val="center"/>
    </w:pPr>
    <w:rPr>
      <w:rFonts w:ascii="Segoe UI" w:hAnsi="Segoe UI" w:cs="Segoe UI"/>
      <w:sz w:val="16"/>
      <w:szCs w:val="16"/>
    </w:rPr>
  </w:style>
  <w:style w:type="paragraph" w:customStyle="1" w:styleId="xl52846">
    <w:name w:val="xl52846"/>
    <w:basedOn w:val="a"/>
    <w:rsid w:val="004F40E8"/>
    <w:pPr>
      <w:pBdr>
        <w:left w:val="single" w:sz="4" w:space="0" w:color="auto"/>
        <w:right w:val="single" w:sz="8" w:space="0" w:color="auto"/>
      </w:pBdr>
      <w:spacing w:before="100" w:beforeAutospacing="1" w:after="100" w:afterAutospacing="1"/>
      <w:jc w:val="center"/>
    </w:pPr>
    <w:rPr>
      <w:rFonts w:ascii="Segoe UI" w:hAnsi="Segoe UI" w:cs="Segoe UI"/>
      <w:sz w:val="16"/>
      <w:szCs w:val="16"/>
    </w:rPr>
  </w:style>
  <w:style w:type="paragraph" w:customStyle="1" w:styleId="xl52847">
    <w:name w:val="xl52847"/>
    <w:basedOn w:val="a"/>
    <w:rsid w:val="004F40E8"/>
    <w:pPr>
      <w:pBdr>
        <w:left w:val="single" w:sz="4" w:space="0" w:color="auto"/>
        <w:right w:val="single" w:sz="4" w:space="0" w:color="auto"/>
      </w:pBdr>
      <w:spacing w:before="100" w:beforeAutospacing="1" w:after="100" w:afterAutospacing="1"/>
      <w:jc w:val="center"/>
    </w:pPr>
    <w:rPr>
      <w:rFonts w:ascii="Segoe UI" w:hAnsi="Segoe UI" w:cs="Segoe UI"/>
      <w:b/>
      <w:bCs/>
      <w:sz w:val="16"/>
      <w:szCs w:val="16"/>
    </w:rPr>
  </w:style>
  <w:style w:type="paragraph" w:customStyle="1" w:styleId="xl52848">
    <w:name w:val="xl52848"/>
    <w:basedOn w:val="a"/>
    <w:rsid w:val="004F40E8"/>
    <w:pPr>
      <w:pBdr>
        <w:left w:val="single" w:sz="4" w:space="0" w:color="auto"/>
        <w:right w:val="single" w:sz="8" w:space="0" w:color="auto"/>
      </w:pBdr>
      <w:spacing w:before="100" w:beforeAutospacing="1" w:after="100" w:afterAutospacing="1"/>
      <w:jc w:val="center"/>
    </w:pPr>
    <w:rPr>
      <w:rFonts w:ascii="Segoe UI" w:hAnsi="Segoe UI" w:cs="Segoe UI"/>
      <w:b/>
      <w:bCs/>
      <w:sz w:val="16"/>
      <w:szCs w:val="16"/>
    </w:rPr>
  </w:style>
  <w:style w:type="paragraph" w:customStyle="1" w:styleId="xl52849">
    <w:name w:val="xl52849"/>
    <w:basedOn w:val="a"/>
    <w:rsid w:val="004F40E8"/>
    <w:pPr>
      <w:pBdr>
        <w:left w:val="single" w:sz="4" w:space="0" w:color="auto"/>
        <w:right w:val="single" w:sz="4"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850">
    <w:name w:val="xl52850"/>
    <w:basedOn w:val="a"/>
    <w:rsid w:val="004F40E8"/>
    <w:pPr>
      <w:pBdr>
        <w:left w:val="single" w:sz="4" w:space="0" w:color="auto"/>
        <w:right w:val="single" w:sz="8"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851">
    <w:name w:val="xl52851"/>
    <w:basedOn w:val="a"/>
    <w:rsid w:val="004F40E8"/>
    <w:pPr>
      <w:pBdr>
        <w:left w:val="single" w:sz="4" w:space="0" w:color="auto"/>
        <w:right w:val="single" w:sz="4"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852">
    <w:name w:val="xl52852"/>
    <w:basedOn w:val="a"/>
    <w:rsid w:val="004F40E8"/>
    <w:pPr>
      <w:pBdr>
        <w:left w:val="single" w:sz="4" w:space="0" w:color="auto"/>
        <w:right w:val="single" w:sz="8"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853">
    <w:name w:val="xl52853"/>
    <w:basedOn w:val="a"/>
    <w:rsid w:val="004F40E8"/>
    <w:pPr>
      <w:pBdr>
        <w:left w:val="single" w:sz="4" w:space="0" w:color="auto"/>
      </w:pBdr>
      <w:spacing w:before="100" w:beforeAutospacing="1" w:after="100" w:afterAutospacing="1"/>
      <w:jc w:val="center"/>
      <w:textAlignment w:val="center"/>
    </w:pPr>
    <w:rPr>
      <w:rFonts w:ascii="Segoe UI" w:hAnsi="Segoe UI" w:cs="Segoe UI"/>
      <w:b/>
      <w:bCs/>
      <w:sz w:val="16"/>
      <w:szCs w:val="16"/>
    </w:rPr>
  </w:style>
  <w:style w:type="paragraph" w:customStyle="1" w:styleId="xl52854">
    <w:name w:val="xl52854"/>
    <w:basedOn w:val="a"/>
    <w:rsid w:val="004F40E8"/>
    <w:pPr>
      <w:pBdr>
        <w:lef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855">
    <w:name w:val="xl52855"/>
    <w:basedOn w:val="a"/>
    <w:rsid w:val="004F40E8"/>
    <w:pPr>
      <w:pBdr>
        <w:left w:val="single" w:sz="4" w:space="0" w:color="auto"/>
      </w:pBdr>
      <w:spacing w:before="100" w:beforeAutospacing="1" w:after="100" w:afterAutospacing="1"/>
      <w:jc w:val="center"/>
    </w:pPr>
    <w:rPr>
      <w:rFonts w:ascii="Segoe UI" w:hAnsi="Segoe UI" w:cs="Segoe UI"/>
      <w:sz w:val="16"/>
      <w:szCs w:val="16"/>
    </w:rPr>
  </w:style>
  <w:style w:type="paragraph" w:customStyle="1" w:styleId="xl52856">
    <w:name w:val="xl52856"/>
    <w:basedOn w:val="a"/>
    <w:rsid w:val="004F40E8"/>
    <w:pPr>
      <w:pBdr>
        <w:left w:val="single" w:sz="4" w:space="0" w:color="auto"/>
        <w:right w:val="single" w:sz="4"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857">
    <w:name w:val="xl52857"/>
    <w:basedOn w:val="a"/>
    <w:rsid w:val="004F40E8"/>
    <w:pPr>
      <w:pBdr>
        <w:left w:val="single" w:sz="4" w:space="0" w:color="auto"/>
        <w:right w:val="single" w:sz="4"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858">
    <w:name w:val="xl52858"/>
    <w:basedOn w:val="a"/>
    <w:rsid w:val="004F40E8"/>
    <w:pPr>
      <w:pBdr>
        <w:left w:val="single" w:sz="4" w:space="0" w:color="auto"/>
        <w:right w:val="single" w:sz="8"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859">
    <w:name w:val="xl52859"/>
    <w:basedOn w:val="a"/>
    <w:rsid w:val="004F40E8"/>
    <w:pPr>
      <w:shd w:val="clear" w:color="000000" w:fill="A5A5A5"/>
      <w:spacing w:before="100" w:beforeAutospacing="1" w:after="100" w:afterAutospacing="1"/>
      <w:textAlignment w:val="center"/>
    </w:pPr>
    <w:rPr>
      <w:rFonts w:ascii="Segoe UI" w:hAnsi="Segoe UI" w:cs="Segoe UI"/>
      <w:sz w:val="16"/>
      <w:szCs w:val="16"/>
    </w:rPr>
  </w:style>
  <w:style w:type="paragraph" w:customStyle="1" w:styleId="xl52860">
    <w:name w:val="xl52860"/>
    <w:basedOn w:val="a"/>
    <w:rsid w:val="004F40E8"/>
    <w:pPr>
      <w:shd w:val="clear" w:color="000000" w:fill="A5A5A5"/>
      <w:spacing w:before="100" w:beforeAutospacing="1" w:after="100" w:afterAutospacing="1"/>
      <w:textAlignment w:val="center"/>
    </w:pPr>
    <w:rPr>
      <w:rFonts w:ascii="Segoe UI" w:hAnsi="Segoe UI" w:cs="Segoe UI"/>
      <w:b/>
      <w:bCs/>
      <w:sz w:val="16"/>
      <w:szCs w:val="16"/>
    </w:rPr>
  </w:style>
  <w:style w:type="paragraph" w:customStyle="1" w:styleId="xl52861">
    <w:name w:val="xl52861"/>
    <w:basedOn w:val="a"/>
    <w:rsid w:val="004F40E8"/>
    <w:pPr>
      <w:pBdr>
        <w:left w:val="single" w:sz="4"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862">
    <w:name w:val="xl52862"/>
    <w:basedOn w:val="a"/>
    <w:rsid w:val="004F40E8"/>
    <w:pPr>
      <w:pBdr>
        <w:lef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863">
    <w:name w:val="xl52863"/>
    <w:basedOn w:val="a"/>
    <w:rsid w:val="004F40E8"/>
    <w:pPr>
      <w:shd w:val="clear" w:color="000000" w:fill="A5A5A5"/>
      <w:spacing w:before="100" w:beforeAutospacing="1" w:after="100" w:afterAutospacing="1"/>
      <w:textAlignment w:val="center"/>
    </w:pPr>
    <w:rPr>
      <w:rFonts w:ascii="Segoe UI" w:hAnsi="Segoe UI" w:cs="Segoe UI"/>
      <w:b/>
      <w:bCs/>
      <w:sz w:val="16"/>
      <w:szCs w:val="16"/>
    </w:rPr>
  </w:style>
  <w:style w:type="paragraph" w:customStyle="1" w:styleId="xl52864">
    <w:name w:val="xl52864"/>
    <w:basedOn w:val="a"/>
    <w:rsid w:val="004F40E8"/>
    <w:pPr>
      <w:pBdr>
        <w:left w:val="single" w:sz="4"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865">
    <w:name w:val="xl52865"/>
    <w:basedOn w:val="a"/>
    <w:rsid w:val="004F40E8"/>
    <w:pPr>
      <w:pBdr>
        <w:left w:val="single" w:sz="4" w:space="0" w:color="auto"/>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866">
    <w:name w:val="xl52866"/>
    <w:basedOn w:val="a"/>
    <w:rsid w:val="004F40E8"/>
    <w:pPr>
      <w:pBdr>
        <w:left w:val="single" w:sz="4"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867">
    <w:name w:val="xl52867"/>
    <w:basedOn w:val="a"/>
    <w:rsid w:val="004F40E8"/>
    <w:pPr>
      <w:pBdr>
        <w:left w:val="single" w:sz="4" w:space="0" w:color="auto"/>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868">
    <w:name w:val="xl52868"/>
    <w:basedOn w:val="a"/>
    <w:rsid w:val="004F40E8"/>
    <w:pPr>
      <w:pBdr>
        <w:left w:val="single" w:sz="4" w:space="0" w:color="auto"/>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869">
    <w:name w:val="xl52869"/>
    <w:basedOn w:val="a"/>
    <w:rsid w:val="004F40E8"/>
    <w:pPr>
      <w:shd w:val="clear" w:color="000000" w:fill="A5A5A5"/>
      <w:spacing w:before="100" w:beforeAutospacing="1" w:after="100" w:afterAutospacing="1"/>
      <w:textAlignment w:val="center"/>
    </w:pPr>
    <w:rPr>
      <w:rFonts w:ascii="Segoe UI" w:hAnsi="Segoe UI" w:cs="Segoe UI"/>
      <w:color w:val="C00000"/>
      <w:sz w:val="16"/>
      <w:szCs w:val="16"/>
    </w:rPr>
  </w:style>
  <w:style w:type="paragraph" w:customStyle="1" w:styleId="xl52870">
    <w:name w:val="xl52870"/>
    <w:basedOn w:val="a"/>
    <w:rsid w:val="004F40E8"/>
    <w:pPr>
      <w:pBdr>
        <w:left w:val="single" w:sz="4" w:space="0" w:color="auto"/>
        <w:right w:val="single" w:sz="4" w:space="0" w:color="auto"/>
      </w:pBdr>
      <w:spacing w:before="100" w:beforeAutospacing="1" w:after="100" w:afterAutospacing="1"/>
      <w:jc w:val="center"/>
      <w:textAlignment w:val="center"/>
    </w:pPr>
    <w:rPr>
      <w:rFonts w:ascii="Segoe UI" w:hAnsi="Segoe UI" w:cs="Segoe UI"/>
      <w:color w:val="FFFFFF"/>
      <w:sz w:val="16"/>
      <w:szCs w:val="16"/>
    </w:rPr>
  </w:style>
  <w:style w:type="paragraph" w:customStyle="1" w:styleId="xl52871">
    <w:name w:val="xl52871"/>
    <w:basedOn w:val="a"/>
    <w:rsid w:val="004F40E8"/>
    <w:pPr>
      <w:pBdr>
        <w:left w:val="single" w:sz="8" w:space="0" w:color="auto"/>
      </w:pBdr>
      <w:spacing w:before="100" w:beforeAutospacing="1" w:after="100" w:afterAutospacing="1"/>
      <w:textAlignment w:val="center"/>
    </w:pPr>
    <w:rPr>
      <w:rFonts w:ascii="Segoe UI" w:hAnsi="Segoe UI" w:cs="Segoe UI"/>
      <w:b/>
      <w:bCs/>
      <w:sz w:val="16"/>
      <w:szCs w:val="16"/>
    </w:rPr>
  </w:style>
  <w:style w:type="paragraph" w:customStyle="1" w:styleId="xl52872">
    <w:name w:val="xl52872"/>
    <w:basedOn w:val="a"/>
    <w:rsid w:val="004F40E8"/>
    <w:pPr>
      <w:pBdr>
        <w:left w:val="single" w:sz="8" w:space="0" w:color="auto"/>
      </w:pBdr>
      <w:shd w:val="clear" w:color="000000" w:fill="A5A5A5"/>
      <w:spacing w:before="100" w:beforeAutospacing="1" w:after="100" w:afterAutospacing="1"/>
      <w:textAlignment w:val="center"/>
    </w:pPr>
    <w:rPr>
      <w:rFonts w:ascii="Segoe UI" w:hAnsi="Segoe UI" w:cs="Segoe UI"/>
      <w:b/>
      <w:bCs/>
      <w:sz w:val="16"/>
      <w:szCs w:val="16"/>
    </w:rPr>
  </w:style>
  <w:style w:type="paragraph" w:customStyle="1" w:styleId="xl52873">
    <w:name w:val="xl52873"/>
    <w:basedOn w:val="a"/>
    <w:rsid w:val="004F40E8"/>
    <w:pPr>
      <w:pBdr>
        <w:left w:val="single" w:sz="8" w:space="0" w:color="auto"/>
      </w:pBdr>
      <w:shd w:val="clear" w:color="000000" w:fill="A5A5A5"/>
      <w:spacing w:before="100" w:beforeAutospacing="1" w:after="100" w:afterAutospacing="1"/>
      <w:textAlignment w:val="center"/>
    </w:pPr>
    <w:rPr>
      <w:rFonts w:ascii="Segoe UI" w:hAnsi="Segoe UI" w:cs="Segoe UI"/>
      <w:b/>
      <w:bCs/>
      <w:sz w:val="16"/>
      <w:szCs w:val="16"/>
    </w:rPr>
  </w:style>
  <w:style w:type="paragraph" w:customStyle="1" w:styleId="xl52874">
    <w:name w:val="xl52874"/>
    <w:basedOn w:val="a"/>
    <w:rsid w:val="004F40E8"/>
    <w:pPr>
      <w:pBdr>
        <w:left w:val="single" w:sz="8" w:space="0" w:color="auto"/>
      </w:pBdr>
      <w:spacing w:before="100" w:beforeAutospacing="1" w:after="100" w:afterAutospacing="1"/>
      <w:textAlignment w:val="center"/>
    </w:pPr>
    <w:rPr>
      <w:rFonts w:ascii="Segoe UI" w:hAnsi="Segoe UI" w:cs="Segoe UI"/>
      <w:sz w:val="16"/>
      <w:szCs w:val="16"/>
    </w:rPr>
  </w:style>
  <w:style w:type="paragraph" w:customStyle="1" w:styleId="xl52875">
    <w:name w:val="xl52875"/>
    <w:basedOn w:val="a"/>
    <w:rsid w:val="004F40E8"/>
    <w:pPr>
      <w:pBdr>
        <w:left w:val="single" w:sz="8" w:space="0" w:color="auto"/>
      </w:pBdr>
      <w:shd w:val="clear" w:color="000000" w:fill="FFFFFF"/>
      <w:spacing w:before="100" w:beforeAutospacing="1" w:after="100" w:afterAutospacing="1"/>
      <w:textAlignment w:val="center"/>
    </w:pPr>
    <w:rPr>
      <w:rFonts w:ascii="Segoe UI" w:hAnsi="Segoe UI" w:cs="Segoe UI"/>
      <w:b/>
      <w:bCs/>
      <w:sz w:val="16"/>
      <w:szCs w:val="16"/>
    </w:rPr>
  </w:style>
  <w:style w:type="paragraph" w:customStyle="1" w:styleId="xl52876">
    <w:name w:val="xl52876"/>
    <w:basedOn w:val="a"/>
    <w:rsid w:val="004F40E8"/>
    <w:pPr>
      <w:pBdr>
        <w:left w:val="single" w:sz="8" w:space="0" w:color="auto"/>
      </w:pBdr>
      <w:spacing w:before="100" w:beforeAutospacing="1" w:after="100" w:afterAutospacing="1"/>
      <w:textAlignment w:val="center"/>
    </w:pPr>
    <w:rPr>
      <w:rFonts w:ascii="Segoe UI" w:hAnsi="Segoe UI" w:cs="Segoe UI"/>
      <w:sz w:val="16"/>
      <w:szCs w:val="16"/>
    </w:rPr>
  </w:style>
  <w:style w:type="paragraph" w:customStyle="1" w:styleId="xl52877">
    <w:name w:val="xl52877"/>
    <w:basedOn w:val="a"/>
    <w:rsid w:val="004F40E8"/>
    <w:pPr>
      <w:pBdr>
        <w:left w:val="single" w:sz="8" w:space="0" w:color="auto"/>
      </w:pBdr>
      <w:spacing w:before="100" w:beforeAutospacing="1" w:after="100" w:afterAutospacing="1"/>
      <w:textAlignment w:val="center"/>
    </w:pPr>
    <w:rPr>
      <w:rFonts w:ascii="Segoe UI" w:hAnsi="Segoe UI" w:cs="Segoe UI"/>
      <w:sz w:val="16"/>
      <w:szCs w:val="16"/>
    </w:rPr>
  </w:style>
  <w:style w:type="paragraph" w:customStyle="1" w:styleId="xl52878">
    <w:name w:val="xl52878"/>
    <w:basedOn w:val="a"/>
    <w:rsid w:val="004F40E8"/>
    <w:pPr>
      <w:pBdr>
        <w:left w:val="single" w:sz="8" w:space="0" w:color="auto"/>
      </w:pBdr>
      <w:shd w:val="clear" w:color="000000" w:fill="FFFFFF"/>
      <w:spacing w:before="100" w:beforeAutospacing="1" w:after="100" w:afterAutospacing="1"/>
      <w:textAlignment w:val="center"/>
    </w:pPr>
    <w:rPr>
      <w:rFonts w:ascii="Segoe UI" w:hAnsi="Segoe UI" w:cs="Segoe UI"/>
      <w:sz w:val="16"/>
      <w:szCs w:val="16"/>
    </w:rPr>
  </w:style>
  <w:style w:type="paragraph" w:customStyle="1" w:styleId="xl52879">
    <w:name w:val="xl52879"/>
    <w:basedOn w:val="a"/>
    <w:rsid w:val="004F40E8"/>
    <w:pPr>
      <w:pBdr>
        <w:left w:val="single" w:sz="8" w:space="0" w:color="auto"/>
      </w:pBdr>
      <w:shd w:val="clear" w:color="000000" w:fill="A5A5A5"/>
      <w:spacing w:before="100" w:beforeAutospacing="1" w:after="100" w:afterAutospacing="1"/>
      <w:textAlignment w:val="center"/>
    </w:pPr>
    <w:rPr>
      <w:rFonts w:ascii="Segoe UI" w:hAnsi="Segoe UI" w:cs="Segoe UI"/>
      <w:b/>
      <w:bCs/>
      <w:sz w:val="16"/>
      <w:szCs w:val="16"/>
    </w:rPr>
  </w:style>
  <w:style w:type="paragraph" w:customStyle="1" w:styleId="xl52880">
    <w:name w:val="xl52880"/>
    <w:basedOn w:val="a"/>
    <w:rsid w:val="004F40E8"/>
    <w:pPr>
      <w:pBdr>
        <w:left w:val="single" w:sz="8" w:space="0" w:color="auto"/>
      </w:pBdr>
      <w:spacing w:before="100" w:beforeAutospacing="1" w:after="100" w:afterAutospacing="1"/>
      <w:textAlignment w:val="center"/>
    </w:pPr>
    <w:rPr>
      <w:rFonts w:ascii="Segoe UI" w:hAnsi="Segoe UI" w:cs="Segoe UI"/>
      <w:b/>
      <w:bCs/>
      <w:sz w:val="16"/>
      <w:szCs w:val="16"/>
    </w:rPr>
  </w:style>
  <w:style w:type="paragraph" w:customStyle="1" w:styleId="xl52881">
    <w:name w:val="xl52881"/>
    <w:basedOn w:val="a"/>
    <w:rsid w:val="004F40E8"/>
    <w:pPr>
      <w:pBdr>
        <w:left w:val="single" w:sz="8" w:space="0" w:color="auto"/>
      </w:pBdr>
      <w:shd w:val="clear" w:color="000000" w:fill="A5A5A5"/>
      <w:spacing w:before="100" w:beforeAutospacing="1" w:after="100" w:afterAutospacing="1"/>
      <w:textAlignment w:val="center"/>
    </w:pPr>
    <w:rPr>
      <w:rFonts w:ascii="Segoe UI" w:hAnsi="Segoe UI" w:cs="Segoe UI"/>
      <w:b/>
      <w:bCs/>
      <w:i/>
      <w:iCs/>
      <w:sz w:val="16"/>
      <w:szCs w:val="16"/>
    </w:rPr>
  </w:style>
  <w:style w:type="paragraph" w:customStyle="1" w:styleId="xl52882">
    <w:name w:val="xl52882"/>
    <w:basedOn w:val="a"/>
    <w:rsid w:val="004F40E8"/>
    <w:pPr>
      <w:pBdr>
        <w:left w:val="single" w:sz="8" w:space="0" w:color="auto"/>
      </w:pBdr>
      <w:spacing w:before="100" w:beforeAutospacing="1" w:after="100" w:afterAutospacing="1"/>
    </w:pPr>
    <w:rPr>
      <w:rFonts w:ascii="Segoe UI" w:hAnsi="Segoe UI" w:cs="Segoe UI"/>
      <w:sz w:val="16"/>
      <w:szCs w:val="16"/>
    </w:rPr>
  </w:style>
  <w:style w:type="paragraph" w:customStyle="1" w:styleId="xl52883">
    <w:name w:val="xl52883"/>
    <w:basedOn w:val="a"/>
    <w:rsid w:val="004F40E8"/>
    <w:pPr>
      <w:pBdr>
        <w:left w:val="single" w:sz="8" w:space="0" w:color="auto"/>
      </w:pBdr>
      <w:spacing w:before="100" w:beforeAutospacing="1" w:after="100" w:afterAutospacing="1"/>
    </w:pPr>
    <w:rPr>
      <w:rFonts w:ascii="Segoe UI" w:hAnsi="Segoe UI" w:cs="Segoe UI"/>
      <w:b/>
      <w:bCs/>
      <w:sz w:val="16"/>
      <w:szCs w:val="16"/>
    </w:rPr>
  </w:style>
  <w:style w:type="paragraph" w:customStyle="1" w:styleId="xl52884">
    <w:name w:val="xl52884"/>
    <w:basedOn w:val="a"/>
    <w:rsid w:val="004F40E8"/>
    <w:pPr>
      <w:pBdr>
        <w:left w:val="single" w:sz="8" w:space="0" w:color="auto"/>
      </w:pBdr>
      <w:spacing w:before="100" w:beforeAutospacing="1" w:after="100" w:afterAutospacing="1"/>
    </w:pPr>
    <w:rPr>
      <w:rFonts w:ascii="Segoe UI" w:hAnsi="Segoe UI" w:cs="Segoe UI"/>
      <w:sz w:val="16"/>
      <w:szCs w:val="16"/>
    </w:rPr>
  </w:style>
  <w:style w:type="paragraph" w:customStyle="1" w:styleId="xl52885">
    <w:name w:val="xl52885"/>
    <w:basedOn w:val="a"/>
    <w:rsid w:val="004F40E8"/>
    <w:pPr>
      <w:pBdr>
        <w:left w:val="single" w:sz="8" w:space="0" w:color="auto"/>
      </w:pBdr>
      <w:shd w:val="clear" w:color="000000" w:fill="FFFFFF"/>
      <w:spacing w:before="100" w:beforeAutospacing="1" w:after="100" w:afterAutospacing="1"/>
    </w:pPr>
    <w:rPr>
      <w:rFonts w:ascii="Segoe UI" w:hAnsi="Segoe UI" w:cs="Segoe UI"/>
      <w:b/>
      <w:bCs/>
      <w:i/>
      <w:iCs/>
      <w:sz w:val="16"/>
      <w:szCs w:val="16"/>
    </w:rPr>
  </w:style>
  <w:style w:type="paragraph" w:customStyle="1" w:styleId="xl52886">
    <w:name w:val="xl52886"/>
    <w:basedOn w:val="a"/>
    <w:rsid w:val="004F40E8"/>
    <w:pPr>
      <w:pBdr>
        <w:left w:val="single" w:sz="8" w:space="0" w:color="auto"/>
      </w:pBdr>
      <w:shd w:val="clear" w:color="000000" w:fill="FFFFFF"/>
      <w:spacing w:before="100" w:beforeAutospacing="1" w:after="100" w:afterAutospacing="1"/>
    </w:pPr>
    <w:rPr>
      <w:rFonts w:ascii="Segoe UI" w:hAnsi="Segoe UI" w:cs="Segoe UI"/>
      <w:b/>
      <w:bCs/>
      <w:sz w:val="16"/>
      <w:szCs w:val="16"/>
    </w:rPr>
  </w:style>
  <w:style w:type="paragraph" w:customStyle="1" w:styleId="xl52887">
    <w:name w:val="xl52887"/>
    <w:basedOn w:val="a"/>
    <w:rsid w:val="004F40E8"/>
    <w:pPr>
      <w:pBdr>
        <w:left w:val="single" w:sz="8" w:space="0" w:color="auto"/>
      </w:pBdr>
      <w:spacing w:before="100" w:beforeAutospacing="1" w:after="100" w:afterAutospacing="1"/>
      <w:textAlignment w:val="center"/>
    </w:pPr>
    <w:rPr>
      <w:rFonts w:ascii="Segoe UI" w:hAnsi="Segoe UI" w:cs="Segoe UI"/>
      <w:sz w:val="16"/>
      <w:szCs w:val="16"/>
    </w:rPr>
  </w:style>
  <w:style w:type="paragraph" w:customStyle="1" w:styleId="xl52888">
    <w:name w:val="xl52888"/>
    <w:basedOn w:val="a"/>
    <w:rsid w:val="004F40E8"/>
    <w:pPr>
      <w:pBdr>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889">
    <w:name w:val="xl52889"/>
    <w:basedOn w:val="a"/>
    <w:rsid w:val="004F40E8"/>
    <w:pPr>
      <w:pBdr>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890">
    <w:name w:val="xl52890"/>
    <w:basedOn w:val="a"/>
    <w:rsid w:val="004F40E8"/>
    <w:pPr>
      <w:pBdr>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891">
    <w:name w:val="xl52891"/>
    <w:basedOn w:val="a"/>
    <w:rsid w:val="004F40E8"/>
    <w:pPr>
      <w:pBdr>
        <w:right w:val="single" w:sz="4" w:space="0" w:color="auto"/>
      </w:pBdr>
      <w:spacing w:before="100" w:beforeAutospacing="1" w:after="100" w:afterAutospacing="1"/>
      <w:jc w:val="center"/>
      <w:textAlignment w:val="center"/>
    </w:pPr>
    <w:rPr>
      <w:rFonts w:ascii="Segoe UI" w:hAnsi="Segoe UI" w:cs="Segoe UI"/>
      <w:b/>
      <w:bCs/>
      <w:sz w:val="16"/>
      <w:szCs w:val="16"/>
    </w:rPr>
  </w:style>
  <w:style w:type="paragraph" w:customStyle="1" w:styleId="xl52892">
    <w:name w:val="xl52892"/>
    <w:basedOn w:val="a"/>
    <w:rsid w:val="004F40E8"/>
    <w:pPr>
      <w:pBdr>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893">
    <w:name w:val="xl52893"/>
    <w:basedOn w:val="a"/>
    <w:rsid w:val="004F40E8"/>
    <w:pPr>
      <w:pBdr>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894">
    <w:name w:val="xl52894"/>
    <w:basedOn w:val="a"/>
    <w:rsid w:val="004F40E8"/>
    <w:pPr>
      <w:pBdr>
        <w:right w:val="single" w:sz="4" w:space="0" w:color="auto"/>
      </w:pBdr>
      <w:shd w:val="clear" w:color="000000" w:fill="FFFFFF"/>
      <w:spacing w:before="100" w:beforeAutospacing="1" w:after="100" w:afterAutospacing="1"/>
      <w:jc w:val="center"/>
      <w:textAlignment w:val="center"/>
    </w:pPr>
    <w:rPr>
      <w:rFonts w:ascii="Segoe UI" w:hAnsi="Segoe UI" w:cs="Segoe UI"/>
      <w:b/>
      <w:bCs/>
      <w:sz w:val="16"/>
      <w:szCs w:val="16"/>
    </w:rPr>
  </w:style>
  <w:style w:type="paragraph" w:customStyle="1" w:styleId="xl52895">
    <w:name w:val="xl52895"/>
    <w:basedOn w:val="a"/>
    <w:rsid w:val="004F40E8"/>
    <w:pPr>
      <w:pBdr>
        <w:right w:val="single" w:sz="4" w:space="0" w:color="auto"/>
      </w:pBdr>
      <w:spacing w:before="100" w:beforeAutospacing="1" w:after="100" w:afterAutospacing="1"/>
      <w:jc w:val="center"/>
      <w:textAlignment w:val="center"/>
    </w:pPr>
    <w:rPr>
      <w:rFonts w:ascii="Segoe UI" w:hAnsi="Segoe UI" w:cs="Segoe UI"/>
      <w:color w:val="FFFFFF"/>
      <w:sz w:val="16"/>
      <w:szCs w:val="16"/>
    </w:rPr>
  </w:style>
  <w:style w:type="paragraph" w:customStyle="1" w:styleId="xl52896">
    <w:name w:val="xl52896"/>
    <w:basedOn w:val="a"/>
    <w:rsid w:val="004F40E8"/>
    <w:pPr>
      <w:pBdr>
        <w:right w:val="single" w:sz="4" w:space="0" w:color="auto"/>
      </w:pBdr>
      <w:spacing w:before="100" w:beforeAutospacing="1" w:after="100" w:afterAutospacing="1"/>
      <w:jc w:val="center"/>
    </w:pPr>
    <w:rPr>
      <w:rFonts w:ascii="Segoe UI" w:hAnsi="Segoe UI" w:cs="Segoe UI"/>
      <w:sz w:val="16"/>
      <w:szCs w:val="16"/>
    </w:rPr>
  </w:style>
  <w:style w:type="paragraph" w:customStyle="1" w:styleId="xl52897">
    <w:name w:val="xl52897"/>
    <w:basedOn w:val="a"/>
    <w:rsid w:val="004F40E8"/>
    <w:pPr>
      <w:pBdr>
        <w:right w:val="single" w:sz="4" w:space="0" w:color="auto"/>
      </w:pBdr>
      <w:spacing w:before="100" w:beforeAutospacing="1" w:after="100" w:afterAutospacing="1"/>
      <w:jc w:val="center"/>
    </w:pPr>
    <w:rPr>
      <w:rFonts w:ascii="Segoe UI" w:hAnsi="Segoe UI" w:cs="Segoe UI"/>
      <w:b/>
      <w:bCs/>
      <w:sz w:val="16"/>
      <w:szCs w:val="16"/>
    </w:rPr>
  </w:style>
  <w:style w:type="paragraph" w:customStyle="1" w:styleId="xl52898">
    <w:name w:val="xl52898"/>
    <w:basedOn w:val="a"/>
    <w:rsid w:val="004F40E8"/>
    <w:pPr>
      <w:pBdr>
        <w:right w:val="single" w:sz="4"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899">
    <w:name w:val="xl52899"/>
    <w:basedOn w:val="a"/>
    <w:rsid w:val="004F40E8"/>
    <w:pPr>
      <w:pBdr>
        <w:right w:val="single" w:sz="4"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900">
    <w:name w:val="xl52900"/>
    <w:basedOn w:val="a"/>
    <w:rsid w:val="004F40E8"/>
    <w:pPr>
      <w:pBdr>
        <w:right w:val="single" w:sz="4"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901">
    <w:name w:val="xl52901"/>
    <w:basedOn w:val="a"/>
    <w:rsid w:val="004F40E8"/>
    <w:pPr>
      <w:pBdr>
        <w:right w:val="single" w:sz="4"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902">
    <w:name w:val="xl52902"/>
    <w:basedOn w:val="a"/>
    <w:rsid w:val="004F40E8"/>
    <w:pPr>
      <w:pBdr>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03">
    <w:name w:val="xl52903"/>
    <w:basedOn w:val="a"/>
    <w:rsid w:val="004F40E8"/>
    <w:pPr>
      <w:pBdr>
        <w:lef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04">
    <w:name w:val="xl52904"/>
    <w:basedOn w:val="a"/>
    <w:rsid w:val="004F40E8"/>
    <w:pPr>
      <w:pBdr>
        <w:lef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05">
    <w:name w:val="xl52905"/>
    <w:basedOn w:val="a"/>
    <w:rsid w:val="004F40E8"/>
    <w:pPr>
      <w:pBdr>
        <w:lef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06">
    <w:name w:val="xl52906"/>
    <w:basedOn w:val="a"/>
    <w:rsid w:val="004F40E8"/>
    <w:pPr>
      <w:pBdr>
        <w:left w:val="single" w:sz="8" w:space="0" w:color="auto"/>
      </w:pBdr>
      <w:spacing w:before="100" w:beforeAutospacing="1" w:after="100" w:afterAutospacing="1"/>
      <w:jc w:val="center"/>
      <w:textAlignment w:val="center"/>
    </w:pPr>
    <w:rPr>
      <w:rFonts w:ascii="Segoe UI" w:hAnsi="Segoe UI" w:cs="Segoe UI"/>
      <w:b/>
      <w:bCs/>
      <w:sz w:val="16"/>
      <w:szCs w:val="16"/>
    </w:rPr>
  </w:style>
  <w:style w:type="paragraph" w:customStyle="1" w:styleId="xl52907">
    <w:name w:val="xl52907"/>
    <w:basedOn w:val="a"/>
    <w:rsid w:val="004F40E8"/>
    <w:pPr>
      <w:pBdr>
        <w:lef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08">
    <w:name w:val="xl52908"/>
    <w:basedOn w:val="a"/>
    <w:rsid w:val="004F40E8"/>
    <w:pPr>
      <w:pBdr>
        <w:lef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09">
    <w:name w:val="xl52909"/>
    <w:basedOn w:val="a"/>
    <w:rsid w:val="004F40E8"/>
    <w:pPr>
      <w:pBdr>
        <w:left w:val="single" w:sz="8" w:space="0" w:color="auto"/>
      </w:pBdr>
      <w:shd w:val="clear" w:color="000000" w:fill="FFFFFF"/>
      <w:spacing w:before="100" w:beforeAutospacing="1" w:after="100" w:afterAutospacing="1"/>
      <w:jc w:val="center"/>
      <w:textAlignment w:val="center"/>
    </w:pPr>
    <w:rPr>
      <w:rFonts w:ascii="Segoe UI" w:hAnsi="Segoe UI" w:cs="Segoe UI"/>
      <w:b/>
      <w:bCs/>
      <w:sz w:val="16"/>
      <w:szCs w:val="16"/>
    </w:rPr>
  </w:style>
  <w:style w:type="paragraph" w:customStyle="1" w:styleId="xl52910">
    <w:name w:val="xl52910"/>
    <w:basedOn w:val="a"/>
    <w:rsid w:val="004F40E8"/>
    <w:pPr>
      <w:pBdr>
        <w:lef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11">
    <w:name w:val="xl52911"/>
    <w:basedOn w:val="a"/>
    <w:rsid w:val="004F40E8"/>
    <w:pPr>
      <w:pBdr>
        <w:left w:val="single" w:sz="8" w:space="0" w:color="auto"/>
      </w:pBdr>
      <w:spacing w:before="100" w:beforeAutospacing="1" w:after="100" w:afterAutospacing="1"/>
      <w:jc w:val="center"/>
    </w:pPr>
    <w:rPr>
      <w:rFonts w:ascii="Segoe UI" w:hAnsi="Segoe UI" w:cs="Segoe UI"/>
      <w:sz w:val="16"/>
      <w:szCs w:val="16"/>
    </w:rPr>
  </w:style>
  <w:style w:type="paragraph" w:customStyle="1" w:styleId="xl52912">
    <w:name w:val="xl52912"/>
    <w:basedOn w:val="a"/>
    <w:rsid w:val="004F40E8"/>
    <w:pPr>
      <w:pBdr>
        <w:left w:val="single" w:sz="8" w:space="0" w:color="auto"/>
      </w:pBdr>
      <w:spacing w:before="100" w:beforeAutospacing="1" w:after="100" w:afterAutospacing="1"/>
      <w:jc w:val="center"/>
    </w:pPr>
    <w:rPr>
      <w:rFonts w:ascii="Segoe UI" w:hAnsi="Segoe UI" w:cs="Segoe UI"/>
      <w:b/>
      <w:bCs/>
      <w:sz w:val="16"/>
      <w:szCs w:val="16"/>
    </w:rPr>
  </w:style>
  <w:style w:type="paragraph" w:customStyle="1" w:styleId="xl52913">
    <w:name w:val="xl52913"/>
    <w:basedOn w:val="a"/>
    <w:rsid w:val="004F40E8"/>
    <w:pPr>
      <w:pBdr>
        <w:left w:val="single" w:sz="8"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914">
    <w:name w:val="xl52914"/>
    <w:basedOn w:val="a"/>
    <w:rsid w:val="004F40E8"/>
    <w:pPr>
      <w:pBdr>
        <w:left w:val="single" w:sz="8"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915">
    <w:name w:val="xl52915"/>
    <w:basedOn w:val="a"/>
    <w:rsid w:val="004F40E8"/>
    <w:pPr>
      <w:pBdr>
        <w:left w:val="single" w:sz="8"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916">
    <w:name w:val="xl52916"/>
    <w:basedOn w:val="a"/>
    <w:rsid w:val="004F40E8"/>
    <w:pPr>
      <w:pBdr>
        <w:left w:val="single" w:sz="8"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917">
    <w:name w:val="xl52917"/>
    <w:basedOn w:val="a"/>
    <w:rsid w:val="004F40E8"/>
    <w:pPr>
      <w:pBdr>
        <w:left w:val="single" w:sz="8" w:space="0" w:color="auto"/>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18">
    <w:name w:val="xl52918"/>
    <w:basedOn w:val="a"/>
    <w:rsid w:val="004F40E8"/>
    <w:pPr>
      <w:pBdr>
        <w:left w:val="single" w:sz="8"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19">
    <w:name w:val="xl52919"/>
    <w:basedOn w:val="a"/>
    <w:rsid w:val="004F40E8"/>
    <w:pPr>
      <w:pBdr>
        <w:left w:val="single" w:sz="8"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20">
    <w:name w:val="xl52920"/>
    <w:basedOn w:val="a"/>
    <w:rsid w:val="004F40E8"/>
    <w:pPr>
      <w:pBdr>
        <w:left w:val="single" w:sz="8" w:space="0" w:color="auto"/>
        <w:right w:val="single" w:sz="4" w:space="0" w:color="auto"/>
      </w:pBdr>
      <w:spacing w:before="100" w:beforeAutospacing="1" w:after="100" w:afterAutospacing="1"/>
      <w:jc w:val="center"/>
      <w:textAlignment w:val="center"/>
    </w:pPr>
    <w:rPr>
      <w:rFonts w:ascii="Segoe UI" w:hAnsi="Segoe UI" w:cs="Segoe UI"/>
      <w:b/>
      <w:bCs/>
      <w:sz w:val="16"/>
      <w:szCs w:val="16"/>
    </w:rPr>
  </w:style>
  <w:style w:type="paragraph" w:customStyle="1" w:styleId="xl52921">
    <w:name w:val="xl52921"/>
    <w:basedOn w:val="a"/>
    <w:rsid w:val="004F40E8"/>
    <w:pPr>
      <w:pBdr>
        <w:left w:val="single" w:sz="8" w:space="0" w:color="auto"/>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22">
    <w:name w:val="xl52922"/>
    <w:basedOn w:val="a"/>
    <w:rsid w:val="004F40E8"/>
    <w:pPr>
      <w:pBdr>
        <w:left w:val="single" w:sz="8"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23">
    <w:name w:val="xl52923"/>
    <w:basedOn w:val="a"/>
    <w:rsid w:val="004F40E8"/>
    <w:pPr>
      <w:pBdr>
        <w:left w:val="single" w:sz="8" w:space="0" w:color="auto"/>
        <w:right w:val="single" w:sz="4" w:space="0" w:color="auto"/>
      </w:pBdr>
      <w:shd w:val="clear" w:color="000000" w:fill="FFFFFF"/>
      <w:spacing w:before="100" w:beforeAutospacing="1" w:after="100" w:afterAutospacing="1"/>
      <w:jc w:val="center"/>
      <w:textAlignment w:val="center"/>
    </w:pPr>
    <w:rPr>
      <w:rFonts w:ascii="Segoe UI" w:hAnsi="Segoe UI" w:cs="Segoe UI"/>
      <w:b/>
      <w:bCs/>
      <w:sz w:val="16"/>
      <w:szCs w:val="16"/>
    </w:rPr>
  </w:style>
  <w:style w:type="paragraph" w:customStyle="1" w:styleId="xl52924">
    <w:name w:val="xl52924"/>
    <w:basedOn w:val="a"/>
    <w:rsid w:val="004F40E8"/>
    <w:pPr>
      <w:pBdr>
        <w:left w:val="single" w:sz="8" w:space="0" w:color="auto"/>
        <w:right w:val="single" w:sz="4" w:space="0" w:color="auto"/>
      </w:pBdr>
      <w:spacing w:before="100" w:beforeAutospacing="1" w:after="100" w:afterAutospacing="1"/>
      <w:jc w:val="center"/>
      <w:textAlignment w:val="center"/>
    </w:pPr>
    <w:rPr>
      <w:rFonts w:ascii="Segoe UI" w:hAnsi="Segoe UI" w:cs="Segoe UI"/>
      <w:color w:val="FFFFFF"/>
      <w:sz w:val="16"/>
      <w:szCs w:val="16"/>
    </w:rPr>
  </w:style>
  <w:style w:type="paragraph" w:customStyle="1" w:styleId="xl52925">
    <w:name w:val="xl52925"/>
    <w:basedOn w:val="a"/>
    <w:rsid w:val="004F40E8"/>
    <w:pPr>
      <w:pBdr>
        <w:left w:val="single" w:sz="4" w:space="0" w:color="auto"/>
        <w:right w:val="single" w:sz="8" w:space="0" w:color="auto"/>
      </w:pBdr>
      <w:spacing w:before="100" w:beforeAutospacing="1" w:after="100" w:afterAutospacing="1"/>
      <w:jc w:val="center"/>
      <w:textAlignment w:val="center"/>
    </w:pPr>
    <w:rPr>
      <w:rFonts w:ascii="Segoe UI" w:hAnsi="Segoe UI" w:cs="Segoe UI"/>
      <w:color w:val="FFFFFF"/>
      <w:sz w:val="16"/>
      <w:szCs w:val="16"/>
    </w:rPr>
  </w:style>
  <w:style w:type="paragraph" w:customStyle="1" w:styleId="xl52926">
    <w:name w:val="xl52926"/>
    <w:basedOn w:val="a"/>
    <w:rsid w:val="004F40E8"/>
    <w:pPr>
      <w:pBdr>
        <w:left w:val="single" w:sz="8" w:space="0" w:color="auto"/>
        <w:right w:val="single" w:sz="4" w:space="0" w:color="auto"/>
      </w:pBdr>
      <w:spacing w:before="100" w:beforeAutospacing="1" w:after="100" w:afterAutospacing="1"/>
      <w:jc w:val="center"/>
    </w:pPr>
    <w:rPr>
      <w:rFonts w:ascii="Segoe UI" w:hAnsi="Segoe UI" w:cs="Segoe UI"/>
      <w:sz w:val="16"/>
      <w:szCs w:val="16"/>
    </w:rPr>
  </w:style>
  <w:style w:type="paragraph" w:customStyle="1" w:styleId="xl52927">
    <w:name w:val="xl52927"/>
    <w:basedOn w:val="a"/>
    <w:rsid w:val="004F40E8"/>
    <w:pPr>
      <w:pBdr>
        <w:left w:val="single" w:sz="8" w:space="0" w:color="auto"/>
        <w:right w:val="single" w:sz="4" w:space="0" w:color="auto"/>
      </w:pBdr>
      <w:spacing w:before="100" w:beforeAutospacing="1" w:after="100" w:afterAutospacing="1"/>
      <w:jc w:val="center"/>
    </w:pPr>
    <w:rPr>
      <w:rFonts w:ascii="Segoe UI" w:hAnsi="Segoe UI" w:cs="Segoe UI"/>
      <w:b/>
      <w:bCs/>
      <w:sz w:val="16"/>
      <w:szCs w:val="16"/>
    </w:rPr>
  </w:style>
  <w:style w:type="paragraph" w:customStyle="1" w:styleId="xl52928">
    <w:name w:val="xl52928"/>
    <w:basedOn w:val="a"/>
    <w:rsid w:val="004F40E8"/>
    <w:pPr>
      <w:pBdr>
        <w:left w:val="single" w:sz="8" w:space="0" w:color="auto"/>
        <w:right w:val="single" w:sz="4"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929">
    <w:name w:val="xl52929"/>
    <w:basedOn w:val="a"/>
    <w:rsid w:val="004F40E8"/>
    <w:pPr>
      <w:pBdr>
        <w:left w:val="single" w:sz="8" w:space="0" w:color="auto"/>
        <w:right w:val="single" w:sz="4"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930">
    <w:name w:val="xl52930"/>
    <w:basedOn w:val="a"/>
    <w:rsid w:val="004F40E8"/>
    <w:pPr>
      <w:pBdr>
        <w:left w:val="single" w:sz="4" w:space="0" w:color="auto"/>
        <w:right w:val="single" w:sz="8"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931">
    <w:name w:val="xl52931"/>
    <w:basedOn w:val="a"/>
    <w:rsid w:val="004F40E8"/>
    <w:pPr>
      <w:pBdr>
        <w:left w:val="single" w:sz="8" w:space="0" w:color="auto"/>
        <w:right w:val="single" w:sz="4"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932">
    <w:name w:val="xl52932"/>
    <w:basedOn w:val="a"/>
    <w:rsid w:val="004F40E8"/>
    <w:pPr>
      <w:pBdr>
        <w:left w:val="single" w:sz="8" w:space="0" w:color="auto"/>
        <w:right w:val="single" w:sz="4"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933">
    <w:name w:val="xl52933"/>
    <w:basedOn w:val="a"/>
    <w:rsid w:val="004F40E8"/>
    <w:pPr>
      <w:pBdr>
        <w:left w:val="single" w:sz="8" w:space="0" w:color="auto"/>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34">
    <w:name w:val="xl52934"/>
    <w:basedOn w:val="a"/>
    <w:rsid w:val="004F40E8"/>
    <w:pPr>
      <w:pBdr>
        <w:righ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35">
    <w:name w:val="xl52935"/>
    <w:basedOn w:val="a"/>
    <w:rsid w:val="004F40E8"/>
    <w:pPr>
      <w:pBdr>
        <w:lef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36">
    <w:name w:val="xl52936"/>
    <w:basedOn w:val="a"/>
    <w:rsid w:val="004F40E8"/>
    <w:pPr>
      <w:pBdr>
        <w:lef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37">
    <w:name w:val="xl52937"/>
    <w:basedOn w:val="a"/>
    <w:rsid w:val="004F40E8"/>
    <w:pPr>
      <w:pBdr>
        <w:lef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38">
    <w:name w:val="xl52938"/>
    <w:basedOn w:val="a"/>
    <w:rsid w:val="004F40E8"/>
    <w:pPr>
      <w:pBdr>
        <w:left w:val="single" w:sz="4" w:space="0" w:color="auto"/>
      </w:pBdr>
      <w:shd w:val="clear" w:color="000000" w:fill="FFFFFF"/>
      <w:spacing w:before="100" w:beforeAutospacing="1" w:after="100" w:afterAutospacing="1"/>
      <w:jc w:val="center"/>
      <w:textAlignment w:val="center"/>
    </w:pPr>
    <w:rPr>
      <w:rFonts w:ascii="Segoe UI" w:hAnsi="Segoe UI" w:cs="Segoe UI"/>
      <w:b/>
      <w:bCs/>
      <w:sz w:val="16"/>
      <w:szCs w:val="16"/>
    </w:rPr>
  </w:style>
  <w:style w:type="paragraph" w:customStyle="1" w:styleId="xl52939">
    <w:name w:val="xl52939"/>
    <w:basedOn w:val="a"/>
    <w:rsid w:val="004F40E8"/>
    <w:pPr>
      <w:pBdr>
        <w:left w:val="single" w:sz="4" w:space="0" w:color="auto"/>
      </w:pBdr>
      <w:spacing w:before="100" w:beforeAutospacing="1" w:after="100" w:afterAutospacing="1"/>
      <w:jc w:val="center"/>
      <w:textAlignment w:val="center"/>
    </w:pPr>
    <w:rPr>
      <w:rFonts w:ascii="Segoe UI" w:hAnsi="Segoe UI" w:cs="Segoe UI"/>
      <w:color w:val="FFFFFF"/>
      <w:sz w:val="16"/>
      <w:szCs w:val="16"/>
    </w:rPr>
  </w:style>
  <w:style w:type="paragraph" w:customStyle="1" w:styleId="xl52940">
    <w:name w:val="xl52940"/>
    <w:basedOn w:val="a"/>
    <w:rsid w:val="004F40E8"/>
    <w:pPr>
      <w:pBdr>
        <w:left w:val="single" w:sz="4" w:space="0" w:color="auto"/>
      </w:pBdr>
      <w:spacing w:before="100" w:beforeAutospacing="1" w:after="100" w:afterAutospacing="1"/>
      <w:jc w:val="center"/>
    </w:pPr>
    <w:rPr>
      <w:rFonts w:ascii="Segoe UI" w:hAnsi="Segoe UI" w:cs="Segoe UI"/>
      <w:b/>
      <w:bCs/>
      <w:sz w:val="16"/>
      <w:szCs w:val="16"/>
    </w:rPr>
  </w:style>
  <w:style w:type="paragraph" w:customStyle="1" w:styleId="xl52941">
    <w:name w:val="xl52941"/>
    <w:basedOn w:val="a"/>
    <w:rsid w:val="004F40E8"/>
    <w:pPr>
      <w:pBdr>
        <w:left w:val="single" w:sz="4"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942">
    <w:name w:val="xl52942"/>
    <w:basedOn w:val="a"/>
    <w:rsid w:val="004F40E8"/>
    <w:pPr>
      <w:pBdr>
        <w:left w:val="single" w:sz="4"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943">
    <w:name w:val="xl52943"/>
    <w:basedOn w:val="a"/>
    <w:rsid w:val="004F40E8"/>
    <w:pPr>
      <w:pBdr>
        <w:left w:val="single" w:sz="4"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944">
    <w:name w:val="xl52944"/>
    <w:basedOn w:val="a"/>
    <w:rsid w:val="004F40E8"/>
    <w:pPr>
      <w:pBdr>
        <w:left w:val="single" w:sz="4"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945">
    <w:name w:val="xl52945"/>
    <w:basedOn w:val="a"/>
    <w:rsid w:val="004F40E8"/>
    <w:pPr>
      <w:pBdr>
        <w:lef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46">
    <w:name w:val="xl52946"/>
    <w:basedOn w:val="a"/>
    <w:rsid w:val="004F40E8"/>
    <w:pPr>
      <w:pBdr>
        <w:righ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47">
    <w:name w:val="xl52947"/>
    <w:basedOn w:val="a"/>
    <w:rsid w:val="004F40E8"/>
    <w:pPr>
      <w:spacing w:before="100" w:beforeAutospacing="1" w:after="100" w:afterAutospacing="1"/>
      <w:jc w:val="center"/>
      <w:textAlignment w:val="center"/>
    </w:pPr>
    <w:rPr>
      <w:rFonts w:ascii="Segoe UI" w:hAnsi="Segoe UI" w:cs="Segoe UI"/>
      <w:sz w:val="16"/>
      <w:szCs w:val="16"/>
    </w:rPr>
  </w:style>
  <w:style w:type="paragraph" w:customStyle="1" w:styleId="xl52948">
    <w:name w:val="xl52948"/>
    <w:basedOn w:val="a"/>
    <w:rsid w:val="004F40E8"/>
    <w:pPr>
      <w:pBdr>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49">
    <w:name w:val="xl52949"/>
    <w:basedOn w:val="a"/>
    <w:rsid w:val="004F40E8"/>
    <w:pPr>
      <w:pBdr>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50">
    <w:name w:val="xl52950"/>
    <w:basedOn w:val="a"/>
    <w:rsid w:val="004F40E8"/>
    <w:pPr>
      <w:pBdr>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51">
    <w:name w:val="xl52951"/>
    <w:basedOn w:val="a"/>
    <w:rsid w:val="004F40E8"/>
    <w:pPr>
      <w:pBdr>
        <w:right w:val="single" w:sz="8" w:space="0" w:color="auto"/>
      </w:pBdr>
      <w:shd w:val="clear" w:color="000000" w:fill="FFFFFF"/>
      <w:spacing w:before="100" w:beforeAutospacing="1" w:after="100" w:afterAutospacing="1"/>
      <w:jc w:val="center"/>
      <w:textAlignment w:val="center"/>
    </w:pPr>
    <w:rPr>
      <w:rFonts w:ascii="Segoe UI" w:hAnsi="Segoe UI" w:cs="Segoe UI"/>
      <w:b/>
      <w:bCs/>
      <w:sz w:val="16"/>
      <w:szCs w:val="16"/>
    </w:rPr>
  </w:style>
  <w:style w:type="paragraph" w:customStyle="1" w:styleId="xl52952">
    <w:name w:val="xl52952"/>
    <w:basedOn w:val="a"/>
    <w:rsid w:val="004F40E8"/>
    <w:pPr>
      <w:pBdr>
        <w:right w:val="single" w:sz="8" w:space="0" w:color="auto"/>
      </w:pBdr>
      <w:spacing w:before="100" w:beforeAutospacing="1" w:after="100" w:afterAutospacing="1"/>
      <w:jc w:val="center"/>
      <w:textAlignment w:val="center"/>
    </w:pPr>
    <w:rPr>
      <w:rFonts w:ascii="Segoe UI" w:hAnsi="Segoe UI" w:cs="Segoe UI"/>
      <w:b/>
      <w:bCs/>
      <w:sz w:val="16"/>
      <w:szCs w:val="16"/>
    </w:rPr>
  </w:style>
  <w:style w:type="paragraph" w:customStyle="1" w:styleId="xl52953">
    <w:name w:val="xl52953"/>
    <w:basedOn w:val="a"/>
    <w:rsid w:val="004F40E8"/>
    <w:pP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54">
    <w:name w:val="xl52954"/>
    <w:basedOn w:val="a"/>
    <w:rsid w:val="004F40E8"/>
    <w:pPr>
      <w:spacing w:before="100" w:beforeAutospacing="1" w:after="100" w:afterAutospacing="1"/>
      <w:jc w:val="center"/>
      <w:textAlignment w:val="center"/>
    </w:pPr>
    <w:rPr>
      <w:rFonts w:ascii="Segoe UI" w:hAnsi="Segoe UI" w:cs="Segoe UI"/>
      <w:b/>
      <w:bCs/>
      <w:sz w:val="16"/>
      <w:szCs w:val="16"/>
    </w:rPr>
  </w:style>
  <w:style w:type="paragraph" w:customStyle="1" w:styleId="xl52955">
    <w:name w:val="xl52955"/>
    <w:basedOn w:val="a"/>
    <w:rsid w:val="004F40E8"/>
    <w:pPr>
      <w:pBdr>
        <w:righ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56">
    <w:name w:val="xl52956"/>
    <w:basedOn w:val="a"/>
    <w:rsid w:val="004F40E8"/>
    <w:pPr>
      <w:pBdr>
        <w:right w:val="single" w:sz="8" w:space="0" w:color="auto"/>
      </w:pBdr>
      <w:spacing w:before="100" w:beforeAutospacing="1" w:after="100" w:afterAutospacing="1"/>
      <w:jc w:val="center"/>
    </w:pPr>
    <w:rPr>
      <w:rFonts w:ascii="Segoe UI" w:hAnsi="Segoe UI" w:cs="Segoe UI"/>
      <w:sz w:val="16"/>
      <w:szCs w:val="16"/>
    </w:rPr>
  </w:style>
  <w:style w:type="paragraph" w:customStyle="1" w:styleId="xl52957">
    <w:name w:val="xl52957"/>
    <w:basedOn w:val="a"/>
    <w:rsid w:val="004F40E8"/>
    <w:pPr>
      <w:spacing w:before="100" w:beforeAutospacing="1" w:after="100" w:afterAutospacing="1"/>
      <w:jc w:val="center"/>
    </w:pPr>
    <w:rPr>
      <w:rFonts w:ascii="Segoe UI" w:hAnsi="Segoe UI" w:cs="Segoe UI"/>
      <w:sz w:val="16"/>
      <w:szCs w:val="16"/>
    </w:rPr>
  </w:style>
  <w:style w:type="paragraph" w:customStyle="1" w:styleId="xl52958">
    <w:name w:val="xl52958"/>
    <w:basedOn w:val="a"/>
    <w:rsid w:val="004F40E8"/>
    <w:pPr>
      <w:pBdr>
        <w:right w:val="single" w:sz="8" w:space="0" w:color="auto"/>
      </w:pBdr>
      <w:spacing w:before="100" w:beforeAutospacing="1" w:after="100" w:afterAutospacing="1"/>
      <w:jc w:val="center"/>
    </w:pPr>
    <w:rPr>
      <w:rFonts w:ascii="Segoe UI" w:hAnsi="Segoe UI" w:cs="Segoe UI"/>
      <w:b/>
      <w:bCs/>
      <w:sz w:val="16"/>
      <w:szCs w:val="16"/>
    </w:rPr>
  </w:style>
  <w:style w:type="paragraph" w:customStyle="1" w:styleId="xl52959">
    <w:name w:val="xl52959"/>
    <w:basedOn w:val="a"/>
    <w:rsid w:val="004F40E8"/>
    <w:pPr>
      <w:pBdr>
        <w:right w:val="single" w:sz="8"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960">
    <w:name w:val="xl52960"/>
    <w:basedOn w:val="a"/>
    <w:rsid w:val="004F40E8"/>
    <w:pPr>
      <w:pBdr>
        <w:right w:val="single" w:sz="8"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961">
    <w:name w:val="xl52961"/>
    <w:basedOn w:val="a"/>
    <w:rsid w:val="004F40E8"/>
    <w:pPr>
      <w:pBdr>
        <w:right w:val="single" w:sz="8"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962">
    <w:name w:val="xl52962"/>
    <w:basedOn w:val="a"/>
    <w:rsid w:val="004F40E8"/>
    <w:pPr>
      <w:pBdr>
        <w:top w:val="single" w:sz="8" w:space="0" w:color="auto"/>
        <w:bottom w:val="single" w:sz="8" w:space="0" w:color="auto"/>
      </w:pBdr>
      <w:shd w:val="clear" w:color="000000" w:fill="A5A5A5"/>
      <w:spacing w:before="100" w:beforeAutospacing="1" w:after="100" w:afterAutospacing="1"/>
      <w:textAlignment w:val="center"/>
    </w:pPr>
    <w:rPr>
      <w:rFonts w:ascii="Segoe UI" w:hAnsi="Segoe UI" w:cs="Segoe UI"/>
      <w:sz w:val="16"/>
      <w:szCs w:val="16"/>
    </w:rPr>
  </w:style>
  <w:style w:type="paragraph" w:customStyle="1" w:styleId="xl52963">
    <w:name w:val="xl52963"/>
    <w:basedOn w:val="a"/>
    <w:rsid w:val="004F40E8"/>
    <w:pP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64">
    <w:name w:val="xl52964"/>
    <w:basedOn w:val="a"/>
    <w:rsid w:val="004F40E8"/>
    <w:pPr>
      <w:shd w:val="clear" w:color="000000" w:fill="FFFFFF"/>
      <w:spacing w:before="100" w:beforeAutospacing="1" w:after="100" w:afterAutospacing="1"/>
      <w:jc w:val="center"/>
    </w:pPr>
    <w:rPr>
      <w:rFonts w:ascii="Segoe UI" w:hAnsi="Segoe UI" w:cs="Segoe UI"/>
      <w:b/>
      <w:bCs/>
      <w:sz w:val="16"/>
      <w:szCs w:val="16"/>
    </w:rPr>
  </w:style>
  <w:style w:type="paragraph" w:customStyle="1" w:styleId="xl52965">
    <w:name w:val="xl52965"/>
    <w:basedOn w:val="a"/>
    <w:rsid w:val="004F40E8"/>
    <w:pPr>
      <w:pBdr>
        <w:right w:val="single" w:sz="8"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966">
    <w:name w:val="xl52966"/>
    <w:basedOn w:val="a"/>
    <w:rsid w:val="004F40E8"/>
    <w:pPr>
      <w:spacing w:before="100" w:beforeAutospacing="1" w:after="100" w:afterAutospacing="1"/>
      <w:jc w:val="center"/>
      <w:textAlignment w:val="center"/>
    </w:pPr>
    <w:rPr>
      <w:rFonts w:ascii="Segoe UI" w:hAnsi="Segoe UI" w:cs="Segoe UI"/>
      <w:sz w:val="16"/>
      <w:szCs w:val="16"/>
    </w:rPr>
  </w:style>
  <w:style w:type="paragraph" w:customStyle="1" w:styleId="xl52967">
    <w:name w:val="xl52967"/>
    <w:basedOn w:val="a"/>
    <w:rsid w:val="004F40E8"/>
    <w:pP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68">
    <w:name w:val="xl52968"/>
    <w:basedOn w:val="a"/>
    <w:rsid w:val="004F40E8"/>
    <w:pPr>
      <w:shd w:val="clear" w:color="000000" w:fill="FFFFFF"/>
      <w:spacing w:before="100" w:beforeAutospacing="1" w:after="100" w:afterAutospacing="1"/>
      <w:jc w:val="center"/>
      <w:textAlignment w:val="center"/>
    </w:pPr>
    <w:rPr>
      <w:rFonts w:ascii="Segoe UI" w:hAnsi="Segoe UI" w:cs="Segoe UI"/>
      <w:b/>
      <w:bCs/>
      <w:sz w:val="16"/>
      <w:szCs w:val="16"/>
    </w:rPr>
  </w:style>
  <w:style w:type="paragraph" w:customStyle="1" w:styleId="xl52969">
    <w:name w:val="xl52969"/>
    <w:basedOn w:val="a"/>
    <w:rsid w:val="004F40E8"/>
    <w:pPr>
      <w:spacing w:before="100" w:beforeAutospacing="1" w:after="100" w:afterAutospacing="1"/>
      <w:jc w:val="center"/>
    </w:pPr>
    <w:rPr>
      <w:rFonts w:ascii="Segoe UI" w:hAnsi="Segoe UI" w:cs="Segoe UI"/>
      <w:b/>
      <w:bCs/>
      <w:sz w:val="16"/>
      <w:szCs w:val="16"/>
    </w:rPr>
  </w:style>
  <w:style w:type="paragraph" w:customStyle="1" w:styleId="xl52970">
    <w:name w:val="xl52970"/>
    <w:basedOn w:val="a"/>
    <w:rsid w:val="004F40E8"/>
    <w:pP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971">
    <w:name w:val="xl52971"/>
    <w:basedOn w:val="a"/>
    <w:rsid w:val="004F40E8"/>
    <w:pPr>
      <w:shd w:val="clear" w:color="000000" w:fill="FFFFFF"/>
      <w:spacing w:before="100" w:beforeAutospacing="1" w:after="100" w:afterAutospacing="1"/>
      <w:jc w:val="center"/>
    </w:pPr>
    <w:rPr>
      <w:rFonts w:ascii="Segoe UI" w:hAnsi="Segoe UI" w:cs="Segoe UI"/>
      <w:b/>
      <w:bCs/>
      <w:sz w:val="16"/>
      <w:szCs w:val="16"/>
    </w:rPr>
  </w:style>
  <w:style w:type="paragraph" w:customStyle="1" w:styleId="xl52972">
    <w:name w:val="xl52972"/>
    <w:basedOn w:val="a"/>
    <w:rsid w:val="004F40E8"/>
    <w:pP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973">
    <w:name w:val="xl52973"/>
    <w:basedOn w:val="a"/>
    <w:rsid w:val="004F40E8"/>
    <w:pPr>
      <w:pBdr>
        <w:bottom w:val="single" w:sz="8" w:space="0" w:color="auto"/>
      </w:pBdr>
      <w:shd w:val="clear" w:color="000000" w:fill="A5A5A5"/>
      <w:spacing w:before="100" w:beforeAutospacing="1" w:after="100" w:afterAutospacing="1"/>
      <w:textAlignment w:val="center"/>
    </w:pPr>
    <w:rPr>
      <w:rFonts w:ascii="Segoe UI" w:hAnsi="Segoe UI" w:cs="Segoe UI"/>
      <w:sz w:val="16"/>
      <w:szCs w:val="16"/>
    </w:rPr>
  </w:style>
  <w:style w:type="paragraph" w:customStyle="1" w:styleId="xl52974">
    <w:name w:val="xl52974"/>
    <w:basedOn w:val="a"/>
    <w:rsid w:val="004F40E8"/>
    <w:pPr>
      <w:spacing w:before="100" w:beforeAutospacing="1" w:after="100" w:afterAutospacing="1"/>
      <w:jc w:val="center"/>
      <w:textAlignment w:val="center"/>
    </w:pPr>
    <w:rPr>
      <w:rFonts w:ascii="Segoe UI" w:hAnsi="Segoe UI" w:cs="Segoe UI"/>
      <w:color w:val="FFFFFF"/>
      <w:sz w:val="16"/>
      <w:szCs w:val="16"/>
    </w:rPr>
  </w:style>
  <w:style w:type="paragraph" w:customStyle="1" w:styleId="xl52975">
    <w:name w:val="xl52975"/>
    <w:basedOn w:val="a"/>
    <w:rsid w:val="004F40E8"/>
    <w:pPr>
      <w:pBdr>
        <w:top w:val="single" w:sz="8" w:space="0" w:color="auto"/>
        <w:left w:val="single" w:sz="8"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76">
    <w:name w:val="xl52976"/>
    <w:basedOn w:val="a"/>
    <w:rsid w:val="004F40E8"/>
    <w:pPr>
      <w:pBdr>
        <w:top w:val="single" w:sz="8" w:space="0" w:color="auto"/>
        <w:left w:val="single" w:sz="4" w:space="0" w:color="auto"/>
        <w:bottom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77">
    <w:name w:val="xl52977"/>
    <w:basedOn w:val="a"/>
    <w:rsid w:val="004F40E8"/>
    <w:pPr>
      <w:pBdr>
        <w:top w:val="single" w:sz="8" w:space="0" w:color="auto"/>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78">
    <w:name w:val="xl52978"/>
    <w:basedOn w:val="a"/>
    <w:rsid w:val="004F40E8"/>
    <w:pPr>
      <w:pBdr>
        <w:top w:val="single" w:sz="8" w:space="0" w:color="auto"/>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color w:val="C00000"/>
      <w:sz w:val="16"/>
      <w:szCs w:val="16"/>
    </w:rPr>
  </w:style>
  <w:style w:type="paragraph" w:customStyle="1" w:styleId="xl52979">
    <w:name w:val="xl52979"/>
    <w:basedOn w:val="a"/>
    <w:rsid w:val="004F40E8"/>
    <w:pPr>
      <w:pBdr>
        <w:top w:val="single" w:sz="8" w:space="0" w:color="auto"/>
        <w:bottom w:val="single" w:sz="8" w:space="0" w:color="auto"/>
      </w:pBdr>
      <w:shd w:val="clear" w:color="000000" w:fill="A5A5A5"/>
      <w:spacing w:before="100" w:beforeAutospacing="1" w:after="100" w:afterAutospacing="1"/>
      <w:jc w:val="center"/>
      <w:textAlignment w:val="center"/>
    </w:pPr>
    <w:rPr>
      <w:rFonts w:ascii="Segoe UI" w:hAnsi="Segoe UI" w:cs="Segoe UI"/>
      <w:b/>
      <w:bCs/>
      <w:color w:val="C00000"/>
      <w:sz w:val="16"/>
      <w:szCs w:val="16"/>
    </w:rPr>
  </w:style>
  <w:style w:type="paragraph" w:customStyle="1" w:styleId="xl52980">
    <w:name w:val="xl52980"/>
    <w:basedOn w:val="a"/>
    <w:rsid w:val="004F40E8"/>
    <w:pPr>
      <w:pBdr>
        <w:top w:val="single" w:sz="8" w:space="0" w:color="auto"/>
        <w:left w:val="single" w:sz="4" w:space="0" w:color="auto"/>
        <w:bottom w:val="single" w:sz="8" w:space="0" w:color="auto"/>
        <w:right w:val="single" w:sz="8" w:space="0" w:color="auto"/>
      </w:pBdr>
      <w:shd w:val="clear" w:color="000000" w:fill="A5A5A5"/>
      <w:spacing w:before="100" w:beforeAutospacing="1" w:after="100" w:afterAutospacing="1"/>
      <w:jc w:val="center"/>
      <w:textAlignment w:val="center"/>
    </w:pPr>
    <w:rPr>
      <w:rFonts w:ascii="Segoe UI" w:hAnsi="Segoe UI" w:cs="Segoe UI"/>
      <w:b/>
      <w:bCs/>
      <w:color w:val="C00000"/>
      <w:sz w:val="16"/>
      <w:szCs w:val="16"/>
    </w:rPr>
  </w:style>
  <w:style w:type="paragraph" w:customStyle="1" w:styleId="xl52981">
    <w:name w:val="xl52981"/>
    <w:basedOn w:val="a"/>
    <w:rsid w:val="004F40E8"/>
    <w:pPr>
      <w:pBdr>
        <w:top w:val="single" w:sz="8"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82">
    <w:name w:val="xl52982"/>
    <w:basedOn w:val="a"/>
    <w:rsid w:val="004F40E8"/>
    <w:pPr>
      <w:pBdr>
        <w:top w:val="single" w:sz="8" w:space="0" w:color="auto"/>
        <w:bottom w:val="single" w:sz="8" w:space="0" w:color="auto"/>
        <w:right w:val="single" w:sz="8" w:space="0" w:color="auto"/>
      </w:pBdr>
      <w:shd w:val="clear" w:color="000000" w:fill="A5A5A5"/>
      <w:spacing w:before="100" w:beforeAutospacing="1" w:after="100" w:afterAutospacing="1"/>
      <w:jc w:val="center"/>
      <w:textAlignment w:val="center"/>
    </w:pPr>
    <w:rPr>
      <w:rFonts w:ascii="Segoe UI" w:hAnsi="Segoe UI" w:cs="Segoe UI"/>
      <w:b/>
      <w:bCs/>
      <w:color w:val="C00000"/>
      <w:sz w:val="16"/>
      <w:szCs w:val="16"/>
    </w:rPr>
  </w:style>
  <w:style w:type="paragraph" w:customStyle="1" w:styleId="xl52983">
    <w:name w:val="xl52983"/>
    <w:basedOn w:val="a"/>
    <w:rsid w:val="004F40E8"/>
    <w:pPr>
      <w:pBdr>
        <w:right w:val="single" w:sz="8" w:space="0" w:color="auto"/>
      </w:pBdr>
      <w:spacing w:before="100" w:beforeAutospacing="1" w:after="100" w:afterAutospacing="1"/>
      <w:jc w:val="center"/>
      <w:textAlignment w:val="center"/>
    </w:pPr>
    <w:rPr>
      <w:rFonts w:ascii="Segoe UI" w:hAnsi="Segoe UI" w:cs="Segoe UI"/>
      <w:color w:val="FFFFFF"/>
      <w:sz w:val="16"/>
      <w:szCs w:val="16"/>
    </w:rPr>
  </w:style>
  <w:style w:type="paragraph" w:customStyle="1" w:styleId="xl52984">
    <w:name w:val="xl52984"/>
    <w:basedOn w:val="a"/>
    <w:rsid w:val="004F40E8"/>
    <w:pPr>
      <w:pBdr>
        <w:left w:val="single" w:sz="8" w:space="0" w:color="auto"/>
      </w:pBdr>
      <w:shd w:val="clear" w:color="000000" w:fill="A5A5A5"/>
      <w:spacing w:before="100" w:beforeAutospacing="1" w:after="100" w:afterAutospacing="1"/>
    </w:pPr>
    <w:rPr>
      <w:rFonts w:ascii="Segoe UI" w:hAnsi="Segoe UI" w:cs="Segoe UI"/>
      <w:b/>
      <w:bCs/>
      <w:sz w:val="16"/>
      <w:szCs w:val="16"/>
    </w:rPr>
  </w:style>
  <w:style w:type="paragraph" w:customStyle="1" w:styleId="xl52985">
    <w:name w:val="xl52985"/>
    <w:basedOn w:val="a"/>
    <w:rsid w:val="004F40E8"/>
    <w:pPr>
      <w:pBdr>
        <w:left w:val="single" w:sz="8"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86">
    <w:name w:val="xl52986"/>
    <w:basedOn w:val="a"/>
    <w:rsid w:val="004F40E8"/>
    <w:pPr>
      <w:pBdr>
        <w:left w:val="single" w:sz="8" w:space="0" w:color="auto"/>
        <w:righ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87">
    <w:name w:val="xl52987"/>
    <w:basedOn w:val="a"/>
    <w:rsid w:val="004F40E8"/>
    <w:pPr>
      <w:pBdr>
        <w:lef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88">
    <w:name w:val="xl52988"/>
    <w:basedOn w:val="a"/>
    <w:rsid w:val="004F40E8"/>
    <w:pPr>
      <w:pBdr>
        <w:left w:val="single" w:sz="4" w:space="0" w:color="auto"/>
        <w:righ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89">
    <w:name w:val="xl52989"/>
    <w:basedOn w:val="a"/>
    <w:rsid w:val="004F40E8"/>
    <w:pPr>
      <w:pBdr>
        <w:right w:val="single" w:sz="8"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90">
    <w:name w:val="xl52990"/>
    <w:basedOn w:val="a"/>
    <w:rsid w:val="004F40E8"/>
    <w:pPr>
      <w:pBdr>
        <w:righ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91">
    <w:name w:val="xl52991"/>
    <w:basedOn w:val="a"/>
    <w:rsid w:val="004F40E8"/>
    <w:pPr>
      <w:shd w:val="clear" w:color="000000" w:fill="A5A5A5"/>
      <w:spacing w:before="100" w:beforeAutospacing="1" w:after="100" w:afterAutospacing="1"/>
      <w:jc w:val="center"/>
    </w:pPr>
    <w:rPr>
      <w:rFonts w:ascii="Segoe UI" w:hAnsi="Segoe UI" w:cs="Segoe UI"/>
      <w:b/>
      <w:bCs/>
      <w:sz w:val="16"/>
      <w:szCs w:val="16"/>
    </w:rPr>
  </w:style>
  <w:style w:type="paragraph" w:customStyle="1" w:styleId="xl52992">
    <w:name w:val="xl52992"/>
    <w:basedOn w:val="a"/>
    <w:rsid w:val="004F40E8"/>
    <w:pPr>
      <w:pBdr>
        <w:left w:val="single" w:sz="4" w:space="0" w:color="auto"/>
        <w:right w:val="single" w:sz="8"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93">
    <w:name w:val="xl52993"/>
    <w:basedOn w:val="a"/>
    <w:rsid w:val="004F40E8"/>
    <w:pPr>
      <w:pBdr>
        <w:left w:val="single" w:sz="8"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94">
    <w:name w:val="xl52994"/>
    <w:basedOn w:val="a"/>
    <w:rsid w:val="004F40E8"/>
    <w:pPr>
      <w:pBdr>
        <w:left w:val="single" w:sz="8" w:space="0" w:color="auto"/>
        <w:righ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95">
    <w:name w:val="xl52995"/>
    <w:basedOn w:val="a"/>
    <w:rsid w:val="004F40E8"/>
    <w:pPr>
      <w:pBdr>
        <w:lef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96">
    <w:name w:val="xl52996"/>
    <w:basedOn w:val="a"/>
    <w:rsid w:val="004F40E8"/>
    <w:pPr>
      <w:pBdr>
        <w:left w:val="single" w:sz="4" w:space="0" w:color="auto"/>
        <w:righ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97">
    <w:name w:val="xl52997"/>
    <w:basedOn w:val="a"/>
    <w:rsid w:val="004F40E8"/>
    <w:pPr>
      <w:pBdr>
        <w:right w:val="single" w:sz="8"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98">
    <w:name w:val="xl52998"/>
    <w:basedOn w:val="a"/>
    <w:rsid w:val="004F40E8"/>
    <w:pPr>
      <w:pBdr>
        <w:righ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99">
    <w:name w:val="xl52999"/>
    <w:basedOn w:val="a"/>
    <w:rsid w:val="004F40E8"/>
    <w:pPr>
      <w:shd w:val="clear" w:color="000000" w:fill="A5A5A5"/>
      <w:spacing w:before="100" w:beforeAutospacing="1" w:after="100" w:afterAutospacing="1"/>
      <w:jc w:val="center"/>
    </w:pPr>
    <w:rPr>
      <w:rFonts w:ascii="Segoe UI" w:hAnsi="Segoe UI" w:cs="Segoe UI"/>
      <w:b/>
      <w:bCs/>
      <w:sz w:val="16"/>
      <w:szCs w:val="16"/>
    </w:rPr>
  </w:style>
  <w:style w:type="paragraph" w:customStyle="1" w:styleId="xl53000">
    <w:name w:val="xl53000"/>
    <w:basedOn w:val="a"/>
    <w:rsid w:val="004F40E8"/>
    <w:pPr>
      <w:pBdr>
        <w:left w:val="single" w:sz="4" w:space="0" w:color="auto"/>
        <w:right w:val="single" w:sz="8"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3001">
    <w:name w:val="xl53001"/>
    <w:basedOn w:val="a"/>
    <w:rsid w:val="004F40E8"/>
    <w:pPr>
      <w:pBdr>
        <w:left w:val="single" w:sz="8"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3002">
    <w:name w:val="xl53002"/>
    <w:basedOn w:val="a"/>
    <w:rsid w:val="004F40E8"/>
    <w:pPr>
      <w:pBdr>
        <w:left w:val="single" w:sz="8" w:space="0" w:color="auto"/>
        <w:righ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3003">
    <w:name w:val="xl53003"/>
    <w:basedOn w:val="a"/>
    <w:rsid w:val="004F40E8"/>
    <w:pPr>
      <w:pBdr>
        <w:lef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3004">
    <w:name w:val="xl53004"/>
    <w:basedOn w:val="a"/>
    <w:rsid w:val="004F40E8"/>
    <w:pPr>
      <w:pBdr>
        <w:left w:val="single" w:sz="4" w:space="0" w:color="auto"/>
        <w:righ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3005">
    <w:name w:val="xl53005"/>
    <w:basedOn w:val="a"/>
    <w:rsid w:val="004F40E8"/>
    <w:pPr>
      <w:pBdr>
        <w:right w:val="single" w:sz="8"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3006">
    <w:name w:val="xl53006"/>
    <w:basedOn w:val="a"/>
    <w:rsid w:val="004F40E8"/>
    <w:pPr>
      <w:pBdr>
        <w:righ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3007">
    <w:name w:val="xl53007"/>
    <w:basedOn w:val="a"/>
    <w:rsid w:val="004F40E8"/>
    <w:pPr>
      <w:shd w:val="clear" w:color="000000" w:fill="A5A5A5"/>
      <w:spacing w:before="100" w:beforeAutospacing="1" w:after="100" w:afterAutospacing="1"/>
      <w:jc w:val="center"/>
    </w:pPr>
    <w:rPr>
      <w:rFonts w:ascii="Segoe UI" w:hAnsi="Segoe UI" w:cs="Segoe UI"/>
      <w:b/>
      <w:bCs/>
      <w:sz w:val="16"/>
      <w:szCs w:val="16"/>
    </w:rPr>
  </w:style>
  <w:style w:type="paragraph" w:customStyle="1" w:styleId="xl53008">
    <w:name w:val="xl53008"/>
    <w:basedOn w:val="a"/>
    <w:rsid w:val="004F40E8"/>
    <w:pPr>
      <w:pBdr>
        <w:left w:val="single" w:sz="4" w:space="0" w:color="auto"/>
        <w:right w:val="single" w:sz="8"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3009">
    <w:name w:val="xl53009"/>
    <w:basedOn w:val="a"/>
    <w:rsid w:val="004F40E8"/>
    <w:pPr>
      <w:pBdr>
        <w:lef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10">
    <w:name w:val="xl53010"/>
    <w:basedOn w:val="a"/>
    <w:rsid w:val="004F40E8"/>
    <w:pPr>
      <w:pBdr>
        <w:left w:val="single" w:sz="8"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11">
    <w:name w:val="xl53011"/>
    <w:basedOn w:val="a"/>
    <w:rsid w:val="004F40E8"/>
    <w:pPr>
      <w:pBdr>
        <w:lef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12">
    <w:name w:val="xl53012"/>
    <w:basedOn w:val="a"/>
    <w:rsid w:val="004F40E8"/>
    <w:pPr>
      <w:pBdr>
        <w:left w:val="single" w:sz="4"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13">
    <w:name w:val="xl53013"/>
    <w:basedOn w:val="a"/>
    <w:rsid w:val="004F40E8"/>
    <w:pPr>
      <w:pBdr>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14">
    <w:name w:val="xl53014"/>
    <w:basedOn w:val="a"/>
    <w:rsid w:val="004F40E8"/>
    <w:pPr>
      <w:pBdr>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15">
    <w:name w:val="xl53015"/>
    <w:basedOn w:val="a"/>
    <w:rsid w:val="004F40E8"/>
    <w:pP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16">
    <w:name w:val="xl53016"/>
    <w:basedOn w:val="a"/>
    <w:rsid w:val="004F40E8"/>
    <w:pPr>
      <w:pBdr>
        <w:left w:val="single" w:sz="4" w:space="0" w:color="auto"/>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17">
    <w:name w:val="xl53017"/>
    <w:basedOn w:val="a"/>
    <w:rsid w:val="004F40E8"/>
    <w:pPr>
      <w:pBdr>
        <w:left w:val="single" w:sz="8" w:space="0" w:color="auto"/>
        <w:bottom w:val="single" w:sz="8" w:space="0" w:color="auto"/>
      </w:pBdr>
      <w:shd w:val="clear" w:color="000000" w:fill="A5A5A5"/>
      <w:spacing w:before="100" w:beforeAutospacing="1" w:after="100" w:afterAutospacing="1"/>
      <w:textAlignment w:val="center"/>
    </w:pPr>
    <w:rPr>
      <w:rFonts w:ascii="Segoe UI" w:hAnsi="Segoe UI" w:cs="Segoe UI"/>
      <w:b/>
      <w:bCs/>
      <w:sz w:val="16"/>
      <w:szCs w:val="16"/>
    </w:rPr>
  </w:style>
  <w:style w:type="paragraph" w:customStyle="1" w:styleId="xl53018">
    <w:name w:val="xl53018"/>
    <w:basedOn w:val="a"/>
    <w:rsid w:val="004F40E8"/>
    <w:pPr>
      <w:pBdr>
        <w:left w:val="single" w:sz="8" w:space="0" w:color="auto"/>
        <w:bottom w:val="single" w:sz="8" w:space="0" w:color="auto"/>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19">
    <w:name w:val="xl53019"/>
    <w:basedOn w:val="a"/>
    <w:rsid w:val="004F40E8"/>
    <w:pPr>
      <w:pBdr>
        <w:left w:val="single" w:sz="8"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20">
    <w:name w:val="xl53020"/>
    <w:basedOn w:val="a"/>
    <w:rsid w:val="004F40E8"/>
    <w:pPr>
      <w:pBdr>
        <w:left w:val="single" w:sz="4" w:space="0" w:color="auto"/>
        <w:bottom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21">
    <w:name w:val="xl53021"/>
    <w:basedOn w:val="a"/>
    <w:rsid w:val="004F40E8"/>
    <w:pPr>
      <w:pBdr>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22">
    <w:name w:val="xl53022"/>
    <w:basedOn w:val="a"/>
    <w:rsid w:val="004F40E8"/>
    <w:pPr>
      <w:pBdr>
        <w:bottom w:val="single" w:sz="8" w:space="0" w:color="auto"/>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23">
    <w:name w:val="xl53023"/>
    <w:basedOn w:val="a"/>
    <w:rsid w:val="004F40E8"/>
    <w:pPr>
      <w:pBdr>
        <w:bottom w:val="single" w:sz="8"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24">
    <w:name w:val="xl53024"/>
    <w:basedOn w:val="a"/>
    <w:rsid w:val="004F40E8"/>
    <w:pPr>
      <w:pBdr>
        <w:bottom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25">
    <w:name w:val="xl53025"/>
    <w:basedOn w:val="a"/>
    <w:rsid w:val="004F40E8"/>
    <w:pPr>
      <w:pBdr>
        <w:left w:val="single" w:sz="4" w:space="0" w:color="auto"/>
        <w:bottom w:val="single" w:sz="8" w:space="0" w:color="auto"/>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26">
    <w:name w:val="xl53026"/>
    <w:basedOn w:val="a"/>
    <w:rsid w:val="004F40E8"/>
    <w:pPr>
      <w:pBdr>
        <w:left w:val="single" w:sz="8" w:space="0" w:color="auto"/>
      </w:pBdr>
      <w:shd w:val="clear" w:color="000000" w:fill="A5A5A5"/>
      <w:spacing w:before="100" w:beforeAutospacing="1" w:after="100" w:afterAutospacing="1"/>
      <w:textAlignment w:val="center"/>
    </w:pPr>
    <w:rPr>
      <w:rFonts w:ascii="Segoe UI" w:hAnsi="Segoe UI" w:cs="Segoe UI"/>
      <w:b/>
      <w:bCs/>
      <w:sz w:val="16"/>
      <w:szCs w:val="16"/>
    </w:rPr>
  </w:style>
  <w:style w:type="paragraph" w:customStyle="1" w:styleId="xl53027">
    <w:name w:val="xl53027"/>
    <w:basedOn w:val="a"/>
    <w:rsid w:val="004F40E8"/>
    <w:pPr>
      <w:pBdr>
        <w:left w:val="single" w:sz="4" w:space="0" w:color="auto"/>
        <w:right w:val="single" w:sz="4" w:space="0" w:color="auto"/>
      </w:pBdr>
      <w:spacing w:before="100" w:beforeAutospacing="1" w:after="100" w:afterAutospacing="1"/>
      <w:textAlignment w:val="center"/>
    </w:pPr>
    <w:rPr>
      <w:rFonts w:ascii="Segoe UI" w:hAnsi="Segoe UI" w:cs="Segoe UI"/>
      <w:sz w:val="16"/>
      <w:szCs w:val="16"/>
    </w:rPr>
  </w:style>
  <w:style w:type="paragraph" w:customStyle="1" w:styleId="xl53028">
    <w:name w:val="xl53028"/>
    <w:basedOn w:val="a"/>
    <w:rsid w:val="004F40E8"/>
    <w:pPr>
      <w:pBdr>
        <w:left w:val="single" w:sz="8" w:space="0" w:color="auto"/>
      </w:pBdr>
      <w:spacing w:before="100" w:beforeAutospacing="1" w:after="100" w:afterAutospacing="1"/>
      <w:textAlignment w:val="center"/>
    </w:pPr>
    <w:rPr>
      <w:rFonts w:ascii="Segoe UI" w:hAnsi="Segoe UI" w:cs="Segoe UI"/>
      <w:color w:val="FFFFFF"/>
      <w:sz w:val="16"/>
      <w:szCs w:val="16"/>
    </w:rPr>
  </w:style>
  <w:style w:type="paragraph" w:customStyle="1" w:styleId="xl53029">
    <w:name w:val="xl53029"/>
    <w:basedOn w:val="a"/>
    <w:rsid w:val="004F40E8"/>
    <w:pPr>
      <w:pBdr>
        <w:left w:val="single" w:sz="8" w:space="0" w:color="auto"/>
      </w:pBdr>
      <w:spacing w:before="100" w:beforeAutospacing="1" w:after="100" w:afterAutospacing="1"/>
      <w:jc w:val="center"/>
      <w:textAlignment w:val="center"/>
    </w:pPr>
    <w:rPr>
      <w:rFonts w:ascii="Segoe UI" w:hAnsi="Segoe UI" w:cs="Segoe UI"/>
      <w:color w:val="FFFFFF"/>
      <w:sz w:val="16"/>
      <w:szCs w:val="16"/>
    </w:rPr>
  </w:style>
  <w:style w:type="paragraph" w:customStyle="1" w:styleId="xl53030">
    <w:name w:val="xl53030"/>
    <w:basedOn w:val="a"/>
    <w:rsid w:val="004F40E8"/>
    <w:pPr>
      <w:spacing w:before="100" w:beforeAutospacing="1" w:after="100" w:afterAutospacing="1"/>
      <w:textAlignment w:val="center"/>
    </w:pPr>
    <w:rPr>
      <w:rFonts w:ascii="Segoe UI" w:hAnsi="Segoe UI" w:cs="Segoe UI"/>
      <w:color w:val="FFFFFF"/>
      <w:sz w:val="16"/>
      <w:szCs w:val="16"/>
    </w:rPr>
  </w:style>
  <w:style w:type="paragraph" w:customStyle="1" w:styleId="xl53031">
    <w:name w:val="xl53031"/>
    <w:basedOn w:val="a"/>
    <w:rsid w:val="004F40E8"/>
    <w:pPr>
      <w:pBdr>
        <w:top w:val="single" w:sz="8" w:space="0" w:color="auto"/>
        <w:left w:val="single" w:sz="8" w:space="0" w:color="auto"/>
        <w:bottom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32">
    <w:name w:val="xl53032"/>
    <w:basedOn w:val="a"/>
    <w:rsid w:val="004F40E8"/>
    <w:pPr>
      <w:pBdr>
        <w:top w:val="single" w:sz="8" w:space="0" w:color="auto"/>
        <w:left w:val="single" w:sz="8" w:space="0" w:color="auto"/>
        <w:bottom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33">
    <w:name w:val="xl53033"/>
    <w:basedOn w:val="a"/>
    <w:rsid w:val="004F40E8"/>
    <w:pPr>
      <w:pBdr>
        <w:left w:val="single" w:sz="4" w:space="0" w:color="auto"/>
        <w:right w:val="single" w:sz="4" w:space="0" w:color="auto"/>
      </w:pBdr>
      <w:spacing w:before="100" w:beforeAutospacing="1" w:after="100" w:afterAutospacing="1"/>
      <w:jc w:val="center"/>
      <w:textAlignment w:val="center"/>
    </w:pPr>
    <w:rPr>
      <w:rFonts w:ascii="Segoe UI" w:hAnsi="Segoe UI" w:cs="Segoe UI"/>
      <w:color w:val="FF0000"/>
      <w:sz w:val="16"/>
      <w:szCs w:val="16"/>
    </w:rPr>
  </w:style>
  <w:style w:type="paragraph" w:customStyle="1" w:styleId="xl53034">
    <w:name w:val="xl53034"/>
    <w:basedOn w:val="a"/>
    <w:rsid w:val="004F40E8"/>
    <w:pPr>
      <w:pBdr>
        <w:left w:val="single" w:sz="4" w:space="0" w:color="auto"/>
        <w:right w:val="single" w:sz="4" w:space="0" w:color="auto"/>
      </w:pBdr>
      <w:shd w:val="clear" w:color="000000" w:fill="FFFFFF"/>
      <w:spacing w:before="100" w:beforeAutospacing="1" w:after="100" w:afterAutospacing="1"/>
      <w:jc w:val="center"/>
    </w:pPr>
    <w:rPr>
      <w:rFonts w:ascii="Segoe UI" w:hAnsi="Segoe UI" w:cs="Segoe UI"/>
      <w:b/>
      <w:bCs/>
      <w:color w:val="FF0000"/>
      <w:sz w:val="16"/>
      <w:szCs w:val="16"/>
    </w:rPr>
  </w:style>
  <w:style w:type="paragraph" w:customStyle="1" w:styleId="xl53035">
    <w:name w:val="xl53035"/>
    <w:basedOn w:val="a"/>
    <w:rsid w:val="004F40E8"/>
    <w:pPr>
      <w:pBdr>
        <w:top w:val="single" w:sz="8" w:space="0" w:color="auto"/>
      </w:pBdr>
      <w:shd w:val="clear" w:color="000000" w:fill="272727"/>
      <w:spacing w:before="100" w:beforeAutospacing="1" w:after="100" w:afterAutospacing="1"/>
      <w:textAlignment w:val="center"/>
    </w:pPr>
    <w:rPr>
      <w:rFonts w:ascii="Segoe UI" w:hAnsi="Segoe UI" w:cs="Segoe UI"/>
      <w:b/>
      <w:bCs/>
      <w:color w:val="FFFFFF"/>
      <w:sz w:val="16"/>
      <w:szCs w:val="16"/>
    </w:rPr>
  </w:style>
  <w:style w:type="paragraph" w:customStyle="1" w:styleId="xl53036">
    <w:name w:val="xl53036"/>
    <w:basedOn w:val="a"/>
    <w:rsid w:val="004F40E8"/>
    <w:pPr>
      <w:shd w:val="clear" w:color="000000" w:fill="272727"/>
      <w:spacing w:before="100" w:beforeAutospacing="1" w:after="100" w:afterAutospacing="1"/>
      <w:textAlignment w:val="center"/>
    </w:pPr>
    <w:rPr>
      <w:rFonts w:ascii="Segoe UI" w:hAnsi="Segoe UI" w:cs="Segoe UI"/>
      <w:b/>
      <w:bCs/>
      <w:color w:val="FFFFFF"/>
      <w:sz w:val="16"/>
      <w:szCs w:val="16"/>
    </w:rPr>
  </w:style>
  <w:style w:type="paragraph" w:customStyle="1" w:styleId="xl53037">
    <w:name w:val="xl53037"/>
    <w:basedOn w:val="a"/>
    <w:rsid w:val="004F40E8"/>
    <w:pPr>
      <w:pBdr>
        <w:left w:val="single" w:sz="4" w:space="0" w:color="auto"/>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3038">
    <w:name w:val="xl53038"/>
    <w:basedOn w:val="a"/>
    <w:rsid w:val="004F40E8"/>
    <w:pPr>
      <w:pBdr>
        <w:top w:val="single" w:sz="8" w:space="0" w:color="auto"/>
        <w:left w:val="single" w:sz="8" w:space="0" w:color="auto"/>
      </w:pBdr>
      <w:shd w:val="clear" w:color="000000" w:fill="272727"/>
      <w:spacing w:before="100" w:beforeAutospacing="1" w:after="100" w:afterAutospacing="1"/>
      <w:jc w:val="center"/>
      <w:textAlignment w:val="center"/>
    </w:pPr>
    <w:rPr>
      <w:rFonts w:ascii="Segoe UI" w:hAnsi="Segoe UI" w:cs="Segoe UI"/>
      <w:b/>
      <w:bCs/>
      <w:color w:val="FFFFFF"/>
      <w:sz w:val="16"/>
      <w:szCs w:val="16"/>
    </w:rPr>
  </w:style>
  <w:style w:type="paragraph" w:customStyle="1" w:styleId="xl53039">
    <w:name w:val="xl53039"/>
    <w:basedOn w:val="a"/>
    <w:rsid w:val="004F40E8"/>
    <w:pPr>
      <w:pBdr>
        <w:top w:val="single" w:sz="8" w:space="0" w:color="auto"/>
      </w:pBdr>
      <w:shd w:val="clear" w:color="000000" w:fill="272727"/>
      <w:spacing w:before="100" w:beforeAutospacing="1" w:after="100" w:afterAutospacing="1"/>
      <w:jc w:val="center"/>
      <w:textAlignment w:val="center"/>
    </w:pPr>
    <w:rPr>
      <w:rFonts w:ascii="Segoe UI" w:hAnsi="Segoe UI" w:cs="Segoe UI"/>
      <w:b/>
      <w:bCs/>
      <w:color w:val="FFFFFF"/>
      <w:sz w:val="16"/>
      <w:szCs w:val="16"/>
    </w:rPr>
  </w:style>
  <w:style w:type="paragraph" w:customStyle="1" w:styleId="xl53040">
    <w:name w:val="xl53040"/>
    <w:basedOn w:val="a"/>
    <w:rsid w:val="004F40E8"/>
    <w:pPr>
      <w:pBdr>
        <w:left w:val="single" w:sz="8" w:space="0" w:color="auto"/>
      </w:pBdr>
      <w:shd w:val="clear" w:color="000000" w:fill="272727"/>
      <w:spacing w:before="100" w:beforeAutospacing="1" w:after="100" w:afterAutospacing="1"/>
      <w:jc w:val="center"/>
      <w:textAlignment w:val="center"/>
    </w:pPr>
    <w:rPr>
      <w:rFonts w:ascii="Segoe UI" w:hAnsi="Segoe UI" w:cs="Segoe UI"/>
      <w:b/>
      <w:bCs/>
      <w:color w:val="FFFFFF"/>
      <w:sz w:val="16"/>
      <w:szCs w:val="16"/>
    </w:rPr>
  </w:style>
  <w:style w:type="paragraph" w:customStyle="1" w:styleId="xl53041">
    <w:name w:val="xl53041"/>
    <w:basedOn w:val="a"/>
    <w:rsid w:val="004F40E8"/>
    <w:pPr>
      <w:shd w:val="clear" w:color="000000" w:fill="272727"/>
      <w:spacing w:before="100" w:beforeAutospacing="1" w:after="100" w:afterAutospacing="1"/>
      <w:jc w:val="center"/>
      <w:textAlignment w:val="center"/>
    </w:pPr>
    <w:rPr>
      <w:rFonts w:ascii="Segoe UI" w:hAnsi="Segoe UI" w:cs="Segoe UI"/>
      <w:b/>
      <w:bCs/>
      <w:color w:val="FFFFFF"/>
      <w:sz w:val="16"/>
      <w:szCs w:val="16"/>
    </w:rPr>
  </w:style>
  <w:style w:type="paragraph" w:customStyle="1" w:styleId="xl53042">
    <w:name w:val="xl53042"/>
    <w:basedOn w:val="a"/>
    <w:rsid w:val="004F40E8"/>
    <w:pPr>
      <w:pBdr>
        <w:top w:val="single" w:sz="8" w:space="0" w:color="auto"/>
        <w:bottom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43">
    <w:name w:val="xl53043"/>
    <w:basedOn w:val="a"/>
    <w:rsid w:val="004F40E8"/>
    <w:pPr>
      <w:pBdr>
        <w:top w:val="single" w:sz="8" w:space="0" w:color="auto"/>
        <w:bottom w:val="single" w:sz="8" w:space="0" w:color="auto"/>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44">
    <w:name w:val="xl53044"/>
    <w:basedOn w:val="a"/>
    <w:rsid w:val="004F40E8"/>
    <w:pPr>
      <w:pBdr>
        <w:top w:val="single" w:sz="8" w:space="0" w:color="auto"/>
        <w:left w:val="single" w:sz="8" w:space="0" w:color="auto"/>
        <w:right w:val="single" w:sz="8" w:space="0" w:color="auto"/>
      </w:pBdr>
      <w:shd w:val="clear" w:color="000000" w:fill="A5A5A5"/>
      <w:spacing w:before="100" w:beforeAutospacing="1" w:after="100" w:afterAutospacing="1"/>
      <w:jc w:val="center"/>
      <w:textAlignment w:val="center"/>
    </w:pPr>
    <w:rPr>
      <w:rFonts w:ascii="Segoe UI" w:hAnsi="Segoe UI" w:cs="Segoe UI"/>
      <w:sz w:val="16"/>
      <w:szCs w:val="16"/>
    </w:rPr>
  </w:style>
  <w:style w:type="paragraph" w:customStyle="1" w:styleId="xl53045">
    <w:name w:val="xl53045"/>
    <w:basedOn w:val="a"/>
    <w:rsid w:val="004F40E8"/>
    <w:pPr>
      <w:pBdr>
        <w:left w:val="single" w:sz="8" w:space="0" w:color="auto"/>
        <w:bottom w:val="single" w:sz="8" w:space="0" w:color="auto"/>
        <w:right w:val="single" w:sz="8" w:space="0" w:color="auto"/>
      </w:pBdr>
      <w:shd w:val="clear" w:color="000000" w:fill="A5A5A5"/>
      <w:spacing w:before="100" w:beforeAutospacing="1" w:after="100" w:afterAutospacing="1"/>
      <w:jc w:val="center"/>
      <w:textAlignment w:val="center"/>
    </w:pPr>
    <w:rPr>
      <w:rFonts w:ascii="Segoe UI" w:hAnsi="Segoe UI" w:cs="Segoe UI"/>
      <w:sz w:val="16"/>
      <w:szCs w:val="16"/>
    </w:rPr>
  </w:style>
  <w:style w:type="paragraph" w:customStyle="1" w:styleId="xl53046">
    <w:name w:val="xl53046"/>
    <w:basedOn w:val="a"/>
    <w:rsid w:val="004F40E8"/>
    <w:pPr>
      <w:pBdr>
        <w:bottom w:val="single" w:sz="8" w:space="0" w:color="auto"/>
      </w:pBdr>
      <w:spacing w:before="100" w:beforeAutospacing="1" w:after="100" w:afterAutospacing="1"/>
      <w:textAlignment w:val="center"/>
    </w:pPr>
    <w:rPr>
      <w:rFonts w:ascii="Segoe UI" w:hAnsi="Segoe UI" w:cs="Segoe UI"/>
      <w:i/>
      <w:iCs/>
      <w:sz w:val="16"/>
      <w:szCs w:val="16"/>
    </w:rPr>
  </w:style>
  <w:style w:type="paragraph" w:customStyle="1" w:styleId="xl53047">
    <w:name w:val="xl53047"/>
    <w:basedOn w:val="a"/>
    <w:rsid w:val="004F40E8"/>
    <w:pPr>
      <w:pBdr>
        <w:bottom w:val="single" w:sz="8" w:space="0" w:color="auto"/>
      </w:pBdr>
      <w:spacing w:before="100" w:beforeAutospacing="1" w:after="100" w:afterAutospacing="1"/>
      <w:jc w:val="center"/>
      <w:textAlignment w:val="center"/>
    </w:pPr>
    <w:rPr>
      <w:rFonts w:ascii="Segoe UI" w:hAnsi="Segoe UI" w:cs="Segoe UI"/>
      <w:i/>
      <w:iCs/>
      <w:sz w:val="16"/>
      <w:szCs w:val="16"/>
    </w:rPr>
  </w:style>
  <w:style w:type="paragraph" w:customStyle="1" w:styleId="af9">
    <w:name w:val="Τ"/>
    <w:basedOn w:val="a"/>
    <w:rsid w:val="004F40E8"/>
    <w:pPr>
      <w:spacing w:before="120" w:after="120" w:line="360" w:lineRule="auto"/>
      <w:jc w:val="both"/>
    </w:pPr>
    <w:rPr>
      <w:rFonts w:ascii="Arial" w:hAnsi="Arial" w:cs="Arial"/>
      <w:sz w:val="22"/>
      <w:szCs w:val="22"/>
    </w:rPr>
  </w:style>
  <w:style w:type="character" w:customStyle="1" w:styleId="Char8">
    <w:name w:val="Χωρίς διάστιχο Char"/>
    <w:link w:val="af2"/>
    <w:uiPriority w:val="1"/>
    <w:rsid w:val="003B594D"/>
    <w:rPr>
      <w:rFonts w:ascii="Calibri" w:eastAsia="Calibri" w:hAnsi="Calibri"/>
      <w:sz w:val="22"/>
      <w:szCs w:val="22"/>
      <w:lang w:val="el-GR" w:eastAsia="en-US" w:bidi="ar-SA"/>
    </w:rPr>
  </w:style>
  <w:style w:type="paragraph" w:customStyle="1" w:styleId="Body">
    <w:name w:val="Body"/>
    <w:rsid w:val="002D7DE9"/>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eastAsia="en-US"/>
    </w:rPr>
  </w:style>
  <w:style w:type="character" w:styleId="afa">
    <w:name w:val="Emphasis"/>
    <w:uiPriority w:val="20"/>
    <w:qFormat/>
    <w:rsid w:val="00261EA1"/>
    <w:rPr>
      <w:i/>
      <w:iCs/>
    </w:rPr>
  </w:style>
  <w:style w:type="character" w:customStyle="1" w:styleId="1Char">
    <w:name w:val="Επικεφαλίδα 1 Char"/>
    <w:link w:val="1"/>
    <w:rsid w:val="00CD2D8A"/>
    <w:rPr>
      <w:rFonts w:ascii="Arial" w:hAnsi="Arial" w:cs="Arial"/>
      <w:b/>
      <w:bCs/>
      <w:kern w:val="32"/>
      <w:sz w:val="32"/>
      <w:szCs w:val="32"/>
    </w:rPr>
  </w:style>
  <w:style w:type="character" w:customStyle="1" w:styleId="2Char">
    <w:name w:val="Επικεφαλίδα 2 Char"/>
    <w:link w:val="2"/>
    <w:rsid w:val="00CD2D8A"/>
    <w:rPr>
      <w:rFonts w:ascii="Arial" w:hAnsi="Arial" w:cs="Arial"/>
      <w:b/>
      <w:bCs/>
      <w:i/>
      <w:iCs/>
      <w:sz w:val="28"/>
      <w:szCs w:val="28"/>
    </w:rPr>
  </w:style>
  <w:style w:type="character" w:customStyle="1" w:styleId="3Char">
    <w:name w:val="Επικεφαλίδα 3 Char"/>
    <w:link w:val="3"/>
    <w:rsid w:val="00CD2D8A"/>
    <w:rPr>
      <w:rFonts w:ascii="Arial" w:hAnsi="Arial" w:cs="Arial"/>
      <w:b/>
      <w:bCs/>
      <w:sz w:val="26"/>
      <w:szCs w:val="26"/>
    </w:rPr>
  </w:style>
  <w:style w:type="character" w:customStyle="1" w:styleId="4Char">
    <w:name w:val="Επικεφαλίδα 4 Char"/>
    <w:link w:val="4"/>
    <w:rsid w:val="00CD2D8A"/>
    <w:rPr>
      <w:rFonts w:ascii="Arial Narrow" w:hAnsi="Arial Narrow"/>
      <w:b/>
      <w:color w:val="003366"/>
      <w:sz w:val="22"/>
      <w:szCs w:val="22"/>
    </w:rPr>
  </w:style>
  <w:style w:type="character" w:customStyle="1" w:styleId="5Char">
    <w:name w:val="Επικεφαλίδα 5 Char"/>
    <w:link w:val="5"/>
    <w:rsid w:val="00CD2D8A"/>
    <w:rPr>
      <w:rFonts w:ascii="Arial Narrow" w:hAnsi="Arial Narrow"/>
      <w:b/>
      <w:sz w:val="24"/>
      <w:szCs w:val="22"/>
    </w:rPr>
  </w:style>
  <w:style w:type="character" w:customStyle="1" w:styleId="6Char">
    <w:name w:val="Επικεφαλίδα 6 Char"/>
    <w:link w:val="6"/>
    <w:rsid w:val="00CD2D8A"/>
    <w:rPr>
      <w:rFonts w:ascii="Arial Narrow" w:hAnsi="Arial Narrow"/>
      <w:b/>
      <w:sz w:val="22"/>
      <w:szCs w:val="22"/>
    </w:rPr>
  </w:style>
  <w:style w:type="character" w:customStyle="1" w:styleId="7Char">
    <w:name w:val="Επικεφαλίδα 7 Char"/>
    <w:link w:val="7"/>
    <w:rsid w:val="00CD2D8A"/>
    <w:rPr>
      <w:rFonts w:ascii="Arial Narrow" w:hAnsi="Arial Narrow"/>
      <w:b/>
      <w:i/>
      <w:sz w:val="22"/>
      <w:szCs w:val="22"/>
    </w:rPr>
  </w:style>
  <w:style w:type="character" w:customStyle="1" w:styleId="8Char">
    <w:name w:val="Επικεφαλίδα 8 Char"/>
    <w:link w:val="8"/>
    <w:rsid w:val="00CD2D8A"/>
    <w:rPr>
      <w:rFonts w:ascii="Arial Narrow" w:hAnsi="Arial Narrow"/>
      <w:b/>
      <w:sz w:val="16"/>
      <w:szCs w:val="16"/>
    </w:rPr>
  </w:style>
  <w:style w:type="character" w:customStyle="1" w:styleId="9Char">
    <w:name w:val="Επικεφαλίδα 9 Char"/>
    <w:link w:val="9"/>
    <w:rsid w:val="00CD2D8A"/>
    <w:rPr>
      <w:rFonts w:ascii="Arial Narrow" w:hAnsi="Arial Narrow"/>
      <w:b/>
      <w:color w:val="000080"/>
      <w:sz w:val="24"/>
      <w:szCs w:val="22"/>
    </w:rPr>
  </w:style>
  <w:style w:type="character" w:customStyle="1" w:styleId="Char">
    <w:name w:val="Κεφαλίδα Char"/>
    <w:link w:val="a3"/>
    <w:rsid w:val="00CD2D8A"/>
    <w:rPr>
      <w:sz w:val="24"/>
      <w:szCs w:val="24"/>
    </w:rPr>
  </w:style>
  <w:style w:type="character" w:customStyle="1" w:styleId="Char0">
    <w:name w:val="Υποσέλιδο Char"/>
    <w:link w:val="a4"/>
    <w:rsid w:val="00CD2D8A"/>
    <w:rPr>
      <w:sz w:val="24"/>
      <w:szCs w:val="24"/>
    </w:rPr>
  </w:style>
  <w:style w:type="character" w:customStyle="1" w:styleId="Char1">
    <w:name w:val="Κείμενο πλαισίου Char"/>
    <w:link w:val="a6"/>
    <w:semiHidden/>
    <w:rsid w:val="00CD2D8A"/>
    <w:rPr>
      <w:rFonts w:ascii="Tahoma" w:hAnsi="Tahoma" w:cs="Tahoma"/>
      <w:sz w:val="16"/>
      <w:szCs w:val="16"/>
    </w:rPr>
  </w:style>
  <w:style w:type="character" w:customStyle="1" w:styleId="Char2">
    <w:name w:val="Σώμα κείμενου με εσοχή Char"/>
    <w:link w:val="a7"/>
    <w:rsid w:val="00CD2D8A"/>
    <w:rPr>
      <w:sz w:val="22"/>
      <w:szCs w:val="22"/>
    </w:rPr>
  </w:style>
  <w:style w:type="character" w:customStyle="1" w:styleId="Char3">
    <w:name w:val="Σώμα κειμένου Char"/>
    <w:link w:val="a8"/>
    <w:rsid w:val="00CD2D8A"/>
    <w:rPr>
      <w:sz w:val="22"/>
      <w:szCs w:val="22"/>
    </w:rPr>
  </w:style>
  <w:style w:type="character" w:customStyle="1" w:styleId="2Char0">
    <w:name w:val="Σώμα κείμενου με εσοχή 2 Char"/>
    <w:link w:val="20"/>
    <w:rsid w:val="00CD2D8A"/>
    <w:rPr>
      <w:sz w:val="22"/>
      <w:szCs w:val="22"/>
    </w:rPr>
  </w:style>
  <w:style w:type="character" w:customStyle="1" w:styleId="Char4">
    <w:name w:val="Απλό κείμενο Char"/>
    <w:link w:val="a9"/>
    <w:uiPriority w:val="99"/>
    <w:rsid w:val="00CD2D8A"/>
    <w:rPr>
      <w:rFonts w:ascii="Courier New" w:hAnsi="Courier New"/>
    </w:rPr>
  </w:style>
  <w:style w:type="character" w:customStyle="1" w:styleId="2Char1">
    <w:name w:val="Σώμα κείμενου 2 Char"/>
    <w:link w:val="21"/>
    <w:rsid w:val="00CD2D8A"/>
    <w:rPr>
      <w:sz w:val="24"/>
      <w:szCs w:val="24"/>
    </w:rPr>
  </w:style>
  <w:style w:type="character" w:customStyle="1" w:styleId="Char6">
    <w:name w:val="Κείμενο σχολίου Char"/>
    <w:basedOn w:val="a0"/>
    <w:link w:val="ae"/>
    <w:semiHidden/>
    <w:rsid w:val="00CD2D8A"/>
  </w:style>
  <w:style w:type="character" w:customStyle="1" w:styleId="Char7">
    <w:name w:val="Θέμα σχολίου Char"/>
    <w:link w:val="af"/>
    <w:semiHidden/>
    <w:rsid w:val="00CD2D8A"/>
    <w:rPr>
      <w:b/>
      <w:bCs/>
    </w:rPr>
  </w:style>
  <w:style w:type="character" w:customStyle="1" w:styleId="tlid-translation">
    <w:name w:val="tlid-translation"/>
    <w:basedOn w:val="a0"/>
    <w:rsid w:val="00FF2EBB"/>
  </w:style>
  <w:style w:type="character" w:customStyle="1" w:styleId="jlqj4b">
    <w:name w:val="jlqj4b"/>
    <w:basedOn w:val="a0"/>
    <w:rsid w:val="00827354"/>
  </w:style>
  <w:style w:type="paragraph" w:customStyle="1" w:styleId="13">
    <w:name w:val="Βασικό1"/>
    <w:rsid w:val="003600C3"/>
    <w:rPr>
      <w:color w:val="000000"/>
      <w:sz w:val="24"/>
      <w:szCs w:val="24"/>
    </w:rPr>
  </w:style>
</w:styles>
</file>

<file path=word/webSettings.xml><?xml version="1.0" encoding="utf-8"?>
<w:webSettings xmlns:r="http://schemas.openxmlformats.org/officeDocument/2006/relationships" xmlns:w="http://schemas.openxmlformats.org/wordprocessingml/2006/main">
  <w:divs>
    <w:div w:id="91173206">
      <w:bodyDiv w:val="1"/>
      <w:marLeft w:val="0"/>
      <w:marRight w:val="0"/>
      <w:marTop w:val="0"/>
      <w:marBottom w:val="0"/>
      <w:divBdr>
        <w:top w:val="none" w:sz="0" w:space="0" w:color="auto"/>
        <w:left w:val="none" w:sz="0" w:space="0" w:color="auto"/>
        <w:bottom w:val="none" w:sz="0" w:space="0" w:color="auto"/>
        <w:right w:val="none" w:sz="0" w:space="0" w:color="auto"/>
      </w:divBdr>
    </w:div>
    <w:div w:id="211968930">
      <w:bodyDiv w:val="1"/>
      <w:marLeft w:val="0"/>
      <w:marRight w:val="0"/>
      <w:marTop w:val="0"/>
      <w:marBottom w:val="0"/>
      <w:divBdr>
        <w:top w:val="none" w:sz="0" w:space="0" w:color="auto"/>
        <w:left w:val="none" w:sz="0" w:space="0" w:color="auto"/>
        <w:bottom w:val="none" w:sz="0" w:space="0" w:color="auto"/>
        <w:right w:val="none" w:sz="0" w:space="0" w:color="auto"/>
      </w:divBdr>
    </w:div>
    <w:div w:id="406348277">
      <w:bodyDiv w:val="1"/>
      <w:marLeft w:val="0"/>
      <w:marRight w:val="0"/>
      <w:marTop w:val="0"/>
      <w:marBottom w:val="0"/>
      <w:divBdr>
        <w:top w:val="none" w:sz="0" w:space="0" w:color="auto"/>
        <w:left w:val="none" w:sz="0" w:space="0" w:color="auto"/>
        <w:bottom w:val="none" w:sz="0" w:space="0" w:color="auto"/>
        <w:right w:val="none" w:sz="0" w:space="0" w:color="auto"/>
      </w:divBdr>
    </w:div>
    <w:div w:id="667562732">
      <w:bodyDiv w:val="1"/>
      <w:marLeft w:val="0"/>
      <w:marRight w:val="0"/>
      <w:marTop w:val="0"/>
      <w:marBottom w:val="0"/>
      <w:divBdr>
        <w:top w:val="none" w:sz="0" w:space="0" w:color="auto"/>
        <w:left w:val="none" w:sz="0" w:space="0" w:color="auto"/>
        <w:bottom w:val="none" w:sz="0" w:space="0" w:color="auto"/>
        <w:right w:val="none" w:sz="0" w:space="0" w:color="auto"/>
      </w:divBdr>
    </w:div>
    <w:div w:id="1034845835">
      <w:bodyDiv w:val="1"/>
      <w:marLeft w:val="0"/>
      <w:marRight w:val="0"/>
      <w:marTop w:val="0"/>
      <w:marBottom w:val="0"/>
      <w:divBdr>
        <w:top w:val="none" w:sz="0" w:space="0" w:color="auto"/>
        <w:left w:val="none" w:sz="0" w:space="0" w:color="auto"/>
        <w:bottom w:val="none" w:sz="0" w:space="0" w:color="auto"/>
        <w:right w:val="none" w:sz="0" w:space="0" w:color="auto"/>
      </w:divBdr>
    </w:div>
    <w:div w:id="1135951141">
      <w:bodyDiv w:val="1"/>
      <w:marLeft w:val="0"/>
      <w:marRight w:val="0"/>
      <w:marTop w:val="0"/>
      <w:marBottom w:val="0"/>
      <w:divBdr>
        <w:top w:val="none" w:sz="0" w:space="0" w:color="auto"/>
        <w:left w:val="none" w:sz="0" w:space="0" w:color="auto"/>
        <w:bottom w:val="none" w:sz="0" w:space="0" w:color="auto"/>
        <w:right w:val="none" w:sz="0" w:space="0" w:color="auto"/>
      </w:divBdr>
    </w:div>
    <w:div w:id="194367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19"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xristof\Application%20Data\Microsoft\&#928;&#961;&#972;&#964;&#965;&#960;&#945;\PROSX2006.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CFB73-C2DD-4E1B-A275-ABE469695D55}">
  <ds:schemaRefs>
    <ds:schemaRef ds:uri="http://schemas.openxmlformats.org/officeDocument/2006/bibliography"/>
  </ds:schemaRefs>
</ds:datastoreItem>
</file>

<file path=customXml/itemProps2.xml><?xml version="1.0" encoding="utf-8"?>
<ds:datastoreItem xmlns:ds="http://schemas.openxmlformats.org/officeDocument/2006/customXml" ds:itemID="{58E62D61-AD92-4F8D-856B-6DD8E6D5A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PROSX2006</Template>
  <TotalTime>5</TotalTime>
  <Pages>27</Pages>
  <Words>15404</Words>
  <Characters>83183</Characters>
  <DocSecurity>0</DocSecurity>
  <Lines>693</Lines>
  <Paragraphs>196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ΟΙΚΟΝΟΜΙΚΕΣ ΕΞΕΛΙΞΕΙΣ</vt:lpstr>
      <vt:lpstr>ΟΙΚΟΝΟΜΙΚΕΣ ΕΞΕΛΙΞΕΙΣ</vt:lpstr>
    </vt:vector>
  </TitlesOfParts>
  <LinksUpToDate>false</LinksUpToDate>
  <CharactersWithSpaces>98391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2020-11-20T00:36:00Z</cp:lastPrinted>
  <dcterms:created xsi:type="dcterms:W3CDTF">2020-11-19T16:41:00Z</dcterms:created>
  <dcterms:modified xsi:type="dcterms:W3CDTF">2020-11-20T00:49:00Z</dcterms:modified>
</cp:coreProperties>
</file>